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78217" w14:textId="77777777" w:rsidR="0097680B" w:rsidRPr="00E33C2B" w:rsidRDefault="0097680B" w:rsidP="0097680B">
      <w:pPr>
        <w:spacing w:after="0" w:line="480" w:lineRule="auto"/>
        <w:jc w:val="both"/>
        <w:rPr>
          <w:rFonts w:ascii="Times New Roman" w:hAnsi="Times New Roman" w:cs="Times New Roman"/>
          <w:b/>
          <w:bCs/>
          <w:rtl/>
        </w:rPr>
      </w:pPr>
      <w:r w:rsidRPr="00E33C2B">
        <w:rPr>
          <w:rStyle w:val="Strong"/>
          <w:rFonts w:ascii="Times New Roman" w:hAnsi="Times New Roman" w:cs="Times New Roman"/>
        </w:rPr>
        <w:t>A Multi-Scale Architectural Decision Framework for Natural Ventilation in School Classrooms</w:t>
      </w:r>
    </w:p>
    <w:p w14:paraId="0F1403E7" w14:textId="0CC3732A" w:rsidR="00940718" w:rsidRPr="00940718" w:rsidRDefault="00940718" w:rsidP="00940718">
      <w:pPr>
        <w:spacing w:after="0"/>
        <w:jc w:val="center"/>
      </w:pPr>
      <w:r w:rsidRPr="00940718">
        <w:rPr>
          <w:rFonts w:ascii="Times New Roman" w:hAnsi="Times New Roman"/>
        </w:rPr>
        <w:t>Farzad Eradati</w:t>
      </w:r>
      <w:r w:rsidRPr="00940718">
        <w:rPr>
          <w:rFonts w:ascii="Times New Roman" w:hAnsi="Times New Roman"/>
          <w:vertAlign w:val="superscript"/>
        </w:rPr>
        <w:t>1</w:t>
      </w:r>
      <w:r w:rsidRPr="00940718">
        <w:rPr>
          <w:rFonts w:ascii="Times New Roman" w:hAnsi="Times New Roman"/>
        </w:rPr>
        <w:t>, Mansoureh Tahbaz</w:t>
      </w:r>
      <w:r w:rsidRPr="00940718">
        <w:rPr>
          <w:rFonts w:ascii="Times New Roman" w:hAnsi="Times New Roman"/>
          <w:vertAlign w:val="superscript"/>
        </w:rPr>
        <w:t>2*</w:t>
      </w:r>
      <w:r w:rsidRPr="00940718">
        <w:rPr>
          <w:rFonts w:ascii="Times New Roman" w:hAnsi="Times New Roman"/>
        </w:rPr>
        <w:t>, Azadeh Khaki</w:t>
      </w:r>
      <w:r w:rsidRPr="00940718">
        <w:rPr>
          <w:rFonts w:ascii="Times New Roman" w:hAnsi="Times New Roman" w:hint="cs"/>
          <w:rtl/>
        </w:rPr>
        <w:t xml:space="preserve"> </w:t>
      </w:r>
      <w:r w:rsidRPr="00940718">
        <w:rPr>
          <w:rFonts w:ascii="Times New Roman" w:hAnsi="Times New Roman"/>
        </w:rPr>
        <w:t>Ghasr</w:t>
      </w:r>
      <w:r w:rsidRPr="00940718">
        <w:rPr>
          <w:rFonts w:ascii="Times New Roman" w:hAnsi="Times New Roman"/>
          <w:vertAlign w:val="superscript"/>
        </w:rPr>
        <w:t>3</w:t>
      </w:r>
      <w:r w:rsidRPr="00940718">
        <w:rPr>
          <w:rFonts w:ascii="Times New Roman" w:hAnsi="Times New Roman"/>
        </w:rPr>
        <w:t>, Omid Rahaei</w:t>
      </w:r>
      <w:r w:rsidRPr="00940718">
        <w:rPr>
          <w:rFonts w:ascii="Times New Roman" w:hAnsi="Times New Roman"/>
          <w:vertAlign w:val="superscript"/>
        </w:rPr>
        <w:t>4</w:t>
      </w:r>
    </w:p>
    <w:p w14:paraId="0DE67BE1" w14:textId="77777777" w:rsidR="00940718" w:rsidRPr="00940718" w:rsidRDefault="00940718" w:rsidP="00940718">
      <w:pPr>
        <w:spacing w:after="0"/>
        <w:jc w:val="center"/>
      </w:pPr>
    </w:p>
    <w:p w14:paraId="3DFCA24B" w14:textId="1DB16C1C" w:rsidR="00940718" w:rsidRPr="00E32A97" w:rsidRDefault="00940718" w:rsidP="00940718">
      <w:pPr>
        <w:spacing w:after="0"/>
        <w:jc w:val="center"/>
      </w:pPr>
      <w:r w:rsidRPr="00E32A97">
        <w:rPr>
          <w:rFonts w:ascii="Times New Roman" w:hAnsi="Times New Roman"/>
        </w:rPr>
        <w:t xml:space="preserve">1. </w:t>
      </w:r>
      <w:r w:rsidR="003D75CF" w:rsidRPr="00E32A97">
        <w:rPr>
          <w:rFonts w:ascii="Times New Roman" w:hAnsi="Times New Roman" w:cs="Times New Roman"/>
        </w:rPr>
        <w:t>Ph.D. Candidate in Architecture</w:t>
      </w:r>
      <w:r w:rsidRPr="00E32A97">
        <w:rPr>
          <w:rFonts w:ascii="Times New Roman" w:hAnsi="Times New Roman"/>
        </w:rPr>
        <w:t xml:space="preserve">, </w:t>
      </w:r>
      <w:r w:rsidR="00E32A97" w:rsidRPr="00E32A97">
        <w:rPr>
          <w:rFonts w:ascii="Times New Roman" w:hAnsi="Times New Roman" w:cs="Times New Roman"/>
        </w:rPr>
        <w:t>Department of Building</w:t>
      </w:r>
      <w:r w:rsidRPr="00E32A97">
        <w:rPr>
          <w:rFonts w:ascii="Times New Roman" w:hAnsi="Times New Roman"/>
        </w:rPr>
        <w:t>, Faculty of Architecture and Urban Planning, Shahid Beheshti University, Tehran, Iran</w:t>
      </w:r>
      <w:r w:rsidRPr="00E32A97">
        <w:rPr>
          <w:rFonts w:hint="cs"/>
          <w:rtl/>
        </w:rPr>
        <w:t xml:space="preserve"> </w:t>
      </w:r>
      <w:r w:rsidRPr="00E32A97">
        <w:rPr>
          <w:rFonts w:ascii="Times New Roman" w:hAnsi="Times New Roman"/>
        </w:rPr>
        <w:t>|  Email: f_eradati@sbu.ac.ir</w:t>
      </w:r>
    </w:p>
    <w:p w14:paraId="1FEAE819" w14:textId="77777777" w:rsidR="00940718" w:rsidRPr="00940718" w:rsidRDefault="00940718" w:rsidP="00940718">
      <w:pPr>
        <w:spacing w:after="0"/>
        <w:jc w:val="center"/>
      </w:pPr>
    </w:p>
    <w:p w14:paraId="337988B3" w14:textId="408D13D8" w:rsidR="00940718" w:rsidRPr="00E32A97" w:rsidRDefault="00940718" w:rsidP="00940718">
      <w:pPr>
        <w:spacing w:after="0"/>
        <w:jc w:val="center"/>
        <w:rPr>
          <w:rFonts w:ascii="Times New Roman" w:hAnsi="Times New Roman" w:cs="Times New Roman"/>
        </w:rPr>
      </w:pPr>
      <w:r w:rsidRPr="00E32A97">
        <w:rPr>
          <w:rFonts w:ascii="Times New Roman" w:hAnsi="Times New Roman" w:cs="Times New Roman"/>
        </w:rPr>
        <w:t xml:space="preserve">2. Professor, </w:t>
      </w:r>
      <w:r w:rsidR="00E32A97" w:rsidRPr="00E32A97">
        <w:rPr>
          <w:rFonts w:ascii="Times New Roman" w:hAnsi="Times New Roman" w:cs="Times New Roman"/>
        </w:rPr>
        <w:t>Department of Building</w:t>
      </w:r>
      <w:r w:rsidRPr="00E32A97">
        <w:rPr>
          <w:rFonts w:ascii="Times New Roman" w:hAnsi="Times New Roman" w:cs="Times New Roman"/>
        </w:rPr>
        <w:t>, Faculty of Architecture and Urban Planning, Shahid Beheshti University, Tehran, Iran</w:t>
      </w:r>
      <w:r w:rsidRPr="00E32A97">
        <w:rPr>
          <w:rFonts w:ascii="Times New Roman" w:hAnsi="Times New Roman" w:cs="Times New Roman"/>
          <w:rtl/>
        </w:rPr>
        <w:t xml:space="preserve"> </w:t>
      </w:r>
      <w:r w:rsidRPr="00E32A97">
        <w:rPr>
          <w:rFonts w:ascii="Times New Roman" w:hAnsi="Times New Roman" w:cs="Times New Roman"/>
        </w:rPr>
        <w:t>(</w:t>
      </w:r>
      <w:r w:rsidRPr="00E32A97">
        <w:rPr>
          <w:rFonts w:ascii="Times New Roman" w:hAnsi="Times New Roman" w:cs="Times New Roman"/>
          <w:vertAlign w:val="superscript"/>
          <w:rtl/>
        </w:rPr>
        <w:t>*</w:t>
      </w:r>
      <w:r w:rsidRPr="00E32A97">
        <w:rPr>
          <w:rFonts w:ascii="Times New Roman" w:hAnsi="Times New Roman" w:cs="Times New Roman"/>
        </w:rPr>
        <w:t>Corresponding author)</w:t>
      </w:r>
      <w:r w:rsidRPr="00E32A97">
        <w:rPr>
          <w:rFonts w:ascii="Times New Roman" w:hAnsi="Times New Roman" w:cs="Times New Roman"/>
          <w:rtl/>
        </w:rPr>
        <w:t xml:space="preserve"> </w:t>
      </w:r>
      <w:r w:rsidRPr="00E32A97">
        <w:rPr>
          <w:rFonts w:ascii="Times New Roman" w:hAnsi="Times New Roman" w:cs="Times New Roman"/>
        </w:rPr>
        <w:t>|   Email: m-tahbaz@sbu.ac.ir</w:t>
      </w:r>
    </w:p>
    <w:p w14:paraId="587E0761" w14:textId="77777777" w:rsidR="00940718" w:rsidRPr="00940718" w:rsidRDefault="00940718" w:rsidP="00940718">
      <w:pPr>
        <w:spacing w:after="0"/>
        <w:jc w:val="center"/>
      </w:pPr>
    </w:p>
    <w:p w14:paraId="5A42AF83" w14:textId="06D4A61F" w:rsidR="00940718" w:rsidRPr="00940718" w:rsidRDefault="00940718" w:rsidP="00940718">
      <w:pPr>
        <w:spacing w:after="0"/>
        <w:jc w:val="center"/>
      </w:pPr>
      <w:r w:rsidRPr="00940718">
        <w:rPr>
          <w:rFonts w:ascii="Times New Roman" w:hAnsi="Times New Roman"/>
        </w:rPr>
        <w:t>3. Assistant Professor, Department of Architecture, Faculty of Architecture and Urban Planning, Shahid Beheshti University, Tehran, Iran</w:t>
      </w:r>
      <w:r w:rsidRPr="00940718">
        <w:rPr>
          <w:rFonts w:ascii="Times New Roman" w:hAnsi="Times New Roman" w:hint="cs"/>
          <w:rtl/>
        </w:rPr>
        <w:t xml:space="preserve"> </w:t>
      </w:r>
      <w:r w:rsidRPr="00940718">
        <w:rPr>
          <w:rFonts w:ascii="Times New Roman" w:hAnsi="Times New Roman"/>
        </w:rPr>
        <w:t>|  Email: a_khakighasr@sbu.ac.ir</w:t>
      </w:r>
    </w:p>
    <w:p w14:paraId="4B541B64" w14:textId="77777777" w:rsidR="00940718" w:rsidRPr="00940718" w:rsidRDefault="00940718" w:rsidP="00940718">
      <w:pPr>
        <w:spacing w:after="0"/>
        <w:jc w:val="center"/>
      </w:pPr>
    </w:p>
    <w:p w14:paraId="7922A653" w14:textId="16011F97" w:rsidR="00940718" w:rsidRDefault="00940718" w:rsidP="00940718">
      <w:pPr>
        <w:spacing w:after="0"/>
        <w:jc w:val="center"/>
        <w:rPr>
          <w:rFonts w:ascii="Times New Roman" w:hAnsi="Times New Roman"/>
        </w:rPr>
      </w:pPr>
      <w:r w:rsidRPr="00940718">
        <w:rPr>
          <w:rFonts w:ascii="Times New Roman" w:hAnsi="Times New Roman"/>
        </w:rPr>
        <w:t>4. Assistant Professor, Department of Architectural Technology, Faculty of Architecture and Urban Planning, Shahid Rajaee Teacher Training University, Tehran, Iran  |   Email: o.rahaei@sru.ac.ir</w:t>
      </w:r>
    </w:p>
    <w:p w14:paraId="44259648" w14:textId="71032B5C" w:rsidR="0097680B" w:rsidRDefault="0097680B" w:rsidP="0097680B">
      <w:pPr>
        <w:rPr>
          <w:rFonts w:ascii="Times New Roman" w:hAnsi="Times New Roman"/>
        </w:rPr>
      </w:pPr>
    </w:p>
    <w:p w14:paraId="2CBCE3F5" w14:textId="77777777" w:rsidR="0097680B" w:rsidRPr="00E33C2B" w:rsidRDefault="0097680B" w:rsidP="0097680B">
      <w:pPr>
        <w:pStyle w:val="NormalWeb"/>
        <w:spacing w:line="480" w:lineRule="auto"/>
        <w:jc w:val="both"/>
        <w:rPr>
          <w:sz w:val="22"/>
          <w:szCs w:val="22"/>
        </w:rPr>
      </w:pPr>
      <w:r w:rsidRPr="00E33C2B">
        <w:rPr>
          <w:rStyle w:val="Strong"/>
          <w:sz w:val="22"/>
          <w:szCs w:val="22"/>
        </w:rPr>
        <w:t>Abstract</w:t>
      </w:r>
      <w:r w:rsidRPr="00E33C2B">
        <w:rPr>
          <w:sz w:val="22"/>
          <w:szCs w:val="22"/>
        </w:rPr>
        <w:br/>
        <w:t>Classrooms are high-occupancy spaces where ventilation performance directly affects students’ health, attention, and learning. While natural ventilation (NV) is widely promoted as a low-energy means of improving indoor air quality (IAQ) and reducing dependence on mechanical systems, design guidance is often fragmented across disciplines and reported in forms that are difficult to translate into early architectural decisions. This study addresses that gap by converting dispersed evidence into an architect-readable, multi-scale decision framework for naturally ventilated school classrooms. The research integrates (i) a systematic evidence synthesis of international and Iranian evidence primarily published between 2000 and 2025 and (ii) a rubric-guided case-selection procedure to identify well-documented school precedents for comparative interpretation. The final dataset comprises 117 sources, including peer-reviewed papers, theses/dissertations, standards and regulations, and books. Results are structured across interconnected architectural scales—site and massing, plan and section, façade and openings, and NV-supporting components—showing how early design moves shape airflow paths, controllability, and operational feasibility under variable outdoor conditions. The paper contributes a replicable workflow (evidence synthesis plus rubric-based case screening) and a design-oriented framework that translates ventilation evidence into prioritized architectural decisions and supports robust NV classroom design under real-world constraints such as seasonal variability, outdoor pollution, noise, security, safety, and user operation.</w:t>
      </w:r>
    </w:p>
    <w:p w14:paraId="6582069B" w14:textId="77777777" w:rsidR="0097680B" w:rsidRPr="00E33C2B" w:rsidRDefault="0097680B" w:rsidP="0097680B">
      <w:pPr>
        <w:pStyle w:val="NormalWeb"/>
        <w:spacing w:before="0" w:after="0" w:line="480" w:lineRule="auto"/>
        <w:jc w:val="both"/>
        <w:rPr>
          <w:sz w:val="22"/>
          <w:szCs w:val="22"/>
          <w:rtl/>
        </w:rPr>
      </w:pPr>
      <w:r w:rsidRPr="00E33C2B">
        <w:rPr>
          <w:rStyle w:val="Strong"/>
          <w:sz w:val="22"/>
          <w:szCs w:val="22"/>
        </w:rPr>
        <w:lastRenderedPageBreak/>
        <w:t>Keywords</w:t>
      </w:r>
      <w:r w:rsidRPr="00E33C2B">
        <w:rPr>
          <w:sz w:val="22"/>
          <w:szCs w:val="22"/>
        </w:rPr>
        <w:br/>
        <w:t>Natural ventilation; school classrooms; indoor air quality; architectural design; airflow control.</w:t>
      </w:r>
    </w:p>
    <w:p w14:paraId="48444D46" w14:textId="77777777" w:rsidR="0097680B" w:rsidRPr="00E33C2B" w:rsidRDefault="0097680B" w:rsidP="0097680B">
      <w:pPr>
        <w:pStyle w:val="Heading2"/>
        <w:spacing w:before="0" w:after="0" w:line="480" w:lineRule="auto"/>
        <w:jc w:val="both"/>
        <w:rPr>
          <w:sz w:val="22"/>
          <w:szCs w:val="22"/>
          <w:rtl/>
          <w:lang w:bidi="fa-IR"/>
        </w:rPr>
      </w:pPr>
      <w:r w:rsidRPr="00E33C2B">
        <w:rPr>
          <w:sz w:val="22"/>
          <w:szCs w:val="22"/>
        </w:rPr>
        <w:t>1. Introduction</w:t>
      </w:r>
    </w:p>
    <w:p w14:paraId="7F555A3B" w14:textId="77777777" w:rsidR="0097680B" w:rsidRPr="00E33C2B" w:rsidRDefault="0097680B" w:rsidP="0097680B">
      <w:pPr>
        <w:pStyle w:val="NormalWeb"/>
        <w:spacing w:before="0" w:after="0" w:line="480" w:lineRule="auto"/>
        <w:jc w:val="both"/>
        <w:rPr>
          <w:sz w:val="22"/>
          <w:szCs w:val="22"/>
        </w:rPr>
      </w:pPr>
      <w:r w:rsidRPr="00E33C2B">
        <w:rPr>
          <w:sz w:val="22"/>
          <w:szCs w:val="22"/>
        </w:rPr>
        <w:t>School classrooms are high-occupancy spaces in which ventilation conditions directly affect indoor air quality (IAQ), thermal comfort, health, and students’ ability to remain attentive. Long occupied hours, fluctuating density, and the sensitivity of school-age users make adequate outdoor-air provision a critical consideration in educational environments. Natural ventilation (NV), driven primarily by wind pressure and thermal buoyancy, is widely recognized as a low-energy strategy for improving IAQ and reducing dependence on mechanical systems when outdoor conditions and building operation permit its effective use (Gil-Baez et al., 2017a, 2017b; Kapoor et al., 2021; Toyinbo, 2023).</w:t>
      </w:r>
    </w:p>
    <w:p w14:paraId="0873878B" w14:textId="77777777" w:rsidR="0097680B" w:rsidRPr="00E33C2B" w:rsidRDefault="0097680B" w:rsidP="0097680B">
      <w:pPr>
        <w:pStyle w:val="NormalWeb"/>
        <w:spacing w:before="0" w:after="0" w:line="480" w:lineRule="auto"/>
        <w:jc w:val="both"/>
        <w:rPr>
          <w:sz w:val="22"/>
          <w:szCs w:val="22"/>
        </w:rPr>
      </w:pPr>
      <w:r w:rsidRPr="00E33C2B">
        <w:rPr>
          <w:sz w:val="22"/>
          <w:szCs w:val="22"/>
        </w:rPr>
        <w:t>Reliable NV, however, cannot be achieved merely by providing operable windows. It is an airflow system shaped by coordinated architectural decisions across multiple spatial scales. Site exposure and massing influence pressure differences; plan depth, internal partitions, and sectional organization determine the continuity of airflow paths; and façade permeability, opening geometry, and dedicated ventilation elements affect air entry, distribution, exhaust, and user control (Aflaki et al., 2015; Jia et al., 2021; Khoshnaw et al., 2025). These decisions must also respond to seasonal variability, outdoor pollution, acoustic disturbance, safety, security, and occupant behavior (Diaz-Lopez, Serrano-Jimenez, Lizana, et al., 2022; Diaz-Lopez, Serrano-Jimenez, Verichev, et al., 2022). Accordingly, intermittent window opening may provide temporary airing without ensuring stable, predictable, or controllable ventilation performance.</w:t>
      </w:r>
    </w:p>
    <w:p w14:paraId="53238795"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Research on NV in educational buildings has expanded across building physics, environmental engineering, public health, and climate-responsive architecture </w:t>
      </w:r>
      <w:r w:rsidRPr="00E33C2B">
        <w:rPr>
          <w:sz w:val="22"/>
          <w:szCs w:val="22"/>
        </w:rPr>
        <w:fldChar w:fldCharType="begin"/>
      </w:r>
      <w:r w:rsidRPr="00E33C2B">
        <w:rPr>
          <w:sz w:val="22"/>
          <w:szCs w:val="22"/>
        </w:rPr>
        <w:instrText xml:space="preserve"> ADDIN ZOTERO_ITEM CSL_CITATION {"citationID":"4LjSY2ww","properties":{"unsorted":false,"formattedCitation":"(Cuce et al., 2019)","plainCitation":"(Cuce et al., 2019)","noteIndex":0},"citationItems":[{"id":291,"uris":["http://zotero.org/users/15615893/items/Z998DYXN"],"itemData":{"id":291,"type":"article-journal","abstract":"Developing technology and architectural design techniques have affected the field of architecture to a great extent. As a result, human comfort has become increasingly important in recent years. A natural ventilation cooling strategy which serves as the alternative to the air-conditioning system has been effectively employed in high-rise office buildings in western countries. This paper discusses the possibility of using natural ventilation strategy in school buildings. It evaluates some of the key issues associated with natural ventilation design and school buildings, including its the types, its working principles and limitations of passive ventilation, its effects and forms of natural ventilation when used in libraries, offices, auditoriums and dormitory buildings. This work also evaluates and how does the effects of architectural design on the passive ventilation such as orientation, depth of room, the atrium and solar chimney. Based on case studies on Queens building at De Montfort University, Liberty tower of Meiji University and simulation regarding ecological dormitory building in China. These three buildings have been selected to operate as simultaneously in different climatic and thermal comfort conditions. It is concluded that single-side ventilation and cross-ventilation can have good effect on cooling and improving air quality in school buildings with different functions as long as the height and depth of rooms are properly designed. Solar wall and solar chimney can also be employed to enhance natural ventilation performance based on the principle of stack effect.","container-title":"SUSTAINABLE ENERGY TECHNOLOGIES AND ASSESSMENTS","DOI":"10.1016/j.seta.2019.100540","ISSN":"2213-1388, 2213-1396","journalAbbreviation":"Sustain. Energy Technol. Assess.","language":"English","note":"number-of-pages: 10\npublisher-place: Amsterdam\nWeb of Science ID: WOS:000496955300026","page":"100540","publisher":"Elsevier","source":"Clarivate Analytics Web of Science","title":"Sustainable ventilation strategies in buildings: CFD research","title-short":"Sustainable ventilation strategies in buildings","volume":"36","author":[{"family":"Cuce","given":"Erdem"},{"family":"Sher","given":"Farooq"},{"family":"Sadiq","given":"Hamad"},{"family":"Cuce","given":"Pinar Mert"},{"family":"Guclu","given":"Tamer"},{"family":"Besir","given":"Ahmet B."}],"issued":{"date-parts":[["2019",12]]}}}],"schema":"https://github.com/citation-style-language/schema/raw/master/csl-citation.json"} </w:instrText>
      </w:r>
      <w:r w:rsidRPr="00E33C2B">
        <w:rPr>
          <w:sz w:val="22"/>
          <w:szCs w:val="22"/>
        </w:rPr>
        <w:fldChar w:fldCharType="separate"/>
      </w:r>
      <w:r w:rsidRPr="00E33C2B">
        <w:rPr>
          <w:sz w:val="22"/>
          <w:szCs w:val="22"/>
        </w:rPr>
        <w:t>(Cuce et al., 2019)</w:t>
      </w:r>
      <w:r w:rsidRPr="00E33C2B">
        <w:rPr>
          <w:sz w:val="22"/>
          <w:szCs w:val="22"/>
        </w:rPr>
        <w:fldChar w:fldCharType="end"/>
      </w:r>
      <w:r w:rsidRPr="00E33C2B">
        <w:rPr>
          <w:sz w:val="22"/>
          <w:szCs w:val="22"/>
        </w:rPr>
        <w:t xml:space="preserve">. International studies have examined airflow mechanisms, opening configurations, classroom environmental performance, ventilation and infection-risk concerns, and the health and cognitive implications of indoor environmental quality (Aguilar-Carrasco et al., 2025; Becker et al., 2007; Cordero et al., 2024; Ferrari </w:t>
      </w:r>
      <w:r w:rsidRPr="00E33C2B">
        <w:rPr>
          <w:sz w:val="22"/>
          <w:szCs w:val="22"/>
        </w:rPr>
        <w:lastRenderedPageBreak/>
        <w:t>et al., 2022; Fisk, 2017; Paridokht et al., 2025). Earlier school-focused design studies also emphasize the architectural role of form, orientation, openings, and spatial organization in establishing ventilation strategies (Alatalo, 2016; Sireesha, 2016; Uzunhasanoglu, 2015). Iranian studies have contributed context-specific evidence on climate-responsive school design, inlet–outlet relationships, façade configuration, classroom geometry, shading, adjustable openings, and operational constraints (Kabir, 2015; Hendoukolaei, 2018; Haji Hosseini, 2020; Khojasteh, 2022). Iranian standards and guidance documents also address outdoor-air provision, CO₂ thresholds, opening requirements, classroom dimensions, daylight–ventilation relationships, pollutant-source separation, safety, and hybrid ventilation strategies (Plan and Budget Organization of Iran, 2021; Ministry of Health, Treatment, and Medical Education, 2022; Institute of Standards and Industrial Research of Iran, 1998, 2001, 2002; Management and Planning Organization of Iran, 2016).</w:t>
      </w:r>
    </w:p>
    <w:p w14:paraId="15153FCA" w14:textId="77777777" w:rsidR="0097680B" w:rsidRPr="00E33C2B" w:rsidRDefault="0097680B" w:rsidP="0097680B">
      <w:pPr>
        <w:pStyle w:val="NormalWeb"/>
        <w:spacing w:before="0" w:after="0" w:line="480" w:lineRule="auto"/>
        <w:jc w:val="both"/>
        <w:rPr>
          <w:sz w:val="22"/>
          <w:szCs w:val="22"/>
        </w:rPr>
      </w:pPr>
      <w:r w:rsidRPr="00E33C2B">
        <w:rPr>
          <w:sz w:val="22"/>
          <w:szCs w:val="22"/>
        </w:rPr>
        <w:t>Despite this growing body of knowledge, the available evidence remains fragmented across disciplines and is often reported through heterogeneous indicators, assumptions, and boundary conditions. Many studies focus on isolated variables or individual cases rather than integrated architectural decision structures. Standards provide performance benchmarks, but their application still requires architectural interpretation in relation to spatial configuration, airflow-path continuity, and operational feasibility. Consequently, architects lack a concise and prioritized framework that can translate dispersed evidence into early-stage design decisions.</w:t>
      </w:r>
    </w:p>
    <w:p w14:paraId="6B3CE7FF" w14:textId="77777777" w:rsidR="0097680B" w:rsidRPr="00E33C2B" w:rsidRDefault="0097680B" w:rsidP="0097680B">
      <w:pPr>
        <w:pStyle w:val="NormalWeb"/>
        <w:spacing w:before="0" w:after="0" w:line="480" w:lineRule="auto"/>
        <w:jc w:val="both"/>
        <w:rPr>
          <w:sz w:val="22"/>
          <w:szCs w:val="22"/>
        </w:rPr>
      </w:pPr>
      <w:r w:rsidRPr="00E33C2B">
        <w:rPr>
          <w:sz w:val="22"/>
          <w:szCs w:val="22"/>
        </w:rPr>
        <w:t>This study addresses that evidence-to-decision gap by developing a multi-scale architectural decision framework for NV in school classrooms. The research synthesizes international and Iranian evidence primarily published between 2000 and 2025 and organizes the findings across four interconnected scales: site and massing, plan and section, façade and openings, and NV-supporting components. A rubric-guided screening procedure is also used to identify well-documented school precedents for comparative interpretation. The intended contribution is an architect-readable framework and a transparent evidence-to-decision workflow that link airflow mechanisms and performance evidence to prioritized design decisions under real-world constraints.</w:t>
      </w:r>
    </w:p>
    <w:p w14:paraId="1A9D03A5" w14:textId="77777777" w:rsidR="0097680B" w:rsidRPr="00E33C2B" w:rsidRDefault="0097680B" w:rsidP="0097680B">
      <w:pPr>
        <w:pStyle w:val="NormalWeb"/>
        <w:spacing w:before="0" w:after="0" w:line="480" w:lineRule="auto"/>
        <w:jc w:val="both"/>
        <w:rPr>
          <w:sz w:val="22"/>
          <w:szCs w:val="22"/>
        </w:rPr>
      </w:pPr>
      <w:r w:rsidRPr="00E33C2B">
        <w:rPr>
          <w:sz w:val="22"/>
          <w:szCs w:val="22"/>
        </w:rPr>
        <w:lastRenderedPageBreak/>
        <w:t>The study is guided by the following research questions:</w:t>
      </w:r>
    </w:p>
    <w:p w14:paraId="14A19AE6" w14:textId="77777777" w:rsidR="0097680B" w:rsidRPr="00E33C2B" w:rsidRDefault="0097680B" w:rsidP="0097680B">
      <w:pPr>
        <w:pStyle w:val="NormalWeb"/>
        <w:spacing w:before="0" w:after="0" w:line="480" w:lineRule="auto"/>
        <w:jc w:val="both"/>
        <w:rPr>
          <w:sz w:val="22"/>
          <w:szCs w:val="22"/>
        </w:rPr>
      </w:pPr>
      <w:r w:rsidRPr="00E33C2B">
        <w:rPr>
          <w:sz w:val="22"/>
          <w:szCs w:val="22"/>
        </w:rPr>
        <w:t>RQ1. What multi-scale architectural decision framework can translate dispersed international and Iranian evidence into actionable NV strategies for school classrooms?</w:t>
      </w:r>
    </w:p>
    <w:p w14:paraId="16C027BF" w14:textId="77777777" w:rsidR="0097680B" w:rsidRPr="00E33C2B" w:rsidRDefault="0097680B" w:rsidP="0097680B">
      <w:pPr>
        <w:pStyle w:val="NormalWeb"/>
        <w:spacing w:before="0" w:after="0" w:line="480" w:lineRule="auto"/>
        <w:jc w:val="both"/>
        <w:rPr>
          <w:sz w:val="22"/>
          <w:szCs w:val="22"/>
        </w:rPr>
      </w:pPr>
      <w:r w:rsidRPr="00E33C2B">
        <w:rPr>
          <w:sz w:val="22"/>
          <w:szCs w:val="22"/>
        </w:rPr>
        <w:t>RQ2. How can a transparent rubric-guided procedure be used to identify and compare well-documented school precedents for evidence-based interpretation and transfer of NV design decisions?</w:t>
      </w:r>
    </w:p>
    <w:p w14:paraId="64C19B15" w14:textId="77777777" w:rsidR="0097680B" w:rsidRPr="00E33C2B" w:rsidRDefault="0097680B" w:rsidP="0097680B">
      <w:pPr>
        <w:pStyle w:val="Heading2"/>
        <w:spacing w:before="0" w:after="0" w:line="480" w:lineRule="auto"/>
        <w:jc w:val="both"/>
        <w:rPr>
          <w:rFonts w:eastAsiaTheme="majorEastAsia"/>
          <w:kern w:val="2"/>
          <w:sz w:val="22"/>
          <w:szCs w:val="22"/>
          <w14:ligatures w14:val="standardContextual"/>
        </w:rPr>
      </w:pPr>
      <w:r w:rsidRPr="00E33C2B">
        <w:rPr>
          <w:sz w:val="22"/>
          <w:szCs w:val="22"/>
        </w:rPr>
        <w:t>2. Materials and Methods</w:t>
      </w:r>
    </w:p>
    <w:p w14:paraId="72676684"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2.1. Research Design</w:t>
      </w:r>
    </w:p>
    <w:p w14:paraId="03D4D9C2" w14:textId="77777777" w:rsidR="0097680B" w:rsidRPr="00E33C2B" w:rsidRDefault="0097680B" w:rsidP="0097680B">
      <w:pPr>
        <w:pStyle w:val="NormalWeb"/>
        <w:spacing w:before="0" w:after="0" w:line="480" w:lineRule="auto"/>
        <w:jc w:val="both"/>
        <w:rPr>
          <w:sz w:val="22"/>
          <w:szCs w:val="22"/>
        </w:rPr>
      </w:pPr>
      <w:r w:rsidRPr="00E33C2B">
        <w:rPr>
          <w:sz w:val="22"/>
          <w:szCs w:val="22"/>
        </w:rPr>
        <w:t>This study developed a multi-scale architectural decision framework for natural ventilation (NV) in school classrooms through an integrated evidence-synthesis approach. The method combined a PRISMA-guided review of international and Iranian sources, a design-oriented thematic synthesis, and a rubric-guided comparative analysis of architectural precedents. Iranian M.Sc. theses and national standards were also examined as complementary evidence streams to capture context-specific design concerns and regulatory constraints.</w:t>
      </w:r>
    </w:p>
    <w:p w14:paraId="17B28813" w14:textId="77777777" w:rsidR="0097680B" w:rsidRPr="00E33C2B" w:rsidRDefault="0097680B" w:rsidP="0097680B">
      <w:pPr>
        <w:pStyle w:val="NormalWeb"/>
        <w:spacing w:before="0" w:after="0" w:line="480" w:lineRule="auto"/>
        <w:jc w:val="both"/>
        <w:rPr>
          <w:sz w:val="22"/>
          <w:szCs w:val="22"/>
        </w:rPr>
      </w:pPr>
      <w:r w:rsidRPr="00E33C2B">
        <w:rPr>
          <w:sz w:val="22"/>
          <w:szCs w:val="22"/>
        </w:rPr>
        <w:t>The analysis treated classroom NV as a coordinated airflow system rather than as a matter of window area alone. Evidence was interpreted across four interconnected architectural scales: site and massing, plan and section, façade and openings, and NV-supporting components. Particular attention was given to the traceability of the airflow path: supply, transfer, and exhaust.</w:t>
      </w:r>
    </w:p>
    <w:p w14:paraId="371AF4E7"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2.2. Evidence Sources and Search Strategy</w:t>
      </w:r>
    </w:p>
    <w:p w14:paraId="20321E02"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International records were identified through Scopus, Web of Science, and Google Scholar. Iranian records were collected from IranDoc/Ganj, selected university repositories, SID, Magiran, Noormags, and Civilica. The review focused on sources published between 2000 and 2025; currently applicable national standards issued outside this period were retained when they defined directly relevant architectural or regulatory constraints. Search terms were organized around three concept groups: </w:t>
      </w:r>
      <w:r w:rsidRPr="00E33C2B">
        <w:rPr>
          <w:sz w:val="22"/>
          <w:szCs w:val="22"/>
        </w:rPr>
        <w:lastRenderedPageBreak/>
        <w:t>natural ventilation, school or classroom environments, and architectural design strategies. Equivalent English and Persian terms were adapted to the indexing structure of each database.</w:t>
      </w:r>
    </w:p>
    <w:p w14:paraId="3DB5EF45" w14:textId="77777777" w:rsidR="0097680B" w:rsidRPr="00E33C2B" w:rsidRDefault="0097680B" w:rsidP="0097680B">
      <w:pPr>
        <w:pStyle w:val="NormalWeb"/>
        <w:spacing w:before="0" w:after="0" w:line="480" w:lineRule="auto"/>
        <w:jc w:val="both"/>
        <w:rPr>
          <w:sz w:val="22"/>
          <w:szCs w:val="22"/>
        </w:rPr>
      </w:pPr>
      <w:r w:rsidRPr="00E33C2B">
        <w:rPr>
          <w:sz w:val="22"/>
          <w:szCs w:val="22"/>
        </w:rPr>
        <w:t>The search identified 1,013 records before de-duplication, including 924 international records and 89 Iranian records. Standards, regulations, books, and institutional guidance documents were retained when they contributed directly to the architectural interpretation of classroom NV.</w:t>
      </w:r>
    </w:p>
    <w:p w14:paraId="07A8FAEB"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2.3. Screening and Eligibility Assessment</w:t>
      </w:r>
    </w:p>
    <w:p w14:paraId="78AEBC78"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review followed a PRISMA-guided workflow comprising identification, de-duplication, title-and-abstract screening, full-text eligibility assessment, and final inclusion. The screening process is presented in </w:t>
      </w:r>
      <w:r w:rsidRPr="00E33C2B">
        <w:rPr>
          <w:b/>
          <w:bCs/>
          <w:sz w:val="22"/>
          <w:szCs w:val="22"/>
        </w:rPr>
        <w:t>Figure 1</w:t>
      </w:r>
      <w:r w:rsidRPr="00E33C2B">
        <w:rPr>
          <w:sz w:val="22"/>
          <w:szCs w:val="22"/>
        </w:rPr>
        <w:t>.</w:t>
      </w:r>
    </w:p>
    <w:p w14:paraId="62814326" w14:textId="77777777" w:rsidR="0097680B" w:rsidRPr="00E33C2B" w:rsidRDefault="0097680B" w:rsidP="0097680B">
      <w:pPr>
        <w:pStyle w:val="NormalWeb"/>
        <w:spacing w:before="0" w:after="0" w:line="480" w:lineRule="auto"/>
        <w:jc w:val="both"/>
        <w:rPr>
          <w:sz w:val="22"/>
          <w:szCs w:val="22"/>
        </w:rPr>
      </w:pPr>
      <w:r w:rsidRPr="00E33C2B">
        <w:rPr>
          <w:sz w:val="22"/>
          <w:szCs w:val="22"/>
        </w:rPr>
        <w:t>Sources were retained when they addressed naturally ventilated or mixed-mode school environments and provided design-relevant evidence, such as orientation, plan depth, sectional configuration, façade permeability, opening geometry, airflow paths, operational assumptions, or NV-supporting components. Sources were excluded when they focused on non-educational settings without transferable implications, addressed mechanical systems without architectural relevance, or lacked sufficient methodological or descriptive transparency.</w:t>
      </w:r>
    </w:p>
    <w:p w14:paraId="13F9F6E1" w14:textId="77777777" w:rsidR="0097680B" w:rsidRPr="00E33C2B" w:rsidRDefault="0097680B" w:rsidP="0097680B">
      <w:pPr>
        <w:pStyle w:val="NormalWeb"/>
        <w:spacing w:before="0" w:after="0" w:line="480" w:lineRule="auto"/>
        <w:jc w:val="both"/>
        <w:rPr>
          <w:sz w:val="22"/>
          <w:szCs w:val="22"/>
        </w:rPr>
      </w:pPr>
      <w:r w:rsidRPr="00E33C2B">
        <w:rPr>
          <w:sz w:val="22"/>
          <w:szCs w:val="22"/>
        </w:rPr>
        <w:t>Following screening and eligibility assessment, 117 sources were retained for synthesis, comprising 54 English-language sources and 63 Persian-language sources.</w:t>
      </w:r>
    </w:p>
    <w:p w14:paraId="7780C2B1"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2.4. Data Extraction and Thematic Synthesis</w:t>
      </w:r>
    </w:p>
    <w:p w14:paraId="21B9FFE8" w14:textId="77777777" w:rsidR="0097680B" w:rsidRPr="00E33C2B" w:rsidRDefault="0097680B" w:rsidP="0097680B">
      <w:pPr>
        <w:pStyle w:val="NormalWeb"/>
        <w:spacing w:before="0" w:after="0" w:line="480" w:lineRule="auto"/>
        <w:jc w:val="both"/>
        <w:rPr>
          <w:sz w:val="22"/>
          <w:szCs w:val="22"/>
        </w:rPr>
      </w:pPr>
      <w:r w:rsidRPr="00E33C2B">
        <w:rPr>
          <w:sz w:val="22"/>
          <w:szCs w:val="22"/>
        </w:rPr>
        <w:t>A structured extraction protocol recorded climatic context, school typology, ventilation mode, driving force, airflow-distribution principle, architectural variables, operational assumptions, analytical method, performance indicators, and reported implications. Evidence was synthesized through a design-oriented thematic analysis linking each finding to supply–transfer–exhaust logic and to the relevant stage of architectural decision-making.</w:t>
      </w:r>
    </w:p>
    <w:p w14:paraId="779B27A4"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lastRenderedPageBreak/>
        <w:t>2.5. Rubric-Guided Precedent Selection</w:t>
      </w:r>
    </w:p>
    <w:p w14:paraId="164CBFE8"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An initial pool of 56 school precedents was compiled from the reviewed literature. Each case was evaluated using five criteria: clarity of the ventilation principle, legibility of the airflow path, availability of quantitative or validated evidence, traceability of operational assumptions, and transferability to early-stage design decisions. Each criterion was scored from 0 to 2, where 0 indicated absent or unclear evidence, 1 indicated partial evidence, and 2 indicated clear and design-transferable evidence. The rubric is presented in </w:t>
      </w:r>
      <w:r w:rsidRPr="00E33C2B">
        <w:rPr>
          <w:b/>
          <w:bCs/>
          <w:sz w:val="22"/>
          <w:szCs w:val="22"/>
        </w:rPr>
        <w:t>Table 1</w:t>
      </w:r>
      <w:r w:rsidRPr="00E33C2B">
        <w:rPr>
          <w:sz w:val="22"/>
          <w:szCs w:val="22"/>
        </w:rPr>
        <w:t>.</w:t>
      </w:r>
    </w:p>
    <w:p w14:paraId="196AEE8A"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cases were ranked by total score, and seven precedents with the strongest combination of architectural legibility, evidence quality, and transferability were retained for comparative analysis. Their scores and principal sources are summarized in </w:t>
      </w:r>
      <w:r w:rsidRPr="00E33C2B">
        <w:rPr>
          <w:b/>
          <w:bCs/>
          <w:sz w:val="22"/>
          <w:szCs w:val="22"/>
        </w:rPr>
        <w:t>Table 2</w:t>
      </w:r>
      <w:r w:rsidRPr="00E33C2B">
        <w:rPr>
          <w:sz w:val="22"/>
          <w:szCs w:val="22"/>
        </w:rPr>
        <w:t>.</w:t>
      </w:r>
    </w:p>
    <w:p w14:paraId="364DF402"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2.6. Iranian M.Sc. Thesis Analysis</w:t>
      </w:r>
    </w:p>
    <w:p w14:paraId="6796BC54" w14:textId="77777777" w:rsidR="0097680B" w:rsidRPr="00E33C2B" w:rsidRDefault="0097680B" w:rsidP="0097680B">
      <w:pPr>
        <w:pStyle w:val="NormalWeb"/>
        <w:spacing w:before="0" w:after="0" w:line="480" w:lineRule="auto"/>
        <w:jc w:val="both"/>
        <w:rPr>
          <w:sz w:val="22"/>
          <w:szCs w:val="22"/>
        </w:rPr>
      </w:pPr>
      <w:r w:rsidRPr="00E33C2B">
        <w:rPr>
          <w:sz w:val="22"/>
          <w:szCs w:val="22"/>
        </w:rPr>
        <w:t>Within the retained evidence set, 40 Iranian M.Sc. theses were analyzed as a national evidence stream. They were classified by research orientation, thematic focus, and analytical method to identify recurring design concerns, dominant research patterns, and gaps in translating performance findings into explicit architectural rules.</w:t>
      </w:r>
    </w:p>
    <w:p w14:paraId="1CC3C6EC" w14:textId="77777777" w:rsidR="0097680B" w:rsidRPr="00E33C2B" w:rsidRDefault="0097680B" w:rsidP="0097680B">
      <w:pPr>
        <w:pStyle w:val="NormalWeb"/>
        <w:numPr>
          <w:ilvl w:val="0"/>
          <w:numId w:val="28"/>
        </w:numPr>
        <w:tabs>
          <w:tab w:val="clear" w:pos="720"/>
          <w:tab w:val="num" w:pos="360"/>
        </w:tabs>
        <w:spacing w:before="0" w:after="0" w:line="480" w:lineRule="auto"/>
        <w:ind w:left="284" w:hanging="284"/>
        <w:jc w:val="both"/>
        <w:rPr>
          <w:b/>
          <w:bCs/>
          <w:sz w:val="22"/>
          <w:szCs w:val="22"/>
        </w:rPr>
      </w:pPr>
      <w:r w:rsidRPr="00E33C2B">
        <w:rPr>
          <w:b/>
          <w:bCs/>
          <w:sz w:val="22"/>
          <w:szCs w:val="22"/>
        </w:rPr>
        <w:t>Results</w:t>
      </w:r>
    </w:p>
    <w:p w14:paraId="1DB30E7F"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evidence synthesis shows that reliable natural ventilation (NV) in school classrooms cannot be reduced to operable windows or isolated components. It emerges from coordinated decisions across design scales, airflow mechanisms, and operational conditions (Baeumle, 2021; Baeumle &amp; Hunt, 2018). The results are organized around two complementary perspectives: NV as a multi-scale design process, and NV as a system of architectural elements and airflow mechanisms. </w:t>
      </w:r>
      <w:r w:rsidRPr="00E33C2B">
        <w:rPr>
          <w:b/>
          <w:bCs/>
          <w:sz w:val="22"/>
          <w:szCs w:val="22"/>
        </w:rPr>
        <w:t>Figure 2</w:t>
      </w:r>
      <w:r w:rsidRPr="00E33C2B">
        <w:rPr>
          <w:sz w:val="22"/>
          <w:szCs w:val="22"/>
        </w:rPr>
        <w:t xml:space="preserve"> summarizes these perspectives and frames the following subsections.</w:t>
      </w:r>
    </w:p>
    <w:p w14:paraId="793FF1E7"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central principle linking the findings is a traceable supply–transfer–exhaust pathway: outdoor air should enter through a viable inlet, pass through the occupied zone, and reach an effective outlet without </w:t>
      </w:r>
      <w:r w:rsidRPr="00E33C2B">
        <w:rPr>
          <w:sz w:val="22"/>
          <w:szCs w:val="22"/>
        </w:rPr>
        <w:lastRenderedPageBreak/>
        <w:t xml:space="preserve">excessive resistance, short-circuiting, or unintended bypass (Etheridge, 2012; Awbi, 2008; Kleiven, 2003). </w:t>
      </w:r>
      <w:r w:rsidRPr="00E33C2B">
        <w:rPr>
          <w:b/>
          <w:bCs/>
          <w:sz w:val="22"/>
          <w:szCs w:val="22"/>
        </w:rPr>
        <w:t>Table 3</w:t>
      </w:r>
      <w:r w:rsidRPr="00E33C2B">
        <w:rPr>
          <w:sz w:val="22"/>
          <w:szCs w:val="22"/>
        </w:rPr>
        <w:t xml:space="preserve"> summarizes the operational vocabulary used to describe this pathway, </w:t>
      </w:r>
      <w:r w:rsidRPr="00E33C2B">
        <w:rPr>
          <w:b/>
          <w:bCs/>
          <w:sz w:val="22"/>
          <w:szCs w:val="22"/>
        </w:rPr>
        <w:t>Table 4</w:t>
      </w:r>
      <w:r w:rsidRPr="00E33C2B">
        <w:rPr>
          <w:sz w:val="22"/>
          <w:szCs w:val="22"/>
        </w:rPr>
        <w:t xml:space="preserve"> presents key geometry and depth rules, and </w:t>
      </w:r>
      <w:r w:rsidRPr="00E33C2B">
        <w:rPr>
          <w:b/>
          <w:bCs/>
          <w:sz w:val="22"/>
          <w:szCs w:val="22"/>
        </w:rPr>
        <w:t>Table 5</w:t>
      </w:r>
      <w:r w:rsidRPr="00E33C2B">
        <w:rPr>
          <w:sz w:val="22"/>
          <w:szCs w:val="22"/>
        </w:rPr>
        <w:t xml:space="preserve"> consolidates Iranian standards as architectural constraints (CIBSE, 2005; Institute of Standards and Industrial Research of Iran, 1998, 2001, 2002; Management and Planning Organization of Iran, 2016; Ministry of Health, Treatment, and Medical Education, 2022; Plan and Budget Organization of Iran, 2021).</w:t>
      </w:r>
    </w:p>
    <w:p w14:paraId="25302DF8"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3.1. Conceptual Framing and Operational Vocabulary</w:t>
      </w:r>
    </w:p>
    <w:p w14:paraId="44605118" w14:textId="77777777" w:rsidR="0097680B" w:rsidRPr="00E33C2B" w:rsidRDefault="0097680B" w:rsidP="0097680B">
      <w:pPr>
        <w:pStyle w:val="NormalWeb"/>
        <w:spacing w:before="0" w:after="0" w:line="480" w:lineRule="auto"/>
        <w:jc w:val="both"/>
        <w:rPr>
          <w:sz w:val="22"/>
          <w:szCs w:val="22"/>
        </w:rPr>
      </w:pPr>
      <w:r w:rsidRPr="00E33C2B">
        <w:rPr>
          <w:sz w:val="22"/>
          <w:szCs w:val="22"/>
        </w:rPr>
        <w:t>The reviewed evidence was translated into six operational dimensions: driving force, ventilation principle, airflow-distribution principle, ventilation elements, building geometry, and supply-exhaust air paths (Awbi, 2008; Kleiven, 2003). This vocabulary shifts the discussion from isolated performance indicators, such as air-change rate or CO₂ concentration, toward variables that architects can control: form, depth, section, opening location, facade elements, and airflow paths.</w:t>
      </w:r>
      <w:r w:rsidRPr="00E33C2B">
        <w:rPr>
          <w:sz w:val="22"/>
          <w:szCs w:val="22"/>
          <w:rtl/>
        </w:rPr>
        <w:t xml:space="preserve"> </w:t>
      </w:r>
      <w:r w:rsidRPr="00E33C2B">
        <w:rPr>
          <w:sz w:val="22"/>
          <w:szCs w:val="22"/>
        </w:rPr>
        <w:t xml:space="preserve">This translation process is illustrated in </w:t>
      </w:r>
      <w:r w:rsidRPr="00E33C2B">
        <w:rPr>
          <w:b/>
          <w:bCs/>
          <w:sz w:val="22"/>
          <w:szCs w:val="22"/>
        </w:rPr>
        <w:t>Figure 3</w:t>
      </w:r>
      <w:r w:rsidRPr="00E33C2B">
        <w:rPr>
          <w:sz w:val="22"/>
          <w:szCs w:val="22"/>
        </w:rPr>
        <w:t>, which shows how performance-oriented evidence is reframed through the six operational dimensions into architect-controllable design variables.</w:t>
      </w:r>
    </w:p>
    <w:p w14:paraId="3E13E2EE"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Natural airflow may be wind-driven, buoyancy-driven, or hybrid </w:t>
      </w:r>
      <w:r w:rsidRPr="00E33C2B">
        <w:rPr>
          <w:sz w:val="22"/>
          <w:szCs w:val="22"/>
        </w:rPr>
        <w:fldChar w:fldCharType="begin"/>
      </w:r>
      <w:r w:rsidRPr="00E33C2B">
        <w:rPr>
          <w:sz w:val="22"/>
          <w:szCs w:val="22"/>
        </w:rPr>
        <w:instrText xml:space="preserve"> ADDIN ZOTERO_ITEM CSL_CITATION {"citationID":"LngUUxX5","properties":{"unsorted":false,"formattedCitation":"(Bayoumi, 2021; Gladyszewska-Fiedoruk &amp; Adana, 2020; Indarti et al., 2023)","plainCitation":"(Bayoumi, 2021; Gladyszewska-Fiedoruk &amp; Adana, 2020; Indarti et al., 2023)","noteIndex":0},"citationItems":[{"id":2125,"uris":["http://zotero.org/users/15615893/items/C89FV4CC"],"itemData":{"id":2125,"type":"article-journal","abstract":"Student performance in classrooms is related to the indoor environmental quality. High air change rates are necessary to secure an acceptable level of indoor air quality and provide fresh air, which require large amounts of energy and technical installations. Mostly, mechanically supplied air is partially mixed with the return air. In warm climates, the capacity for natural ventilation is not fully exploited in modern buildings. During periods of acceptable outdoor temperatures, buildings need to adapt and employ available free renewable resources, such as wind. In this context, the building form, orientation, and envelope openings are crucial to enable an increased air change rate, user satisfaction, and energy savings. Owing to the difficulty of providing cross-ventilation in buildings with double-loaded corridors, single-sided ventilation is the most common approach. This study investigates the methods to improve the wind-driven air exchange of classrooms in warm climates, where naturally ventilated corridors help increase air movement. This study examines the potential of a set of alternatives within the context of a generic model regarding the pressure distribution, thermal sensation, air velocity, and air change rate. The study suggests that no single opening scenario can be applied to all façades at any time. Each façade requires special treatment. Decisions on natural ventilation need to be made during the early design stages for each façade. It was found that with the aid of low-tech modifications, remarkable increases in air change rates, in some cases up to 14.5 times that of the typical single-sided ventilation case, could be achieved.","container-title":"Modelling and Simulation in Engineering","DOI":"10.1155/2021/6668031","ISSN":"1687-5605, 1687-5591","journalAbbreviation":"Modelling and Simulation in Engineering","language":"en","license":"https://creativecommons.org/licenses/by/4.0/","page":"1-14","source":"DOI.org (Crossref)","title":"Improving Indoor Air Quality in Classrooms via Wind-Induced Natural Ventilation","volume":"2021","author":[{"family":"Bayoumi","given":"Mohannad"}],"editor":[{"family":"Ameur","given":"Houari"}],"issued":{"date-parts":[["2021",6,9]]}}},{"id":34,"uris":["http://zotero.org/users/15615893/items/K47ZHZS9"],"itemData":{"id":34,"type":"paper-conference","abstract":"Stack ventilation is the most common ventilation in public utility buildings and residential homes. Its task is to remove contaminated air from the room and thus maintain good indoor air quality. The aim of the study was to determine the effectiveness of the natural ventilation of one classroom and determine the impact of the additional air supply to the room on the stack ventilation effectiveness. The effectiveness of stack ventilation was tested in a classroom during winter months. The improvement of the effectiveness of stack ventilation was analyzed as a function of the number of open windows. An increase of 80% was obtained in the effectiveness of stack ventilation, when one window is opened. Lower increments were obtained when the number of windows opened were 2 or more. The maximum air change per hour during the tests was only 0.73 h-1. Despite of the influence of outdoor conditions on stack ventilation, the maximum air change per hour was lower than the recommended number of exchanges in classrooms. As a result, recommended ventilation rates in school classes were not achieved when using stack ventilation.  © Published under licence by IOP Publishing Ltd.","archive":"Scopus","container-title":"IOP Conf. Ser. Mater. Sci. Eng.","DOI":"10.1088/1757-899X/809/1/012008","event-title":"IOP Conference Series: Materials Science and Engineering","ISBN":"17578981 (ISSN)","issue":"1","language":"English","note":"journalAbbreviation: IOP Conf. Ser. Mater. Sci. Eng.","publisher":"Institute of Physics Publishing","title":"Improving the Effectiveness of Stack Ventilation by Supplying an Outdoor Air Stream","URL":"https://www.scopus.com/inward/record.uri?eid=2-s2.0-85088109613&amp;doi=10.1088%2f1757-899X%2f809%2f1%2f012008&amp;partnerID=40&amp;md5=a02e72ad967643e3091cf804bfdd739d","volume":"809","author":[{"family":"Gladyszewska-Fiedoruk","given":"K."},{"family":"Adana","given":"M.R.D."}],"issued":{"date-parts":[["2020"]]}}},{"id":2177,"uris":["http://zotero.org/users/15615893/items/XDCDI5PD"],"itemData":{"id":2177,"type":"article-journal","abstract":"The importance issue in providing comfortable indoor air quality conflicts with the use of energy for mechanical cooling in tropics region such as Indonesia. Natural ventilation is seen as a potential to provide comfort through the change of air within the inside and outside of the space. Natural ventilation becomes a strategy to achieve building resilience towards climate change because it requires no energy consumption. Therefore, this research aims to justify the design of natural ventilation of low-income Islamic Boarding School in Magelang using steady state simulation. The results indicated that among three ventilation strategies simulated in this study, it can be concluded that stack effect is predicted to produce higher air flow rate which results to comfortable predicted observation on adaptive comfort.","container-title":"Pawon: Jurnal Arsitektur","DOI":"10.36040/pawon.v7i2.7018","ISSN":"2597-7636","issue":"2","journalAbbreviation":"Pawon","language":"en","page":"301-314","source":"DOI.org (Crossref)","title":"The Predicted Performance of Natural Ventilation Strategies in Islamic Boarding School Design in Magelang","volume":"7","author":[{"family":"Indarti","given":"Fenty"},{"family":"Indrawan","given":"Iwan"},{"family":"Rizqiyah","given":"Fardilla"},{"family":"Krisdianto","given":"Johanes"},{"family":"Nuffida","given":"Nur Endah"},{"family":"Defiana","given":"Ima"}],"issued":{"date-parts":[["2023",8,10]]}}}],"schema":"https://github.com/citation-style-language/schema/raw/master/csl-citation.json"} </w:instrText>
      </w:r>
      <w:r w:rsidRPr="00E33C2B">
        <w:rPr>
          <w:sz w:val="22"/>
          <w:szCs w:val="22"/>
        </w:rPr>
        <w:fldChar w:fldCharType="separate"/>
      </w:r>
      <w:r w:rsidRPr="00E33C2B">
        <w:rPr>
          <w:sz w:val="22"/>
          <w:szCs w:val="22"/>
        </w:rPr>
        <w:t>(Bayoumi, 2021; Indarti et al., 2023)</w:t>
      </w:r>
      <w:r w:rsidRPr="00E33C2B">
        <w:rPr>
          <w:sz w:val="22"/>
          <w:szCs w:val="22"/>
        </w:rPr>
        <w:fldChar w:fldCharType="end"/>
      </w:r>
      <w:r w:rsidRPr="00E33C2B">
        <w:rPr>
          <w:sz w:val="22"/>
          <w:szCs w:val="22"/>
        </w:rPr>
        <w:t xml:space="preserve">. Depending on geometry and context, classrooms may rely on single-sided ventilation, enhanced single-sided ventilation, cross-ventilation, stack ventilation, displacement-oriented airflow, or combined strategies. However, ventilation quantity and airflow distribution are not equivalent. Acceptable average values for ACH, CO₂, or air velocity may still conceal stagnant seating zones, draughts, warm-air accumulation, or short-circuiting </w:t>
      </w:r>
      <w:r w:rsidRPr="00E33C2B">
        <w:rPr>
          <w:sz w:val="22"/>
          <w:szCs w:val="22"/>
        </w:rPr>
        <w:fldChar w:fldCharType="begin"/>
      </w:r>
      <w:r w:rsidRPr="00E33C2B">
        <w:rPr>
          <w:sz w:val="22"/>
          <w:szCs w:val="22"/>
        </w:rPr>
        <w:instrText xml:space="preserve"> ADDIN ZOTERO_ITEM CSL_CITATION {"citationID":"Gv3ny9If","properties":{"unsorted":false,"formattedCitation":"(Miao et al., 2025; Pinto et al., 2014)","plainCitation":"(Miao et al., 2025; Pinto et al., 2014)","noteIndex":0},"citationItems":[{"id":2313,"uris":["http://zotero.org/users/15615893/items/UBPZWKSN"],"itemData":{"id":2313,"type":"article-journal","abstract":"To maintain good indoor air quality in schools, it is often necessary to apply single-sided natural ventilation models using urban weather stations, since the local weather station is not available for most schools. However, the field study that validated the ventilation models with full-scale experiments in classrooms is very limited. Therefore, this study validated 6 existing single-sided ventilation models based on two field measurement campaigns conducted in naturally ventilated educational buildings, including the Warren &amp; Parkins (1977 &amp; 1985), De Gids &amp; Phaff (1982), Larsen &amp; Heiselberg (2008), Caciolo (2013), Tang (2016), and EN16798-7 (2017) models. The study also analyzed the cause of model prediction errors with respect to building characteristics such as weather station distance, building location, room floor, and incident wind direction. The results show that the distance between the school and the weather station has a significant impact on the model prediction accuracy. The prediction error generally exceeded 50 % with urban weather station data, while the actual ventilation rate was overestimated severely. The buoyancy and wind effects were overestimated by more than 2 times, due to the influence of the urban heat island effect and the complex built environment in the city. In addition, the prediction error related to the room floor was caused by the difference in environmental parameters, while the error related to the incident wind direction was mainly due to the limitations of the existing models. The results of this study provide valuable insights for the practical application and further improvement of ventilation models.","archive_location":"WOS:001530651000001","container-title":"BUILDING AND ENVIRONMENT","DOI":"10.1016/j.buildenv.2025.113329","ISSN":"0360-1323","language":"English","title":"Validating single-sided natural ventilation models for educational buildings","volume":"282","author":[{"family":"Miao","given":"S"},{"family":"Gangolells","given":"M"},{"family":"Tejedor","given":"B"}],"issued":{"date-parts":[["2025",8,15]]}}},{"id":2119,"uris":["http://zotero.org/users/15615893/items/589SZK94"],"itemData":{"id":2119,"type":"article-journal","abstract":"Indoor environmental conditions in classrooms, in particular temperature and indoor air quality, influence students’ health, attitude and performance. In recent years several studies regarding indoor environmental quality of classrooms were published and natural ventilation proved to have great potential, particularly in southern European climate.","language":"en","source":"Zotero","title":"EXPERIMENTAL ASSESSMENT OF IAQ IMPROVEMENT IN NATURALLY VENTILATED EDUCATIONAL BUILDINGS","author":[{"family":"Pinto","given":"Manuel"},{"family":"Almeida","given":"Ricardo"},{"family":"Pinho","given":"Paulo"},{"family":"Lemos","given":"Teixeira","non-dropping-particle":"de"}],"issued":{"date-parts":[["2014"]]}}}],"schema":"https://github.com/citation-style-language/schema/raw/master/csl-citation.json"} </w:instrText>
      </w:r>
      <w:r w:rsidRPr="00E33C2B">
        <w:rPr>
          <w:sz w:val="22"/>
          <w:szCs w:val="22"/>
        </w:rPr>
        <w:fldChar w:fldCharType="separate"/>
      </w:r>
      <w:r w:rsidRPr="00E33C2B">
        <w:rPr>
          <w:sz w:val="22"/>
          <w:szCs w:val="22"/>
        </w:rPr>
        <w:t xml:space="preserve">(Miao et al., 2025; Pinto et al., 2014; </w:t>
      </w:r>
      <w:r w:rsidRPr="00E33C2B">
        <w:rPr>
          <w:sz w:val="22"/>
          <w:szCs w:val="22"/>
        </w:rPr>
        <w:fldChar w:fldCharType="end"/>
      </w:r>
      <w:r w:rsidRPr="00E33C2B">
        <w:rPr>
          <w:sz w:val="22"/>
          <w:szCs w:val="22"/>
        </w:rPr>
        <w:t xml:space="preserve">Hsu et al., 2024). Reliable NV therefore requires the alignment of performance targets, air-path-forming architecture, and implementable operation </w:t>
      </w:r>
      <w:r w:rsidRPr="00E33C2B">
        <w:rPr>
          <w:sz w:val="22"/>
          <w:szCs w:val="22"/>
        </w:rPr>
        <w:fldChar w:fldCharType="begin"/>
      </w:r>
      <w:r w:rsidRPr="00E33C2B">
        <w:rPr>
          <w:sz w:val="22"/>
          <w:szCs w:val="22"/>
        </w:rPr>
        <w:instrText xml:space="preserve"> ADDIN ZOTERO_ITEM CSL_CITATION {"citationID":"aeI0W5Is","properties":{"unsorted":false,"formattedCitation":"(Bienvenido-Huertas et al., 2023; Duarte et al., 2024; Heeboll et al., 2018)","plainCitation":"(Bienvenido-Huertas et al., 2023; Duarte et al., 2024; Heeboll et al., 2018)","noteIndex":0},"citationItems":[{"id":263,"uris":["http://zotero.org/users/15615893/items/XKLB64NG"],"itemData":{"id":263,"type":"article-journal","abstract":"The climate change leads to periods of extreme events (i.e. reduction of cold seasons, heat waves, overheating, urban heat island among others) that affect the performance of residential and tertiary buildings with high occupancy (i.e. hospitals, schools, commercial centres, offices etc). However, most of low-carbon policies do not consider the ventilation as a mitigation measure. In fact, a lack of studies on natural ventilation (NV) and mixedmode (MM) strategies was detected, especially for warm regions or areas with hot and humid climates. This paper aims to carry out a bibliometric analysis from 1928 to 2023, to observe the evolution of the topic. After identifying the main research clusters (thermal comfort, energy efficiency, indoor air quality and simulation tools) by science mapping, the most relevant publications of the last 20 years were assessed (2003-2023). The results of this study revealed that only 1.51 % of the scientific documents in 95 years corresponded to an extensive literature review, although epidemic or disease outbreaks led to peaks of production in this topic. This emphasizes the importance of observing what was done and how was implemented over the years. Regarding the clusters, some relevant aspects can be highlighted: (i) non-homogeneity of studies on NV or MM related to building type; (ii) interregional projects should be drawn up to check the effectiveness of NV and MM, especially when other architectural techniques are adopted (i.e. solar chimneys, window wall ratio -WWR-, thermally activated building structures -TABS- etc); (iii) the optimization of simulation tools should be based on the incorporation of BIM and generative design for NV and MM.","archive_location":"WOS:001094487200001","container-title":"BUILDING AND ENVIRONMENT","DOI":"10.1016/j.buildenv.2023.110942","ISSN":"0360-1323","language":"English","title":"Holistic overview of natural ventilation and mixed mode in built environment of warm climate zones and hot seasons","volume":"245","author":[{"family":"Bienvenido-Huertas","given":"D"},{"family":"Hoz-Torres","given":"ML","non-dropping-particle":"de la"},{"family":"Aguilar","given":"AJ"},{"family":"Tejedor","given":"B"},{"family":"Sánchez-García","given":"D"}],"issued":{"date-parts":[["2023",11,1]]}}},{"id":2309,"uris":["http://zotero.org/users/15615893/items/5KCXKJ7Z"],"itemData":{"id":2309,"type":"article-journal","abstract":"In this paper, we use a path model to study natural ventilation in classrooms and research the link between air change rate, occupancy, and both outdoor and indoor physical variables. In general, the path model is derived from the building physics and occupant behavioral considerations via structural equation modeling (SEM), and allows for the use of continuous observable and unobservable factors. The latter are often employed in behavioral and social sciences to represent personal and group attributes. The path model is validated with data gathered during two consecutive academic years from four classrooms of a Portuguese school. The results confirm indoor and outdoor air temperature as major drivers of classroom ventilation, with standardized total path coefficients of approximately 0.55. Solar energy, precipitation, and occupancy are also significant drivers of classroom ventilation, with standardized total path coefficients of 0.24, -0.18, and 0.17, respectively. These results contribute to our understanding of the relative importance of occupancy as well as to identifying the most relevant environmental determinants of natural classroom ventilation. In spite of the statistical significance of the path model as a whole and its detailed causal relationships (direct, indirect, and feedback), only 58% of classroom ventilation variance is explained by the selected input variables. Because naturally ventilated classrooms depend significantly on occupants' interactions with the built environment, i.e., opening/closing windows and blinds, extending path modeling to include additional personal and context-related drivers of occupants' behavior would allow for further insights into the complex multi-domain topic of natural classroom ventilation.","archive_location":"WOS:001384102200001","container-title":"APPLIED SCIENCES-BASEL","DOI":"10.3390/app142411705","ISSN":"2076-3417","issue":"24","language":"English","title":"The Effect of Occupancy and Environmental Physical Variables on Classrooms' Natural Ventilation: A Path Modeling Approach","volume":"14","author":[{"family":"Duarte","given":"R"},{"family":"Rodrigues","given":"AM"},{"family":"Pimentel","given":"F"},{"family":"Gomes","given":"MD"}],"issued":{"date-parts":[["2024",12]]}}},{"id":103,"uris":["http://zotero.org/users/15615893/items/LJRH9Q9V"],"itemData":{"id":103,"type":"article-journal","abstract":"The aim of the present study was to extend the knowledge on the suitability and performance of different ventilation retrofit solutions for school buildings located in a temperate climate. A unique approach was used, where four similar and adjacent classrooms in the same school unit located north of Copenhagen, Denmark, were retrofitted either with a decentralized, balanced supply and exhaust mechanical ventilation unit with heat recovery; automatically operable windows with an exhaust fan; automatically operable windows with alternating counter-flow heat recovery through slots in the outside wall; or a visual feedback display unit showing the current classroom carbon dioxide concentration, thus advising when the windows should be opened. For comparison, one classroom retained the original approach for achieving ventilation by manual opening of windows. One year after retrofitting the classrooms carbon dioxide concentrations, temperatures, energy use, and window and door opening behavior were recorded during a four week period in the heating season in January. The measured carbon dioxide concentrations were significantly lower in the classrooms with the mechanical ventilation system and the system with automatic window opening and an exhaust fan as compared with the classrooms with automatic window opening and heat recovery, with visual carbon dioxide feedback and where windows were opened manually. The automatically controlled windows were open for 71% of the occupied time including breaks with an exhaust fan and for 49% with heat recovery. The facade windows were open up to 17% of the occupied time including breaks in the classrooms with manual window opening (with or without visual feedback). The classroom temperature was generally within the recommended thermal comfort range. The present results indicate that in temperate climates the mechanical ventilation system and both systems with automatic window opening are the recommended systems for classrooms in temperate climates. Providing simply visual feedback on the current carbon dioxide concentration, as a motivation for window opening, did not do so.","archive_location":"WOS:000436865600008","container-title":"SCIENCE AND TECHNOLOGY FOR THE BUILT ENVIRONMENT","DOI":"10.1080/23744731.2018.1432938","ISSN":"2374-4731","issue":"6","language":"English","page":"626-637","title":"Window and door opening behavior, carbon dioxide concentration, temperature, and energy use during the heating season in classrooms with different ventilation retrofitsASHRAE RP1624","volume":"24","author":[{"family":"Heeboll","given":"A"},{"family":"Wargocki","given":"P"},{"family":"Toftum","given":"J"}],"issued":{"date-parts":[["2018"]]}}}],"schema":"https://github.com/citation-style-language/schema/raw/master/csl-citation.json"} </w:instrText>
      </w:r>
      <w:r w:rsidRPr="00E33C2B">
        <w:rPr>
          <w:sz w:val="22"/>
          <w:szCs w:val="22"/>
        </w:rPr>
        <w:fldChar w:fldCharType="separate"/>
      </w:r>
      <w:r w:rsidRPr="00E33C2B">
        <w:rPr>
          <w:sz w:val="22"/>
          <w:szCs w:val="22"/>
        </w:rPr>
        <w:t>(Bienvenido-Huertas et al., 2023; Duarte et al., 2024; Heeboll et al., 2018)</w:t>
      </w:r>
      <w:r w:rsidRPr="00E33C2B">
        <w:rPr>
          <w:sz w:val="22"/>
          <w:szCs w:val="22"/>
        </w:rPr>
        <w:fldChar w:fldCharType="end"/>
      </w:r>
      <w:r w:rsidRPr="00E33C2B">
        <w:rPr>
          <w:sz w:val="22"/>
          <w:szCs w:val="22"/>
        </w:rPr>
        <w:t>.</w:t>
      </w:r>
    </w:p>
    <w:p w14:paraId="1BF59CCE"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3.2. Scale-Based Design Findings Across the School Design Process</w:t>
      </w:r>
    </w:p>
    <w:p w14:paraId="388D443B" w14:textId="77777777" w:rsidR="0097680B" w:rsidRPr="00E33C2B" w:rsidRDefault="0097680B" w:rsidP="0097680B">
      <w:pPr>
        <w:pStyle w:val="NormalWeb"/>
        <w:spacing w:before="0" w:after="0" w:line="480" w:lineRule="auto"/>
        <w:jc w:val="both"/>
        <w:rPr>
          <w:b/>
          <w:bCs/>
          <w:sz w:val="22"/>
          <w:szCs w:val="22"/>
        </w:rPr>
      </w:pPr>
      <w:r w:rsidRPr="00E33C2B">
        <w:rPr>
          <w:sz w:val="22"/>
          <w:szCs w:val="22"/>
        </w:rPr>
        <w:t xml:space="preserve">The first perspective in </w:t>
      </w:r>
      <w:r w:rsidRPr="00E33C2B">
        <w:rPr>
          <w:b/>
          <w:bCs/>
          <w:sz w:val="22"/>
          <w:szCs w:val="22"/>
        </w:rPr>
        <w:t>Figure 2</w:t>
      </w:r>
      <w:r w:rsidRPr="00E33C2B">
        <w:rPr>
          <w:sz w:val="22"/>
          <w:szCs w:val="22"/>
        </w:rPr>
        <w:t xml:space="preserve"> shows that NV should be treated as a front-loaded architectural decision. Its feasibility is largely established before details are designed, when urban exposure, school </w:t>
      </w:r>
      <w:r w:rsidRPr="00E33C2B">
        <w:rPr>
          <w:sz w:val="22"/>
          <w:szCs w:val="22"/>
        </w:rPr>
        <w:lastRenderedPageBreak/>
        <w:t>siting, building orientation, massing, plan depth, circulation layout, and section are defined (Baeumle, 2021; Baeumle &amp; Hunt, 2018; Hiyama &amp; Glicksman, 2015; Wang &amp; Malkawi, 2019; Yuan, 2018).</w:t>
      </w:r>
    </w:p>
    <w:p w14:paraId="1E7F6A85" w14:textId="77777777" w:rsidR="0097680B" w:rsidRPr="00E33C2B" w:rsidRDefault="0097680B" w:rsidP="0097680B">
      <w:pPr>
        <w:pStyle w:val="NormalWeb"/>
        <w:spacing w:before="0" w:after="0" w:line="480" w:lineRule="auto"/>
        <w:jc w:val="both"/>
        <w:rPr>
          <w:sz w:val="22"/>
          <w:szCs w:val="22"/>
        </w:rPr>
      </w:pPr>
      <w:r w:rsidRPr="00E33C2B">
        <w:rPr>
          <w:sz w:val="22"/>
          <w:szCs w:val="22"/>
        </w:rPr>
        <w:t>At the urban, neighborhood, and site-plan scales, wind availability must be evaluated together with surrounding obstructions, pollution, noise, vegetation, courtyard geometry, and adjacent land uses. In polluted or noisy contexts, the most wind-exposed facade may not be the most appropriate inlet location (Tikul et al., 2023; Yin et al., 2024). Courtyards and semi-open spaces can support staged airflow transfer, but excessive enclosure may reduce air movement; one study identifies approximately 60% courtyard openness as a balance between air speed, air age, and usability (Li et al., 2025).</w:t>
      </w:r>
    </w:p>
    <w:p w14:paraId="1926370D"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At the building, plan, and section scales, orientation, compactness, wing arrangement, floor level, classroom depth, corridor type, ceiling height, and high-level relief determine whether air can pass through the occupied zone. Upper floors and windward wings may ventilate better than lower or sheltered zones, and external corridors can improve airflow compared with internal corridors under tested conditions (Idowu et al., 2022; Yang et al., 2019). As preliminary geometry gates, single-sided ventilation is typically limited to about 2H, enhanced single-sided ventilation to about 2.5H, and cross-ventilation to about 5H under favorable exposure, where H is floor-to-ceiling height (CIBSE, 2005). These early-stage geometry rules are summarized in </w:t>
      </w:r>
      <w:r w:rsidRPr="00E33C2B">
        <w:rPr>
          <w:b/>
          <w:bCs/>
          <w:sz w:val="22"/>
          <w:szCs w:val="22"/>
        </w:rPr>
        <w:t>Table 4</w:t>
      </w:r>
      <w:r w:rsidRPr="00E33C2B">
        <w:rPr>
          <w:sz w:val="22"/>
          <w:szCs w:val="22"/>
        </w:rPr>
        <w:t>.</w:t>
      </w:r>
    </w:p>
    <w:p w14:paraId="6A1AB32E"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Facade design and internal arrangement complete the airflow path. </w:t>
      </w:r>
      <w:r w:rsidRPr="000B11BE">
        <w:rPr>
          <w:sz w:val="22"/>
          <w:szCs w:val="22"/>
        </w:rPr>
        <w:t>Shading devices, louvers, trickle vents, ventilating panels, opening height, inlet–outlet position, and user access influence air entry, airflow direction, and user control over the ventilation pathway</w:t>
      </w:r>
      <w:r>
        <w:rPr>
          <w:sz w:val="22"/>
          <w:szCs w:val="22"/>
        </w:rPr>
        <w:t xml:space="preserve"> </w:t>
      </w:r>
      <w:r w:rsidRPr="00E33C2B">
        <w:rPr>
          <w:sz w:val="22"/>
          <w:szCs w:val="22"/>
        </w:rPr>
        <w:fldChar w:fldCharType="begin"/>
      </w:r>
      <w:r w:rsidRPr="00E33C2B">
        <w:rPr>
          <w:sz w:val="22"/>
          <w:szCs w:val="22"/>
        </w:rPr>
        <w:instrText xml:space="preserve"> ADDIN ZOTERO_ITEM CSL_CITATION {"citationID":"pA7Rdg7G","properties":{"unsorted":false,"formattedCitation":"(Le et al., 2023)","plainCitation":"(Le et al., 2023)","noteIndex":0},"citationItems":[{"id":57,"uris":["http://zotero.org/users/15615893/items/MQN55ZPR"],"itemData":{"id":57,"type":"paper-conference","abstract":"Overheating of premises is a typical thermal discomfort issue in naturally ventilated primary schools in Ho Chi Minh City, Vietnam. Several design parameters were shown to affect the indoor thermal environment. A parametric study was conducted and based on several building performance simulations to investigate the influences of the individual design parameters on indoor air temperatures and the prevalence of overheating in primary schools. The sensitivity analysis indicated that the material of building envelopes, the openings, and the solar controls, in descending order, affected overheating occurrence. The findings could assist the architect in choosing which parameters should be prioritised in the design stage, which is particularly useful in renovation and retrofit projects. © 2023 American Institute of Physics Inc.. All rights reserved.","archive":"Scopus","container-title":"AIP Conf. Proc.","DOI":"10.1063/5.0125338","event-title":"AIP Conference Proceedings","ISBN":"0094243X (ISSN); 978-073544430-0 (ISBN)","language":"English","note":"journalAbbreviation: AIP Conf. Proc.","publisher":"American Institute of Physics Inc.","title":"Parametric Study of Design Parameters and Thermal Comfort in Primary Schools in Ho Chi Minh City, Vietnam","URL":"https://www.scopus.com/inward/record.uri?eid=2-s2.0-85161359824&amp;doi=10.1063%2f5.0125338&amp;partnerID=40&amp;md5=8cae47b740e3f8706b0c57d27bfc9505","volume":"2560","author":[{"family":"Le","given":"T.H.V."},{"family":"Gillott","given":"M."},{"family":"Rodrigues","given":"L."}],"editor":[{"literal":"Grabovy P.G."},{"literal":"Thuong L.V."}],"issued":{"date-parts":[["2023"]]}}}],"schema":"https://github.com/citation-style-language/schema/raw/master/csl-citation.json"} </w:instrText>
      </w:r>
      <w:r w:rsidRPr="00E33C2B">
        <w:rPr>
          <w:sz w:val="22"/>
          <w:szCs w:val="22"/>
        </w:rPr>
        <w:fldChar w:fldCharType="separate"/>
      </w:r>
      <w:r w:rsidRPr="00E33C2B">
        <w:rPr>
          <w:sz w:val="22"/>
          <w:szCs w:val="22"/>
        </w:rPr>
        <w:t xml:space="preserve">(Le et al., 2023; </w:t>
      </w:r>
      <w:r w:rsidRPr="00E33C2B">
        <w:rPr>
          <w:sz w:val="22"/>
          <w:szCs w:val="22"/>
        </w:rPr>
        <w:fldChar w:fldCharType="end"/>
      </w:r>
      <w:r w:rsidRPr="00E33C2B">
        <w:rPr>
          <w:sz w:val="22"/>
          <w:szCs w:val="22"/>
        </w:rPr>
        <w:t>Farokhyan et al., 2020). Larger openings do not automatically improve performance; effective ventilation depends on through-flow, vertical separation, solar control, acoustic limits, and realistic operation (Aflaki et al., 2015; Chiang et al., 2013; Kouhirostami, 2018; Olufowobi &amp; Adenuga, 2012; Ragab et al., 2025). At classroom scale, partitions, doors, transoms, furniture, and occupant distribution affect the breathing zone; for example, adding a 15 cm under-door gap with open windows increased ventilation from about 2 ACH to 8 ACH in one classroom study (Hsu et al., 2024).</w:t>
      </w:r>
    </w:p>
    <w:p w14:paraId="1D58D42A"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lastRenderedPageBreak/>
        <w:t>3.3. Element-Based Findings: Wind-Driven, Stack-Driven, and Hybrid Strategies</w:t>
      </w:r>
    </w:p>
    <w:p w14:paraId="73D00AAC"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second perspective in </w:t>
      </w:r>
      <w:r w:rsidRPr="00E33C2B">
        <w:rPr>
          <w:b/>
          <w:bCs/>
          <w:sz w:val="22"/>
          <w:szCs w:val="22"/>
        </w:rPr>
        <w:t>Figure 2</w:t>
      </w:r>
      <w:r w:rsidRPr="00E33C2B">
        <w:rPr>
          <w:sz w:val="22"/>
          <w:szCs w:val="22"/>
        </w:rPr>
        <w:t xml:space="preserve"> interprets NV through architectural elements and airflow mechanisms. Wind-driven or pressure-difference-dominated strategies include operable windows, cross-openings, windcatchers, wind towers, wind scoops, roof ventilators, and ventilating facades. These elements are effective only when they connect to a clear transfer and relief path. Windcatchers and wind towers can capture higher-level winds where facade openings are insufficient, but their performance depends on geometry, dampers, controllable windows, seasonal operation, and prevailing wind stability (Aflaki et al., 2015; Jomehzadeh et al., 2017; Jones &amp; Kirby, 2010, 2012; Kolokotroni et al., 2002; Mavrogianni &amp; Mumovic, 2010; Nejat et al., 2025; Salavatian &amp; Babazadeh, 2025).</w:t>
      </w:r>
    </w:p>
    <w:p w14:paraId="0F366A43" w14:textId="77777777" w:rsidR="0097680B" w:rsidRDefault="0097680B" w:rsidP="0097680B">
      <w:pPr>
        <w:pStyle w:val="NormalWeb"/>
        <w:spacing w:before="0" w:after="0" w:line="480" w:lineRule="auto"/>
        <w:jc w:val="both"/>
        <w:rPr>
          <w:sz w:val="22"/>
          <w:szCs w:val="22"/>
          <w:rtl/>
        </w:rPr>
      </w:pPr>
      <w:r w:rsidRPr="00E33C2B">
        <w:rPr>
          <w:sz w:val="22"/>
          <w:szCs w:val="22"/>
        </w:rPr>
        <w:t>Buoyancy- or stack-driven strategies include enhanced single-sided ventilation, solar chimneys, atria, ventilation shafts, roof monitors, double-skin facades, and ventilation chambers. These rely on vertical separation, temperature differences, and high-level relief. Solar chimneys can strengthen extraction during weak-wind periods, but mean velocity or ACH gains do not guarantee occupied-zone improvement unless inlet height and distribution geometry are tuned (Khedari et al., 2000; Suhendri et al., 2018; Tan &amp; Wong, 2012; Wang et al., 2024). Atria and shafts can support deeper plans when cross-transfer and relief paths are legible, while double-skin facades require careful seasonal control and maintenance (Bugenings et al., 2022; Mohamed et al., 2021; O'Connor et al., 2014).</w:t>
      </w:r>
    </w:p>
    <w:p w14:paraId="359756E5" w14:textId="77777777" w:rsidR="0097680B" w:rsidRPr="00043CDB" w:rsidRDefault="0097680B" w:rsidP="0097680B">
      <w:pPr>
        <w:spacing w:before="100" w:beforeAutospacing="1" w:after="100" w:afterAutospacing="1" w:line="480" w:lineRule="auto"/>
        <w:jc w:val="both"/>
        <w:rPr>
          <w:rFonts w:ascii="Times New Roman" w:eastAsia="Times New Roman" w:hAnsi="Times New Roman" w:cs="Times New Roman"/>
          <w:kern w:val="0"/>
          <w14:ligatures w14:val="none"/>
        </w:rPr>
      </w:pPr>
      <w:r w:rsidRPr="00043CDB">
        <w:rPr>
          <w:rFonts w:ascii="Times New Roman" w:eastAsia="Times New Roman" w:hAnsi="Times New Roman" w:cs="Times New Roman"/>
          <w:kern w:val="0"/>
          <w14:ligatures w14:val="none"/>
        </w:rPr>
        <w:t>Hybrid strategies combine wind-driven supply with buoyancy-assisted exhaust. Supporting distribution and air-tempering elements, such as earth-to-air or buried duct systems, can serve deeper interiors or classrooms where one façade cannot be opened because of pollution, noise, or security.</w:t>
      </w:r>
      <w:r w:rsidRPr="00043CDB">
        <w:rPr>
          <w:rFonts w:ascii="Times New Roman" w:eastAsia="Times New Roman" w:hAnsi="Times New Roman" w:cs="Times New Roman"/>
          <w:kern w:val="0"/>
          <w:rtl/>
          <w14:ligatures w14:val="none"/>
        </w:rPr>
        <w:t xml:space="preserve"> </w:t>
      </w:r>
      <w:r>
        <w:rPr>
          <w:rFonts w:ascii="Times New Roman" w:hAnsi="Times New Roman" w:cs="Times New Roman"/>
        </w:rPr>
        <w:t>H</w:t>
      </w:r>
      <w:r w:rsidRPr="00043CDB">
        <w:rPr>
          <w:rFonts w:ascii="Times New Roman" w:hAnsi="Times New Roman" w:cs="Times New Roman"/>
        </w:rPr>
        <w:t>owever, ducts must be short, smooth, and carefully sized because natural driving pressures are limited. The Mediå School case illustrates an integrated strategy using supply towers, underground ducts, plenums, central exhaust towers, sensors, and building-management control (Kleiven, 2003).</w:t>
      </w:r>
    </w:p>
    <w:p w14:paraId="09ED5EC5" w14:textId="77777777" w:rsidR="0097680B" w:rsidRPr="00E33C2B" w:rsidRDefault="0097680B" w:rsidP="0097680B">
      <w:pPr>
        <w:pStyle w:val="NormalWeb"/>
        <w:spacing w:before="0" w:after="0" w:line="480" w:lineRule="auto"/>
        <w:jc w:val="both"/>
        <w:rPr>
          <w:b/>
          <w:bCs/>
          <w:sz w:val="22"/>
          <w:szCs w:val="22"/>
        </w:rPr>
      </w:pPr>
      <w:r w:rsidRPr="00E33C2B">
        <w:rPr>
          <w:sz w:val="22"/>
          <w:szCs w:val="22"/>
        </w:rPr>
        <w:t xml:space="preserve">Iranian standards reinforce the same logic: outdoor-air provision, CO₂ thresholds, pollutant separation, opening geometry, daylight-ventilation coordination, window safety, classroom dimensions, and hybrid </w:t>
      </w:r>
      <w:r w:rsidRPr="00E33C2B">
        <w:rPr>
          <w:sz w:val="22"/>
          <w:szCs w:val="22"/>
        </w:rPr>
        <w:lastRenderedPageBreak/>
        <w:t xml:space="preserve">operation schedules all imply that NV should be designed as a controllable and monitorable architectural system rather than as a nominal window-area requirement. These constraints are summarized in </w:t>
      </w:r>
      <w:r w:rsidRPr="00E33C2B">
        <w:rPr>
          <w:b/>
          <w:bCs/>
          <w:sz w:val="22"/>
          <w:szCs w:val="22"/>
        </w:rPr>
        <w:t>Table 5</w:t>
      </w:r>
      <w:r w:rsidRPr="00E33C2B">
        <w:rPr>
          <w:sz w:val="22"/>
          <w:szCs w:val="22"/>
        </w:rPr>
        <w:t>.</w:t>
      </w:r>
    </w:p>
    <w:p w14:paraId="72595B4B"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3.4. Findings from the Iranian M.Sc. Thesis Stream</w:t>
      </w:r>
    </w:p>
    <w:p w14:paraId="69104122" w14:textId="77777777" w:rsidR="0097680B" w:rsidRPr="00E33C2B" w:rsidRDefault="0097680B" w:rsidP="0097680B">
      <w:pPr>
        <w:pStyle w:val="NormalWeb"/>
        <w:spacing w:before="0" w:after="0" w:line="480" w:lineRule="auto"/>
        <w:jc w:val="both"/>
        <w:rPr>
          <w:sz w:val="22"/>
          <w:szCs w:val="22"/>
        </w:rPr>
      </w:pPr>
      <w:r w:rsidRPr="00E33C2B">
        <w:rPr>
          <w:sz w:val="22"/>
          <w:szCs w:val="22"/>
        </w:rPr>
        <w:t>The analysis of 40 Iranian M.Sc. theses provides a context-specific view of NV in educational buildings. The studies reflect climatic diversity, urban constraints, regulatory requirements, and operational challenges in Iran, while also revealing an evidence-to-decision gap: many evaluate performance in detail, but fewer convert findings into early-stage architectural rules (Kabir, 2015; Hendoukolaei, 2018; Farahani, 2019; Haji Hosseini, 2020; Akhyani, 2022).</w:t>
      </w:r>
    </w:p>
    <w:p w14:paraId="2F9F9CFB" w14:textId="77777777" w:rsidR="0097680B" w:rsidRPr="00E33C2B" w:rsidRDefault="0097680B" w:rsidP="0097680B">
      <w:pPr>
        <w:pStyle w:val="NormalWeb"/>
        <w:spacing w:before="0" w:after="0" w:line="480" w:lineRule="auto"/>
        <w:jc w:val="both"/>
        <w:rPr>
          <w:b/>
          <w:bCs/>
          <w:sz w:val="22"/>
          <w:szCs w:val="22"/>
        </w:rPr>
      </w:pPr>
      <w:r w:rsidRPr="00E33C2B">
        <w:rPr>
          <w:sz w:val="22"/>
          <w:szCs w:val="22"/>
        </w:rPr>
        <w:t>The theses were grouped into performance-oriented (Zomorodian, 2012; Amini, 2023), design-oriented (Hosseini Sang No, 2018; Shirazi, 2019; Mahmoudi, 2020; Pourakbarian Gashti, 2022), detail/envelope-oriented (Lotfi Gharaee, 2018; Ahmadi nia tabesh, 2019; Nasr Abadi, 2021), context-oriented (Zahedi, 2019; Aram, 2022; Bagheri Fazel, 2023), health-oriented (Eradati, 2021; Khojasteh, 2022; Khosravi-Zad, 2022; Malekpour, 2023; Majidpour, 2023), and multi-variable streams (Khosravi, 2022; Alizade, 2024)</w:t>
      </w:r>
      <w:r w:rsidRPr="00E33C2B">
        <w:rPr>
          <w:b/>
          <w:bCs/>
          <w:sz w:val="22"/>
          <w:szCs w:val="22"/>
        </w:rPr>
        <w:t xml:space="preserve">. </w:t>
      </w:r>
    </w:p>
    <w:p w14:paraId="195604AE" w14:textId="77777777" w:rsidR="0097680B" w:rsidRPr="00E33C2B" w:rsidRDefault="0097680B" w:rsidP="0097680B">
      <w:pPr>
        <w:pStyle w:val="NormalWeb"/>
        <w:spacing w:before="0" w:after="0" w:line="480" w:lineRule="auto"/>
        <w:jc w:val="both"/>
        <w:rPr>
          <w:sz w:val="22"/>
          <w:szCs w:val="22"/>
        </w:rPr>
      </w:pPr>
      <w:r w:rsidRPr="00E33C2B">
        <w:rPr>
          <w:b/>
          <w:bCs/>
          <w:sz w:val="22"/>
          <w:szCs w:val="22"/>
        </w:rPr>
        <w:t>Figures 4–8</w:t>
      </w:r>
      <w:r w:rsidRPr="00E33C2B">
        <w:rPr>
          <w:sz w:val="22"/>
          <w:szCs w:val="22"/>
        </w:rPr>
        <w:t xml:space="preserve"> summarize their thematic coverage, research streams, spatial distribution, methods, software tools, and variable-method-outcome patterns. The corpus covers 26 Iranian cities and is strongly simulation-led, with field monitoring and post-occupancy evaluation appearing less frequently. Recurrent variables include opening geometry, airflow paths, windcatchers, solar chimneys, atria, shading, courtyards, opening schedules, occupancy patterns, and health-risk scenarios (Ahmadi, 2021; Beiragh Shamshir, 2022; Rahaee et al., 2024; RAHAEI &amp; AZEMATI, 2020; Rahaei et al., 2024). Overall, the thesis stream confirms that opening size alone is insufficient unless airflow paths and realistic operation are addressed concurrently.</w:t>
      </w:r>
    </w:p>
    <w:p w14:paraId="13FE433B"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3.5. Architectural Patterns from the Case-Study Review</w:t>
      </w:r>
    </w:p>
    <w:p w14:paraId="1C65F4DE" w14:textId="77777777" w:rsidR="0097680B" w:rsidRPr="00E33C2B" w:rsidRDefault="0097680B" w:rsidP="0097680B">
      <w:pPr>
        <w:pStyle w:val="NormalWeb"/>
        <w:spacing w:before="0" w:after="0" w:line="480" w:lineRule="auto"/>
        <w:jc w:val="both"/>
        <w:rPr>
          <w:sz w:val="22"/>
          <w:szCs w:val="22"/>
        </w:rPr>
      </w:pPr>
      <w:r w:rsidRPr="00E33C2B">
        <w:rPr>
          <w:sz w:val="22"/>
          <w:szCs w:val="22"/>
        </w:rPr>
        <w:lastRenderedPageBreak/>
        <w:t xml:space="preserve">The seven rubric-selected precedents show how NV principles become legible architectural configurations. Their scores and evidence sources are summarized in </w:t>
      </w:r>
      <w:r w:rsidRPr="00E33C2B">
        <w:rPr>
          <w:b/>
          <w:bCs/>
          <w:sz w:val="22"/>
          <w:szCs w:val="22"/>
        </w:rPr>
        <w:t>Table 2</w:t>
      </w:r>
      <w:r w:rsidRPr="00E33C2B">
        <w:rPr>
          <w:sz w:val="22"/>
          <w:szCs w:val="22"/>
        </w:rPr>
        <w:t xml:space="preserve">, and recurring plan and section patterns are synthesized in </w:t>
      </w:r>
      <w:r w:rsidRPr="00E33C2B">
        <w:rPr>
          <w:b/>
          <w:bCs/>
          <w:sz w:val="22"/>
          <w:szCs w:val="22"/>
        </w:rPr>
        <w:t>Figure 9</w:t>
      </w:r>
      <w:r w:rsidRPr="00E33C2B">
        <w:rPr>
          <w:sz w:val="22"/>
          <w:szCs w:val="22"/>
        </w:rPr>
        <w:t xml:space="preserve"> (Awbi, 2008; Kleiven, 2003; Passe &amp; Battaglia, 2015).</w:t>
      </w:r>
    </w:p>
    <w:p w14:paraId="0E6FB89A" w14:textId="77777777" w:rsidR="0097680B" w:rsidRPr="00E33C2B" w:rsidRDefault="0097680B" w:rsidP="0097680B">
      <w:pPr>
        <w:pStyle w:val="NormalWeb"/>
        <w:spacing w:before="0" w:after="0" w:line="480" w:lineRule="auto"/>
        <w:jc w:val="both"/>
        <w:rPr>
          <w:b/>
          <w:bCs/>
          <w:sz w:val="22"/>
          <w:szCs w:val="22"/>
        </w:rPr>
      </w:pPr>
      <w:r w:rsidRPr="00E33C2B">
        <w:rPr>
          <w:sz w:val="22"/>
          <w:szCs w:val="22"/>
        </w:rPr>
        <w:t>Four plan patterns recur: central halls or internal streets that act as climatic buffers and transfer zones; linear blocks with short cross-flow routes; courtyard-centered layouts that moderate pressure and support staged transfer; and distributed low-level supply networks, including ducts or plenums, for deeper plans where facade supply alone is insufficient (CIBSE, 2005; Kleiven, 2003; Li et al., 2025; Passe &amp; Battaglia, 2015). Four section patterns also recur: central vertical exhaust axes, roof-level stacks or monitors, low-level supply with high-level relief, and courtyard-solar-chimney combinations. Across these precedents, the transferable lesson is consistent: the supply–transfer–exhaust pathway must be legible in both plan and section, supported by intermediate spaces where necessary, and linked to operation, maintenance, and seasonal control.</w:t>
      </w:r>
    </w:p>
    <w:p w14:paraId="6F099827"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3.6. Consolidated Decision Framework</w:t>
      </w:r>
    </w:p>
    <w:p w14:paraId="5E1EF073"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consolidated framework in </w:t>
      </w:r>
      <w:r w:rsidRPr="00E33C2B">
        <w:rPr>
          <w:b/>
          <w:bCs/>
          <w:sz w:val="22"/>
          <w:szCs w:val="22"/>
        </w:rPr>
        <w:t>Figure 10</w:t>
      </w:r>
      <w:r w:rsidRPr="00E33C2B">
        <w:rPr>
          <w:sz w:val="22"/>
          <w:szCs w:val="22"/>
        </w:rPr>
        <w:t xml:space="preserve"> brings together the scale-based design process and the architectural-element perspective. It links contextual inputs, design sequence, architectural scales, operational control, and evaluation criteria around one invariant: maintaining a traceable supply–transfer–exhaust pathway through the occupied zone.</w:t>
      </w:r>
    </w:p>
    <w:p w14:paraId="63FB5559" w14:textId="77777777" w:rsidR="0097680B" w:rsidRPr="00E33C2B" w:rsidRDefault="0097680B" w:rsidP="0097680B">
      <w:pPr>
        <w:pStyle w:val="NormalWeb"/>
        <w:spacing w:before="0" w:after="0" w:line="480" w:lineRule="auto"/>
        <w:jc w:val="both"/>
        <w:rPr>
          <w:sz w:val="22"/>
          <w:szCs w:val="22"/>
        </w:rPr>
      </w:pPr>
      <w:r w:rsidRPr="00E33C2B">
        <w:rPr>
          <w:sz w:val="22"/>
          <w:szCs w:val="22"/>
        </w:rPr>
        <w:t>Across international evidence, Iranian sources, theses, standards, and precedents, classroom NV performance is not reducible to larger openings or generic passive-design prescriptions. It results from the interaction of site and form, plan and section, facade design, opening controllability, supporting components, and realistic operation under constraints such as climate, season, pollution, acoustics, safety, security, and user behavior (Aflaki et al., 2015; CIBSE, 2005; Hsu et al., 2024; Tikul et al., 2023; Yin et al., 2024). The framework's decision-ready contribution is that it clarifies where NV should be considered, which elements can support it, and under what contextual and operational conditions those elements can function reliably.</w:t>
      </w:r>
    </w:p>
    <w:p w14:paraId="3C0634EA" w14:textId="77777777" w:rsidR="0097680B" w:rsidRPr="00E33C2B" w:rsidRDefault="0097680B" w:rsidP="0097680B">
      <w:pPr>
        <w:pStyle w:val="NormalWeb"/>
        <w:numPr>
          <w:ilvl w:val="0"/>
          <w:numId w:val="29"/>
        </w:numPr>
        <w:tabs>
          <w:tab w:val="clear" w:pos="720"/>
          <w:tab w:val="num" w:pos="360"/>
        </w:tabs>
        <w:spacing w:before="0" w:after="0" w:line="480" w:lineRule="auto"/>
        <w:ind w:left="284" w:hanging="284"/>
        <w:jc w:val="both"/>
        <w:rPr>
          <w:b/>
          <w:bCs/>
          <w:sz w:val="22"/>
          <w:szCs w:val="22"/>
        </w:rPr>
      </w:pPr>
      <w:r w:rsidRPr="00E33C2B">
        <w:rPr>
          <w:b/>
          <w:bCs/>
          <w:sz w:val="22"/>
          <w:szCs w:val="22"/>
        </w:rPr>
        <w:lastRenderedPageBreak/>
        <w:t>Discussion</w:t>
      </w:r>
    </w:p>
    <w:p w14:paraId="5528B8F8"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4.1. From Performance Evidence to Architectural Decisions</w:t>
      </w:r>
    </w:p>
    <w:p w14:paraId="164CD245" w14:textId="77777777" w:rsidR="0097680B" w:rsidRPr="00E33C2B" w:rsidRDefault="0097680B" w:rsidP="0097680B">
      <w:pPr>
        <w:pStyle w:val="NormalWeb"/>
        <w:spacing w:before="0" w:after="0" w:line="480" w:lineRule="auto"/>
        <w:jc w:val="both"/>
        <w:rPr>
          <w:sz w:val="22"/>
          <w:szCs w:val="22"/>
        </w:rPr>
      </w:pPr>
      <w:r w:rsidRPr="00E33C2B">
        <w:rPr>
          <w:sz w:val="22"/>
          <w:szCs w:val="22"/>
        </w:rPr>
        <w:t>The principal contribution of this study is the translation of dispersed natural-ventilation (NV) evidence into a multi-scale architectural decision framework for school classrooms. Although the reviewed literature contains numerous performance indicators, simulation results, standards, and documented precedents, findings are often reported as isolated values without clarifying which architectural decisions produced the reported outcomes. This limits their usefulness for architects during concept and schematic design, when decisions about site, massing, plan depth, section, façade composition, and classroom layout are still open.</w:t>
      </w:r>
    </w:p>
    <w:p w14:paraId="1C2B622E" w14:textId="77777777" w:rsidR="0097680B" w:rsidRPr="00E33C2B" w:rsidRDefault="0097680B" w:rsidP="0097680B">
      <w:pPr>
        <w:pStyle w:val="NormalWeb"/>
        <w:spacing w:before="0" w:after="0" w:line="480" w:lineRule="auto"/>
        <w:jc w:val="both"/>
        <w:rPr>
          <w:sz w:val="22"/>
          <w:szCs w:val="22"/>
        </w:rPr>
      </w:pPr>
      <w:r w:rsidRPr="00E33C2B">
        <w:rPr>
          <w:sz w:val="22"/>
          <w:szCs w:val="22"/>
        </w:rPr>
        <w:t>The results show that reliable classroom NV is rarely achieved by increasing opening area alone. Its effectiveness depends on the alignment of site exposure, building form, classroom depth, plan organization, sectional configuration, façade operability, supporting components, and realistic operation (Awbi, 2008; CIBSE, 2005; Kleiven, 2003). This reinforces the need to introduce NV before massing, circulation patterns, plan depth, and façade composition have been fixed. Later refinement through windows, louvers, shafts, or chimneys can improve performance, but it cannot fully compensate for unsuitable geometry or an unclear airflow pathway.</w:t>
      </w:r>
    </w:p>
    <w:p w14:paraId="476252A1" w14:textId="77777777" w:rsidR="0097680B" w:rsidRPr="00E33C2B" w:rsidRDefault="0097680B" w:rsidP="0097680B">
      <w:pPr>
        <w:pStyle w:val="NormalWeb"/>
        <w:spacing w:before="0" w:after="0" w:line="480" w:lineRule="auto"/>
        <w:jc w:val="both"/>
        <w:rPr>
          <w:sz w:val="22"/>
          <w:szCs w:val="22"/>
        </w:rPr>
      </w:pPr>
      <w:r w:rsidRPr="00E33C2B">
        <w:rPr>
          <w:sz w:val="22"/>
          <w:szCs w:val="22"/>
        </w:rPr>
        <w:t>The framework shifts attention from component selection to decision sequencing. Site and massing determine exposure to wind, surrounding obstructions, pollutant sources, and noise. Plan and section establish the horizontal and vertical continuity of the airflow route. Façade openings, shading devices, vents, and louvers regulate admission, distribution, relief, daylight interaction, and user control. NV-supporting components strengthen performance under specific climatic or operational conditions. Monitoring and user control sustain the intended strategy after occupancy.</w:t>
      </w:r>
    </w:p>
    <w:p w14:paraId="2208D51D"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evidence-to-decision translation process is summarized conceptually in </w:t>
      </w:r>
      <w:r w:rsidRPr="00E33C2B">
        <w:rPr>
          <w:b/>
          <w:bCs/>
          <w:sz w:val="22"/>
          <w:szCs w:val="22"/>
        </w:rPr>
        <w:t>Figure 2</w:t>
      </w:r>
      <w:r w:rsidRPr="00E33C2B">
        <w:rPr>
          <w:sz w:val="22"/>
          <w:szCs w:val="22"/>
        </w:rPr>
        <w:t xml:space="preserve"> and operationalized in the consolidated framework presented in </w:t>
      </w:r>
      <w:r w:rsidRPr="00E33C2B">
        <w:rPr>
          <w:b/>
          <w:bCs/>
          <w:sz w:val="22"/>
          <w:szCs w:val="22"/>
        </w:rPr>
        <w:t>Figure 10</w:t>
      </w:r>
      <w:r w:rsidRPr="00E33C2B">
        <w:rPr>
          <w:sz w:val="22"/>
          <w:szCs w:val="22"/>
        </w:rPr>
        <w:t xml:space="preserve">. Rather than treating air-change rate, CO₂ concentration, thermal comfort, air velocity, standards, precedents, and thesis findings as </w:t>
      </w:r>
      <w:r w:rsidRPr="00E33C2B">
        <w:rPr>
          <w:sz w:val="22"/>
          <w:szCs w:val="22"/>
        </w:rPr>
        <w:lastRenderedPageBreak/>
        <w:t>isolated inputs, the framework interprets them through five lenses: driving force, ventilation principle, airflow pathway, operating assumptions, and contextual constraints. These lenses convert dispersed evidence into actionable architectural decisions at the scales of site, plan, section, façade, supporting components, and operation.</w:t>
      </w:r>
    </w:p>
    <w:p w14:paraId="47E47F38"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4.2. Airflow-Path Traceability and Contextual Constraints</w:t>
      </w:r>
    </w:p>
    <w:p w14:paraId="23F15E56" w14:textId="77777777" w:rsidR="0097680B" w:rsidRPr="00E33C2B" w:rsidRDefault="0097680B" w:rsidP="0097680B">
      <w:pPr>
        <w:pStyle w:val="NormalWeb"/>
        <w:spacing w:before="0" w:after="0" w:line="480" w:lineRule="auto"/>
        <w:jc w:val="both"/>
        <w:rPr>
          <w:sz w:val="22"/>
          <w:szCs w:val="22"/>
        </w:rPr>
      </w:pPr>
      <w:r w:rsidRPr="00E33C2B">
        <w:rPr>
          <w:sz w:val="22"/>
          <w:szCs w:val="22"/>
        </w:rPr>
        <w:t>A recurring limitation in both international and Iranian studies is the use of aggregate performance indicators without sufficient explanation of airflow behavior in the occupied zone. A classroom may achieve an acceptable average air-change rate while still containing stagnant regions around seating areas. Similarly, high-level outlets may increase extraction while allowing fresh air to bypass the breathing zone. Short-circuiting, draughts, warm-air accumulation, and sensitivity to wind-direction shifts may remain hidden when performance is reported only through global values (Awbi, 2008; Hsu et al., 2024).</w:t>
      </w:r>
    </w:p>
    <w:p w14:paraId="7DBCDEA8" w14:textId="77777777" w:rsidR="0097680B" w:rsidRPr="00E33C2B" w:rsidRDefault="0097680B" w:rsidP="0097680B">
      <w:pPr>
        <w:pStyle w:val="NormalWeb"/>
        <w:spacing w:before="0" w:after="0" w:line="480" w:lineRule="auto"/>
        <w:jc w:val="both"/>
        <w:rPr>
          <w:sz w:val="22"/>
          <w:szCs w:val="22"/>
        </w:rPr>
      </w:pPr>
      <w:r w:rsidRPr="00E33C2B">
        <w:rPr>
          <w:sz w:val="22"/>
          <w:szCs w:val="22"/>
        </w:rPr>
        <w:t>The case-study review shows that evidence becomes more transferable when the airflow pathway is explicit: where outdoor air enters, how it engages the occupied zone, how it reaches intermediate spaces or transfer routes, and where it is exhausted. This traceability allows architects to identify which spatial move produced which airflow effect and under what climatic, geometric, and operational assumptions. Therefore, the key design question is not only whether a classroom has operable windows or passive components, but whether the supply–transfer–exhaust sequence is legible in plan, section, façade, and operation.</w:t>
      </w:r>
    </w:p>
    <w:p w14:paraId="51B6D5EE"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Iranian standards reinforce the same design logic. Outdoor-air rates, CO₂ thresholds, opening-area requirements, classroom dimensions, daylight criteria, safety provisions, and pollution-source separation should not be treated independently. Together, they define the physical and operational conditions under which NV remains feasible (Institute of Standards and Industrial Research of Iran, 1998, 2001, 2002; Management and Planning Organization of Iran, 2016; Ministry of Health, Treatment, </w:t>
      </w:r>
      <w:r w:rsidRPr="00E33C2B">
        <w:rPr>
          <w:sz w:val="22"/>
          <w:szCs w:val="22"/>
        </w:rPr>
        <w:lastRenderedPageBreak/>
        <w:t xml:space="preserve">and Medical Education, 2022; Plan and Budget Organization of Iran, 2021). </w:t>
      </w:r>
      <w:r w:rsidRPr="00E33C2B">
        <w:rPr>
          <w:b/>
          <w:bCs/>
          <w:sz w:val="22"/>
          <w:szCs w:val="22"/>
        </w:rPr>
        <w:t>Table 5</w:t>
      </w:r>
      <w:r w:rsidRPr="00E33C2B">
        <w:rPr>
          <w:sz w:val="22"/>
          <w:szCs w:val="22"/>
        </w:rPr>
        <w:t xml:space="preserve"> makes this relationship explicit by translating standards-based benchmarks into architectural constraints.</w:t>
      </w:r>
    </w:p>
    <w:p w14:paraId="6E39F1E3" w14:textId="77777777" w:rsidR="0097680B" w:rsidRPr="00E33C2B" w:rsidRDefault="0097680B" w:rsidP="0097680B">
      <w:pPr>
        <w:pStyle w:val="NormalWeb"/>
        <w:spacing w:before="0" w:after="0" w:line="480" w:lineRule="auto"/>
        <w:jc w:val="both"/>
        <w:rPr>
          <w:sz w:val="22"/>
          <w:szCs w:val="22"/>
        </w:rPr>
      </w:pPr>
      <w:r w:rsidRPr="00E33C2B">
        <w:rPr>
          <w:sz w:val="22"/>
          <w:szCs w:val="22"/>
        </w:rPr>
        <w:t>CO₂ thresholds are particularly useful because they connect design with operation. Maintaining indoor CO₂ below the recommended threshold requires not only adequate opening provision, but also accessible controls, staged opening modes, high-level relief, and, where possible, sensor feedback. In this sense, CO₂ monitoring should not be understood as a purely technical add-on; it is part of the operational logic that determines whether a naturally ventilated classroom can perform reliably during occupancy.</w:t>
      </w:r>
    </w:p>
    <w:p w14:paraId="400176EB" w14:textId="77777777" w:rsidR="0097680B" w:rsidRPr="00E33C2B" w:rsidRDefault="0097680B" w:rsidP="0097680B">
      <w:pPr>
        <w:pStyle w:val="NormalWeb"/>
        <w:spacing w:before="0" w:after="0" w:line="480" w:lineRule="auto"/>
        <w:jc w:val="both"/>
        <w:rPr>
          <w:sz w:val="22"/>
          <w:szCs w:val="22"/>
        </w:rPr>
      </w:pPr>
      <w:r w:rsidRPr="00E33C2B">
        <w:rPr>
          <w:sz w:val="22"/>
          <w:szCs w:val="22"/>
        </w:rPr>
        <w:t>The Iranian thesis stream reveals an additional limitation. The evidence is strongly simulation-led, while field monitoring and post-occupancy validation remain comparatively limited. Simulation is valuable for comparing alternatives and testing design variables, but actual performance may differ when windows are partially opened, noise restricts operation, maintenance is inconsistent, security concerns limit opening use, or pollution episodes reduce outdoor-air admission. This confirms the need to connect simulated performance with real operating conditions and user behavior.</w:t>
      </w:r>
    </w:p>
    <w:p w14:paraId="133BED1D"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4.3. Decision-Ready Architectural Rules</w:t>
      </w:r>
    </w:p>
    <w:p w14:paraId="7D043FE8"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evidence synthesis and case-study interpretation support a set of decision-ready architectural rules for classroom NV. These rules, derived from the consolidated framework in </w:t>
      </w:r>
      <w:r w:rsidRPr="00E33C2B">
        <w:rPr>
          <w:b/>
          <w:bCs/>
          <w:sz w:val="22"/>
          <w:szCs w:val="22"/>
        </w:rPr>
        <w:t>Figure 10</w:t>
      </w:r>
      <w:r w:rsidRPr="00E33C2B">
        <w:rPr>
          <w:sz w:val="22"/>
          <w:szCs w:val="22"/>
        </w:rPr>
        <w:t xml:space="preserve"> and the standards-based constraints in </w:t>
      </w:r>
      <w:r w:rsidRPr="00E33C2B">
        <w:rPr>
          <w:b/>
          <w:bCs/>
          <w:sz w:val="22"/>
          <w:szCs w:val="22"/>
        </w:rPr>
        <w:t>Table 5</w:t>
      </w:r>
      <w:r w:rsidRPr="00E33C2B">
        <w:rPr>
          <w:sz w:val="22"/>
          <w:szCs w:val="22"/>
        </w:rPr>
        <w:t>, distinguish essential conditions from recommended practices and common failure modes. Their purpose is not to prescribe a universal technical solution, but to clarify the architectural logic that should remain intact when strategies are adapted to different climates, school types, and operational constraints.</w:t>
      </w:r>
    </w:p>
    <w:p w14:paraId="2714A756" w14:textId="77777777" w:rsidR="0097680B" w:rsidRPr="00E33C2B" w:rsidRDefault="0097680B" w:rsidP="0097680B">
      <w:pPr>
        <w:pStyle w:val="NormalWeb"/>
        <w:spacing w:before="0" w:after="0" w:line="480" w:lineRule="auto"/>
        <w:jc w:val="both"/>
        <w:rPr>
          <w:sz w:val="22"/>
          <w:szCs w:val="22"/>
        </w:rPr>
      </w:pPr>
      <w:r w:rsidRPr="00E33C2B">
        <w:rPr>
          <w:sz w:val="22"/>
          <w:szCs w:val="22"/>
        </w:rPr>
        <w:t>The essential conditions are the creation of a legible supply–transfer–exhaust pathway, the use of section as a ventilation engine, engagement of the occupied breathing zone, staged controllability, and integration of operation and maintenance. Without these conditions, NV may exist as a formal design intention but fail as an occupied classroom system.</w:t>
      </w:r>
    </w:p>
    <w:p w14:paraId="5E64520D" w14:textId="77777777" w:rsidR="0097680B" w:rsidRPr="00E33C2B" w:rsidRDefault="0097680B" w:rsidP="0097680B">
      <w:pPr>
        <w:pStyle w:val="NormalWeb"/>
        <w:spacing w:before="0" w:after="0" w:line="480" w:lineRule="auto"/>
        <w:jc w:val="both"/>
        <w:rPr>
          <w:sz w:val="22"/>
          <w:szCs w:val="22"/>
        </w:rPr>
      </w:pPr>
      <w:r w:rsidRPr="00E33C2B">
        <w:rPr>
          <w:sz w:val="22"/>
          <w:szCs w:val="22"/>
        </w:rPr>
        <w:lastRenderedPageBreak/>
        <w:t>The recommended practices include designing plan and section as a coupled system, using intermediate spaces as pressure moderators, differentiating supply, transfer, and relief openings, applying passive components strategically during weak-wind or high-temperature periods, coordinating ventilation with daylight and acoustics, and using CO₂ monitoring as an operational trigger. These practices help prevent natural ventilation from becoming dependent on accidental window use or favorable weather alone.</w:t>
      </w:r>
    </w:p>
    <w:p w14:paraId="49ACA553" w14:textId="77777777" w:rsidR="0097680B" w:rsidRPr="00E33C2B" w:rsidRDefault="0097680B" w:rsidP="0097680B">
      <w:pPr>
        <w:pStyle w:val="NormalWeb"/>
        <w:spacing w:before="0" w:after="0" w:line="480" w:lineRule="auto"/>
        <w:jc w:val="both"/>
        <w:rPr>
          <w:sz w:val="22"/>
          <w:szCs w:val="22"/>
        </w:rPr>
      </w:pPr>
      <w:r w:rsidRPr="00E33C2B">
        <w:rPr>
          <w:sz w:val="22"/>
          <w:szCs w:val="22"/>
        </w:rPr>
        <w:t>The failure modes to avoid include equating NV with larger windows, using deep plans without relief or assistance, placing inlet and outlet openings at the same level without clear pressure logic, relying on unstructured user behavior, and leaving conflicts with daylight, noise, pollution, safety, or security unresolved. Across all three categories, the central requirement is consistent: ventilation performance should emerge from a legible airflow pathway, coordinated plan-and-section design, and implementable control rather than from isolated component optimization.</w:t>
      </w:r>
    </w:p>
    <w:p w14:paraId="7F4F2A81" w14:textId="77777777" w:rsidR="0097680B" w:rsidRPr="00E33C2B" w:rsidRDefault="0097680B" w:rsidP="0097680B">
      <w:pPr>
        <w:pStyle w:val="NormalWeb"/>
        <w:spacing w:before="0" w:after="0" w:line="480" w:lineRule="auto"/>
        <w:jc w:val="both"/>
        <w:rPr>
          <w:sz w:val="22"/>
          <w:szCs w:val="22"/>
        </w:rPr>
      </w:pPr>
      <w:r w:rsidRPr="00E33C2B">
        <w:rPr>
          <w:sz w:val="22"/>
          <w:szCs w:val="22"/>
        </w:rPr>
        <w:t>This interpretation is also important for retrofitting existing classrooms. In retrofit contexts, the most effective intervention may not be simply enlarging windows. More targeted measures may include adding high-level relief, improving transfer paths through doors or transoms, introducing controllable vents or louvers, using shading devices that also guide airflow, separating supply and exhaust functions, or adding stack-assisted components where direct cross-ventilation is not feasible. However, such measures should be assessed against safety, accessibility, maintenance, seasonal comfort, and actual user behavior.</w:t>
      </w:r>
    </w:p>
    <w:p w14:paraId="1B1E9066" w14:textId="77777777" w:rsidR="0097680B" w:rsidRPr="00E33C2B" w:rsidRDefault="0097680B" w:rsidP="0097680B">
      <w:pPr>
        <w:pStyle w:val="NormalWeb"/>
        <w:spacing w:before="0" w:after="0" w:line="480" w:lineRule="auto"/>
        <w:jc w:val="both"/>
        <w:rPr>
          <w:b/>
          <w:bCs/>
          <w:sz w:val="22"/>
          <w:szCs w:val="22"/>
        </w:rPr>
      </w:pPr>
      <w:r w:rsidRPr="00E33C2B">
        <w:rPr>
          <w:b/>
          <w:bCs/>
          <w:sz w:val="22"/>
          <w:szCs w:val="22"/>
        </w:rPr>
        <w:t>4.4. Limitations and Future Research</w:t>
      </w:r>
    </w:p>
    <w:p w14:paraId="7E966481" w14:textId="77777777" w:rsidR="0097680B" w:rsidRPr="00E33C2B" w:rsidRDefault="0097680B" w:rsidP="0097680B">
      <w:pPr>
        <w:pStyle w:val="NormalWeb"/>
        <w:spacing w:before="0" w:after="0" w:line="480" w:lineRule="auto"/>
        <w:jc w:val="both"/>
        <w:rPr>
          <w:sz w:val="22"/>
          <w:szCs w:val="22"/>
        </w:rPr>
      </w:pPr>
      <w:r w:rsidRPr="00E33C2B">
        <w:rPr>
          <w:sz w:val="22"/>
          <w:szCs w:val="22"/>
        </w:rPr>
        <w:t>The retained sources differ in climatic context, school typology, occupancy assumptions, analytical methods, and performance indicators. This heterogeneity prevents universal numerical prescriptions. The proposed framework should therefore be understood as a structured decision aid rather than as a fixed design formula. It helps architects identify relevant decisions, relationships, and constraints, but project-specific validation remains necessary.</w:t>
      </w:r>
    </w:p>
    <w:p w14:paraId="6A9AA5B1" w14:textId="77777777" w:rsidR="0097680B" w:rsidRPr="00E33C2B" w:rsidRDefault="0097680B" w:rsidP="0097680B">
      <w:pPr>
        <w:pStyle w:val="NormalWeb"/>
        <w:spacing w:before="0" w:after="0" w:line="480" w:lineRule="auto"/>
        <w:jc w:val="both"/>
        <w:rPr>
          <w:sz w:val="22"/>
          <w:szCs w:val="22"/>
        </w:rPr>
      </w:pPr>
      <w:r w:rsidRPr="00E33C2B">
        <w:rPr>
          <w:sz w:val="22"/>
          <w:szCs w:val="22"/>
        </w:rPr>
        <w:lastRenderedPageBreak/>
        <w:t>The precedent set is intentionally small and documentation-driven. Its purpose is mechanism interpretation rather than statistical generalization. Cases were selected because they made the driving force, airflow path, operational logic, and architectural transferability sufficiently legible. This strengthens interpretive value but limits the possibility of broader statistical comparison.</w:t>
      </w:r>
    </w:p>
    <w:p w14:paraId="49D368D1" w14:textId="77777777" w:rsidR="0097680B" w:rsidRPr="00E33C2B" w:rsidRDefault="0097680B" w:rsidP="0097680B">
      <w:pPr>
        <w:pStyle w:val="NormalWeb"/>
        <w:spacing w:before="0" w:after="0" w:line="480" w:lineRule="auto"/>
        <w:jc w:val="both"/>
        <w:rPr>
          <w:sz w:val="22"/>
          <w:szCs w:val="22"/>
        </w:rPr>
      </w:pPr>
      <w:r w:rsidRPr="00E33C2B">
        <w:rPr>
          <w:sz w:val="22"/>
          <w:szCs w:val="22"/>
        </w:rPr>
        <w:t>The Iranian thesis stream also varies in methodological depth, and field-based studies remain limited. Future studies should therefore prioritize field validation across climates and seasons, integration of CO₂ monitoring with practical opening and control strategies, and multi-objective analysis addressing NV, daylight, thermal comfort, acoustics, safety, and outdoor-air quality simultaneously (López-Chao et al., 2020). Simulation should be paired more frequently with field measurement and post-occupancy evaluation. Research should also report airflow-path logic and operational assumptions more explicitly so that performance findings can be translated into architectural rules.</w:t>
      </w:r>
    </w:p>
    <w:p w14:paraId="4E68FAE2" w14:textId="77777777" w:rsidR="0097680B" w:rsidRPr="00E33C2B" w:rsidRDefault="0097680B" w:rsidP="0097680B">
      <w:pPr>
        <w:pStyle w:val="NormalWeb"/>
        <w:spacing w:before="0" w:after="0" w:line="480" w:lineRule="auto"/>
        <w:jc w:val="both"/>
        <w:rPr>
          <w:b/>
          <w:bCs/>
          <w:sz w:val="22"/>
          <w:szCs w:val="22"/>
          <w:rtl/>
        </w:rPr>
      </w:pPr>
      <w:r w:rsidRPr="00E33C2B">
        <w:rPr>
          <w:sz w:val="22"/>
          <w:szCs w:val="22"/>
        </w:rPr>
        <w:t>Overall, reliable classroom NV depends on the alignment of three elements: performance targets, air-path-forming architecture, and implementable operation.</w:t>
      </w:r>
    </w:p>
    <w:p w14:paraId="2C6D8B97" w14:textId="77777777" w:rsidR="0097680B" w:rsidRPr="00E33C2B" w:rsidRDefault="0097680B" w:rsidP="0097680B">
      <w:pPr>
        <w:pStyle w:val="NormalWeb"/>
        <w:numPr>
          <w:ilvl w:val="0"/>
          <w:numId w:val="30"/>
        </w:numPr>
        <w:tabs>
          <w:tab w:val="clear" w:pos="720"/>
        </w:tabs>
        <w:spacing w:before="0" w:after="0" w:line="480" w:lineRule="auto"/>
        <w:ind w:left="284" w:hanging="284"/>
        <w:jc w:val="both"/>
        <w:rPr>
          <w:b/>
          <w:bCs/>
          <w:sz w:val="22"/>
          <w:szCs w:val="22"/>
        </w:rPr>
      </w:pPr>
      <w:r w:rsidRPr="00E33C2B">
        <w:rPr>
          <w:b/>
          <w:bCs/>
          <w:sz w:val="22"/>
          <w:szCs w:val="22"/>
        </w:rPr>
        <w:t>Conclusions</w:t>
      </w:r>
    </w:p>
    <w:p w14:paraId="0190F162" w14:textId="77777777" w:rsidR="0097680B" w:rsidRPr="00E33C2B" w:rsidRDefault="0097680B" w:rsidP="0097680B">
      <w:pPr>
        <w:pStyle w:val="NormalWeb"/>
        <w:spacing w:before="0" w:after="0" w:line="480" w:lineRule="auto"/>
        <w:jc w:val="both"/>
        <w:rPr>
          <w:sz w:val="22"/>
          <w:szCs w:val="22"/>
        </w:rPr>
      </w:pPr>
      <w:r w:rsidRPr="00E33C2B">
        <w:rPr>
          <w:sz w:val="22"/>
          <w:szCs w:val="22"/>
        </w:rPr>
        <w:t>This study developed a multi-scale architectural decision framework for natural ventilation (NV) in school classrooms by synthesizing international evidence, Iranian sources, standards and guidance documents, M.Sc. theses, and rubric-selected school precedents. The findings show that successful classroom NV is not achieved simply by providing operable windows or increasing opening area. It depends on whether the airflow path is architecturally formed, spatially legible, and operationally controllable.</w:t>
      </w:r>
    </w:p>
    <w:p w14:paraId="3088E1B1" w14:textId="77777777" w:rsidR="0097680B" w:rsidRPr="00E33C2B" w:rsidRDefault="0097680B" w:rsidP="0097680B">
      <w:pPr>
        <w:pStyle w:val="NormalWeb"/>
        <w:spacing w:before="0" w:after="0" w:line="480" w:lineRule="auto"/>
        <w:jc w:val="both"/>
        <w:rPr>
          <w:sz w:val="22"/>
          <w:szCs w:val="22"/>
        </w:rPr>
      </w:pPr>
      <w:r w:rsidRPr="00E33C2B">
        <w:rPr>
          <w:sz w:val="22"/>
          <w:szCs w:val="22"/>
        </w:rPr>
        <w:t xml:space="preserve">The main contribution of the paper is the translation of dispersed ventilation evidence into an architect-readable decision structure. The proposed framework shows that NV should be considered through two complementary perspectives: first, as a multi-scale design process extending from urban and neighborhood conditions to classroom layout and furniture; and second, as a system of architectural elements and airflow mechanisms, including wind-driven, buoyancy-driven, and hybrid strategies. </w:t>
      </w:r>
      <w:r w:rsidRPr="00E33C2B">
        <w:rPr>
          <w:sz w:val="22"/>
          <w:szCs w:val="22"/>
        </w:rPr>
        <w:lastRenderedPageBreak/>
        <w:t>Across both perspectives, the central requirement is the continuity of a supply–transfer–exhaust pathway through the occupied zone.</w:t>
      </w:r>
    </w:p>
    <w:p w14:paraId="0E4719C6" w14:textId="77777777" w:rsidR="0097680B" w:rsidRPr="00E33C2B" w:rsidRDefault="0097680B" w:rsidP="0097680B">
      <w:pPr>
        <w:pStyle w:val="NormalWeb"/>
        <w:spacing w:before="0" w:after="0" w:line="480" w:lineRule="auto"/>
        <w:jc w:val="both"/>
        <w:rPr>
          <w:sz w:val="22"/>
          <w:szCs w:val="22"/>
        </w:rPr>
      </w:pPr>
      <w:r w:rsidRPr="00E33C2B">
        <w:rPr>
          <w:sz w:val="22"/>
          <w:szCs w:val="22"/>
        </w:rPr>
        <w:t>The study concludes that reliable classroom NV requires the alignment of three elements: performance targets, air-path-forming architecture, and implementable operation. Performance targets define what the indoor environment should achieve; architecture makes the airflow pathway physically possible through site, massing, plan, section, façade, openings, intermediate spaces, and supporting components; and operation determines whether the intended strategy can function safely and consistently under real conditions of climate, pollution, noise, safety, security, maintenance, and user behavior.</w:t>
      </w:r>
    </w:p>
    <w:p w14:paraId="58B47112" w14:textId="77777777" w:rsidR="0097680B" w:rsidRPr="00E33C2B" w:rsidRDefault="0097680B" w:rsidP="0097680B">
      <w:pPr>
        <w:pStyle w:val="NormalWeb"/>
        <w:spacing w:before="0" w:after="0" w:line="480" w:lineRule="auto"/>
        <w:jc w:val="both"/>
        <w:rPr>
          <w:sz w:val="22"/>
          <w:szCs w:val="22"/>
        </w:rPr>
      </w:pPr>
      <w:r w:rsidRPr="00E33C2B">
        <w:rPr>
          <w:sz w:val="22"/>
          <w:szCs w:val="22"/>
        </w:rPr>
        <w:t>The decision-ready implications can be summarized as follows. Designers must make the airflow route legible in plan and section, provide effective inlets, transfer paths, and high-level relief, and integrate operation and maintenance from the beginning of design. They should design plan and section as a coupled system, differentiate supply, transfer, and exhaust functions, use intermediate spaces and passive components strategically, and coordinate ventilation with daylight, acoustics, thermal comfort, and outdoor-air quality. They should not reduce NV to larger windows, rely on accidental user behavior, use deep plans without relief or assistance, or leave conflicts with noise, pollution, safety, and security unresolved.</w:t>
      </w:r>
    </w:p>
    <w:p w14:paraId="1D62A136" w14:textId="77777777" w:rsidR="0097680B" w:rsidRPr="00E33C2B" w:rsidRDefault="0097680B" w:rsidP="0097680B">
      <w:pPr>
        <w:pStyle w:val="NormalWeb"/>
        <w:spacing w:before="0" w:after="0" w:line="480" w:lineRule="auto"/>
        <w:jc w:val="both"/>
        <w:rPr>
          <w:sz w:val="22"/>
          <w:szCs w:val="22"/>
        </w:rPr>
      </w:pPr>
      <w:r w:rsidRPr="00E33C2B">
        <w:rPr>
          <w:sz w:val="22"/>
          <w:szCs w:val="22"/>
        </w:rPr>
        <w:t>The framework is intended as a design aid rather than a universal performance formula. Because the reviewed evidence varies in climate, school type, method, and operational assumptions, project-specific testing, simulation, field monitoring, and post-occupancy evaluation remain necessary.</w:t>
      </w:r>
      <w:r>
        <w:rPr>
          <w:rFonts w:hint="cs"/>
          <w:sz w:val="22"/>
          <w:szCs w:val="22"/>
          <w:rtl/>
        </w:rPr>
        <w:t xml:space="preserve"> </w:t>
      </w:r>
      <w:r w:rsidRPr="00D86B34">
        <w:rPr>
          <w:sz w:val="22"/>
          <w:szCs w:val="22"/>
        </w:rPr>
        <w:t>The Iranian thesis stream also indicates a geographically diverse but predominantly simulation-led evidence base, with limited field monitoring and post-occupancy validation; this reinforces the need to test the proposed decision rules under real operating conditions.</w:t>
      </w:r>
      <w:r>
        <w:rPr>
          <w:rFonts w:hint="cs"/>
          <w:sz w:val="22"/>
          <w:szCs w:val="22"/>
          <w:rtl/>
        </w:rPr>
        <w:t xml:space="preserve"> </w:t>
      </w:r>
      <w:r w:rsidRPr="00E33C2B">
        <w:rPr>
          <w:sz w:val="22"/>
          <w:szCs w:val="22"/>
        </w:rPr>
        <w:t>Future research should validate the proposed decision rules across different climates and school types and should more explicitly connect CO₂-based monitoring, façade operability, user protocols, and multi-objective design performance. In this way, classroom NV research can move from isolated performance optimization toward integrated architectural decision-making.</w:t>
      </w:r>
    </w:p>
    <w:p w14:paraId="6BCF525B" w14:textId="77777777" w:rsidR="0097680B" w:rsidRPr="00E33C2B" w:rsidRDefault="0097680B" w:rsidP="0097680B">
      <w:pPr>
        <w:pStyle w:val="Heading2"/>
        <w:spacing w:before="0" w:after="0" w:line="480" w:lineRule="auto"/>
        <w:jc w:val="both"/>
        <w:rPr>
          <w:sz w:val="22"/>
          <w:szCs w:val="22"/>
        </w:rPr>
      </w:pPr>
      <w:r w:rsidRPr="00E33C2B">
        <w:rPr>
          <w:sz w:val="22"/>
          <w:szCs w:val="22"/>
        </w:rPr>
        <w:lastRenderedPageBreak/>
        <w:t xml:space="preserve">6. ACKNOWLEDGMENTS </w:t>
      </w:r>
    </w:p>
    <w:p w14:paraId="0B9760AD" w14:textId="77777777" w:rsidR="0097680B" w:rsidRPr="00E33C2B" w:rsidRDefault="0097680B" w:rsidP="0097680B">
      <w:pPr>
        <w:pStyle w:val="NormalWeb"/>
        <w:spacing w:before="0" w:after="0" w:line="480" w:lineRule="auto"/>
        <w:jc w:val="both"/>
        <w:rPr>
          <w:sz w:val="22"/>
          <w:szCs w:val="22"/>
        </w:rPr>
      </w:pPr>
      <w:r w:rsidRPr="00E33C2B">
        <w:rPr>
          <w:sz w:val="22"/>
          <w:szCs w:val="22"/>
        </w:rPr>
        <w:t>This research received no specific grant from any funding agency in the public, commercial, or not-for-profit sectors.</w:t>
      </w:r>
    </w:p>
    <w:p w14:paraId="49648AD0" w14:textId="77777777" w:rsidR="0097680B" w:rsidRPr="00E33C2B" w:rsidRDefault="0097680B" w:rsidP="0097680B">
      <w:pPr>
        <w:pStyle w:val="NormalWeb"/>
        <w:spacing w:before="0" w:after="0" w:line="480" w:lineRule="auto"/>
        <w:rPr>
          <w:b/>
          <w:bCs/>
          <w:color w:val="000000"/>
          <w:sz w:val="22"/>
          <w:szCs w:val="22"/>
          <w:rtl/>
        </w:rPr>
      </w:pPr>
      <w:r w:rsidRPr="00E33C2B">
        <w:rPr>
          <w:b/>
          <w:bCs/>
          <w:color w:val="000000"/>
          <w:sz w:val="22"/>
          <w:szCs w:val="22"/>
        </w:rPr>
        <w:t>References</w:t>
      </w:r>
    </w:p>
    <w:p w14:paraId="312E2FB8" w14:textId="77777777" w:rsidR="0097680B" w:rsidRPr="00E33C2B" w:rsidRDefault="0097680B" w:rsidP="0097680B">
      <w:pPr>
        <w:pStyle w:val="Bibliography"/>
        <w:bidi w:val="0"/>
        <w:spacing w:line="240" w:lineRule="auto"/>
        <w:ind w:left="0" w:hanging="284"/>
        <w:rPr>
          <w:rFonts w:cs="Times New Roman"/>
          <w:szCs w:val="22"/>
        </w:rPr>
      </w:pPr>
      <w:r w:rsidRPr="00E33C2B">
        <w:rPr>
          <w:rFonts w:eastAsia="Times New Roman" w:cs="Times New Roman"/>
          <w:b/>
          <w:bCs/>
          <w:szCs w:val="22"/>
        </w:rPr>
        <w:fldChar w:fldCharType="begin"/>
      </w:r>
      <w:r w:rsidRPr="00E33C2B">
        <w:rPr>
          <w:rFonts w:cs="Times New Roman"/>
          <w:b/>
          <w:bCs/>
          <w:szCs w:val="22"/>
        </w:rPr>
        <w:instrText xml:space="preserve"> ADDIN ZOTERO_BIBL {"uncited":[],"omitted":[],"custom":[]} CSL_BIBLIOGRAPHY </w:instrText>
      </w:r>
      <w:r w:rsidRPr="00E33C2B">
        <w:rPr>
          <w:rFonts w:eastAsia="Times New Roman" w:cs="Times New Roman"/>
          <w:b/>
          <w:bCs/>
          <w:szCs w:val="22"/>
        </w:rPr>
        <w:fldChar w:fldCharType="separate"/>
      </w:r>
      <w:r w:rsidRPr="00E33C2B">
        <w:rPr>
          <w:rFonts w:cs="Times New Roman"/>
          <w:szCs w:val="22"/>
        </w:rPr>
        <w:t xml:space="preserve">Aflaki, A., Mahyuddin, N., Al-Cheikh Mahmoud, Z., &amp; Baharum, M. R. (2015). A review on natural ventilation applications through building façade components and ventilation openings in tropical climates. </w:t>
      </w:r>
      <w:r w:rsidRPr="00E33C2B">
        <w:rPr>
          <w:rFonts w:cs="Times New Roman"/>
          <w:i/>
          <w:iCs/>
          <w:szCs w:val="22"/>
        </w:rPr>
        <w:t>Energy and Buildings</w:t>
      </w:r>
      <w:r w:rsidRPr="00E33C2B">
        <w:rPr>
          <w:rFonts w:cs="Times New Roman"/>
          <w:szCs w:val="22"/>
        </w:rPr>
        <w:t xml:space="preserve">, </w:t>
      </w:r>
      <w:r w:rsidRPr="00E33C2B">
        <w:rPr>
          <w:rFonts w:cs="Times New Roman"/>
          <w:i/>
          <w:iCs/>
          <w:szCs w:val="22"/>
        </w:rPr>
        <w:t>101</w:t>
      </w:r>
      <w:r w:rsidRPr="00E33C2B">
        <w:rPr>
          <w:rFonts w:cs="Times New Roman"/>
          <w:szCs w:val="22"/>
        </w:rPr>
        <w:t>, 153–162. https://doi.org/10.1016/j.enbuild.2015.04.033</w:t>
      </w:r>
    </w:p>
    <w:p w14:paraId="53E97DBC"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Ahmadi, B. (2021). </w:t>
      </w:r>
      <w:r w:rsidRPr="00E33C2B">
        <w:rPr>
          <w:rStyle w:val="Emphasis"/>
          <w:sz w:val="22"/>
          <w:szCs w:val="22"/>
        </w:rPr>
        <w:t xml:space="preserve">Designing a </w:t>
      </w:r>
      <w:r w:rsidRPr="00E33C2B">
        <w:rPr>
          <w:rStyle w:val="Emphasis"/>
          <w:sz w:val="22"/>
          <w:szCs w:val="22"/>
          <w:lang w:bidi="fa-IR"/>
        </w:rPr>
        <w:t>12</w:t>
      </w:r>
      <w:r w:rsidRPr="00E33C2B">
        <w:rPr>
          <w:rStyle w:val="Emphasis"/>
          <w:sz w:val="22"/>
          <w:szCs w:val="22"/>
        </w:rPr>
        <w:t>-grade elementary school for girls in Yazd with an energy saving approach through natural ventilation</w:t>
      </w:r>
      <w:r w:rsidRPr="00E33C2B">
        <w:rPr>
          <w:sz w:val="22"/>
          <w:szCs w:val="22"/>
        </w:rPr>
        <w:t xml:space="preserve"> (Master's thesis, Yazd University, Yazd). [</w:t>
      </w:r>
      <w:r w:rsidRPr="00E33C2B">
        <w:rPr>
          <w:color w:val="FF0000"/>
          <w:sz w:val="22"/>
          <w:szCs w:val="22"/>
        </w:rPr>
        <w:t>in Persian</w:t>
      </w:r>
      <w:r w:rsidRPr="00E33C2B">
        <w:rPr>
          <w:sz w:val="22"/>
          <w:szCs w:val="22"/>
        </w:rPr>
        <w:t>]</w:t>
      </w:r>
    </w:p>
    <w:p w14:paraId="3F89719C"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Ahmadi Nia Tabesh, N. (2019). </w:t>
      </w:r>
      <w:r w:rsidRPr="00E33C2B">
        <w:rPr>
          <w:rStyle w:val="Emphasis"/>
          <w:sz w:val="22"/>
          <w:szCs w:val="22"/>
        </w:rPr>
        <w:t>Optimal form design for elementary  girl’s school with using effective natural</w:t>
      </w:r>
      <w:r w:rsidRPr="00E33C2B">
        <w:rPr>
          <w:rStyle w:val="Emphasis"/>
          <w:sz w:val="22"/>
          <w:szCs w:val="22"/>
          <w:rtl/>
        </w:rPr>
        <w:t xml:space="preserve"> </w:t>
      </w:r>
      <w:r w:rsidRPr="00E33C2B">
        <w:rPr>
          <w:rStyle w:val="Emphasis"/>
          <w:sz w:val="22"/>
          <w:szCs w:val="22"/>
        </w:rPr>
        <w:t>ventilation located in Bushehr ,Iran</w:t>
      </w:r>
      <w:r w:rsidRPr="00E33C2B">
        <w:rPr>
          <w:sz w:val="22"/>
          <w:szCs w:val="22"/>
        </w:rPr>
        <w:t xml:space="preserve"> (Master's thesis, Tehran East Branch, Islamic Azad University, Tehran). [</w:t>
      </w:r>
      <w:r w:rsidRPr="00E33C2B">
        <w:rPr>
          <w:color w:val="FF0000"/>
          <w:sz w:val="22"/>
          <w:szCs w:val="22"/>
        </w:rPr>
        <w:t>in Persian</w:t>
      </w:r>
      <w:r w:rsidRPr="00E33C2B">
        <w:rPr>
          <w:sz w:val="22"/>
          <w:szCs w:val="22"/>
        </w:rPr>
        <w:t>]</w:t>
      </w:r>
    </w:p>
    <w:p w14:paraId="16D83F1F"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Aguilar-Carrasco, M., López-Lovillo, R., Suárez, R., &amp; León-Rodríguez, A. (2025). Ventilation Strategies to Ensure Thermal Comfort for Users in School Buildings: A Critical Review. </w:t>
      </w:r>
      <w:r w:rsidRPr="00E33C2B">
        <w:rPr>
          <w:rFonts w:cs="Times New Roman"/>
          <w:i/>
          <w:iCs/>
          <w:szCs w:val="22"/>
        </w:rPr>
        <w:t>APPLIED SCIENCES-BASEL</w:t>
      </w:r>
      <w:r w:rsidRPr="00E33C2B">
        <w:rPr>
          <w:rFonts w:cs="Times New Roman"/>
          <w:szCs w:val="22"/>
        </w:rPr>
        <w:t xml:space="preserve">, </w:t>
      </w:r>
      <w:r w:rsidRPr="00E33C2B">
        <w:rPr>
          <w:rFonts w:cs="Times New Roman"/>
          <w:i/>
          <w:iCs/>
          <w:szCs w:val="22"/>
        </w:rPr>
        <w:t>15</w:t>
      </w:r>
      <w:r w:rsidRPr="00E33C2B">
        <w:rPr>
          <w:rFonts w:cs="Times New Roman"/>
          <w:szCs w:val="22"/>
        </w:rPr>
        <w:t>(10). (WOS:001495846900001). https://doi.org/10.3390/app15105449</w:t>
      </w:r>
    </w:p>
    <w:p w14:paraId="00FA4CC0"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Akhyani, M. (2022). </w:t>
      </w:r>
      <w:r w:rsidRPr="00E33C2B">
        <w:rPr>
          <w:rStyle w:val="Emphasis"/>
          <w:sz w:val="22"/>
          <w:szCs w:val="22"/>
        </w:rPr>
        <w:t>Designing a 12-class school with the approach of reducing the dispersion of pollutants around and inside the classrooms (case study: Tehran)</w:t>
      </w:r>
      <w:r w:rsidRPr="00E33C2B">
        <w:rPr>
          <w:sz w:val="22"/>
          <w:szCs w:val="22"/>
        </w:rPr>
        <w:t xml:space="preserve"> (Master's thesis, Department of Architecture, Iran University of Science and Technology, Tehran). [</w:t>
      </w:r>
      <w:r w:rsidRPr="00E33C2B">
        <w:rPr>
          <w:color w:val="FF0000"/>
          <w:sz w:val="22"/>
          <w:szCs w:val="22"/>
        </w:rPr>
        <w:t>in Persian</w:t>
      </w:r>
      <w:r w:rsidRPr="00E33C2B">
        <w:rPr>
          <w:sz w:val="22"/>
          <w:szCs w:val="22"/>
        </w:rPr>
        <w:t>]</w:t>
      </w:r>
    </w:p>
    <w:p w14:paraId="1D5F15FA"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i/>
          <w:iCs/>
          <w:szCs w:val="22"/>
        </w:rPr>
        <w:t>Alatalo</w:t>
      </w:r>
      <w:r w:rsidRPr="00E33C2B">
        <w:rPr>
          <w:rFonts w:cs="Times New Roman"/>
          <w:szCs w:val="22"/>
        </w:rPr>
        <w:t xml:space="preserve">. (2016). Enhancing the building performance of low-cost schools in Pakistan - A study of natural ventilation, thermal comfort and moisture safety (A study of natural ventilation, thermal comfort and moisture safety). Master’s thesis in Structural Engineering and Building Technology. CHALMERS University of technology. Gothenburg, Sweden. BOMX02-16-18. </w:t>
      </w:r>
    </w:p>
    <w:p w14:paraId="63DAE273"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Alizade, S. (2024). </w:t>
      </w:r>
      <w:r w:rsidRPr="00E33C2B">
        <w:rPr>
          <w:rStyle w:val="Emphasis"/>
          <w:sz w:val="22"/>
          <w:szCs w:val="22"/>
        </w:rPr>
        <w:t xml:space="preserve">Optimization of daylight and natural ventilation in a school in Sanandaj to improve the sustainability of the building </w:t>
      </w:r>
      <w:r w:rsidRPr="00E33C2B">
        <w:rPr>
          <w:sz w:val="22"/>
          <w:szCs w:val="22"/>
        </w:rPr>
        <w:t>(Master's thesis, Department of Architecture and Energy, University of Kurdistan, Sanandaj). [</w:t>
      </w:r>
      <w:r w:rsidRPr="00E33C2B">
        <w:rPr>
          <w:color w:val="FF0000"/>
          <w:sz w:val="22"/>
          <w:szCs w:val="22"/>
        </w:rPr>
        <w:t>in Persian</w:t>
      </w:r>
      <w:r w:rsidRPr="00E33C2B">
        <w:rPr>
          <w:sz w:val="22"/>
          <w:szCs w:val="22"/>
        </w:rPr>
        <w:t>]</w:t>
      </w:r>
    </w:p>
    <w:p w14:paraId="5F2E37D2"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Amini, H. (2023). </w:t>
      </w:r>
      <w:r w:rsidRPr="00E33C2B">
        <w:rPr>
          <w:rStyle w:val="Emphasis"/>
          <w:sz w:val="22"/>
          <w:szCs w:val="22"/>
        </w:rPr>
        <w:t>Presenting a theory for the educational space of exceptional children in the direction of natural ventilation using suitable windows to promote mental comfort in Sanandaj</w:t>
      </w:r>
      <w:r w:rsidRPr="00E33C2B">
        <w:rPr>
          <w:sz w:val="22"/>
          <w:szCs w:val="22"/>
        </w:rPr>
        <w:t xml:space="preserve"> (Master's thesis, Pars University of Art and Architecture, Tehran). [</w:t>
      </w:r>
      <w:r w:rsidRPr="00E33C2B">
        <w:rPr>
          <w:color w:val="FF0000"/>
          <w:sz w:val="22"/>
          <w:szCs w:val="22"/>
        </w:rPr>
        <w:t>in Persian</w:t>
      </w:r>
      <w:r w:rsidRPr="00E33C2B">
        <w:rPr>
          <w:sz w:val="22"/>
          <w:szCs w:val="22"/>
        </w:rPr>
        <w:t>]</w:t>
      </w:r>
    </w:p>
    <w:p w14:paraId="0B2053F3"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Aram, B. S. (2022).</w:t>
      </w:r>
      <w:r w:rsidRPr="00E33C2B">
        <w:rPr>
          <w:rStyle w:val="Emphasis"/>
          <w:sz w:val="22"/>
          <w:szCs w:val="22"/>
        </w:rPr>
        <w:t xml:space="preserve"> Designing a 6-grade primary school with the benefit of passive energy in Khorramabad village of Mashhad</w:t>
      </w:r>
      <w:r w:rsidRPr="00E33C2B">
        <w:rPr>
          <w:sz w:val="22"/>
          <w:szCs w:val="22"/>
        </w:rPr>
        <w:t xml:space="preserve"> (Master's thesis, Yazd University, Yazd). [</w:t>
      </w:r>
      <w:r w:rsidRPr="00E33C2B">
        <w:rPr>
          <w:color w:val="FF0000"/>
          <w:sz w:val="22"/>
          <w:szCs w:val="22"/>
        </w:rPr>
        <w:t>in Persian</w:t>
      </w:r>
      <w:r w:rsidRPr="00E33C2B">
        <w:rPr>
          <w:sz w:val="22"/>
          <w:szCs w:val="22"/>
        </w:rPr>
        <w:t>]</w:t>
      </w:r>
    </w:p>
    <w:p w14:paraId="724150E4"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Awbi, H. B. (2008). </w:t>
      </w:r>
      <w:r w:rsidRPr="00E33C2B">
        <w:rPr>
          <w:rFonts w:cs="Times New Roman"/>
          <w:i/>
          <w:iCs/>
          <w:szCs w:val="22"/>
        </w:rPr>
        <w:t>Ventilation Systems: Design and Performance</w:t>
      </w:r>
      <w:r w:rsidRPr="00E33C2B">
        <w:rPr>
          <w:rFonts w:cs="Times New Roman"/>
          <w:szCs w:val="22"/>
        </w:rPr>
        <w:t>.</w:t>
      </w:r>
    </w:p>
    <w:p w14:paraId="4EC91CD5"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Baeumle, R. (2021). </w:t>
      </w:r>
      <w:r w:rsidRPr="00E33C2B">
        <w:rPr>
          <w:rFonts w:cs="Times New Roman"/>
          <w:i/>
          <w:iCs/>
          <w:szCs w:val="22"/>
        </w:rPr>
        <w:t>Natural Ventilation of Buildings: From Fluid Mechanics to Architectural Design Guidance</w:t>
      </w:r>
      <w:r w:rsidRPr="00E33C2B">
        <w:rPr>
          <w:rFonts w:cs="Times New Roman"/>
          <w:szCs w:val="22"/>
        </w:rPr>
        <w:t>.</w:t>
      </w:r>
    </w:p>
    <w:p w14:paraId="146407B3"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Baeumle, R., &amp; Hunt, G. (2018). Capturing the needs of architects: A survey of their current information requirements of natural ventilation design. </w:t>
      </w:r>
      <w:r w:rsidRPr="00E33C2B">
        <w:rPr>
          <w:rFonts w:cs="Times New Roman"/>
          <w:i/>
          <w:iCs/>
          <w:szCs w:val="22"/>
        </w:rPr>
        <w:t>INTERNATIONAL JOURNAL OF VENTILATION</w:t>
      </w:r>
      <w:r w:rsidRPr="00E33C2B">
        <w:rPr>
          <w:rFonts w:cs="Times New Roman"/>
          <w:szCs w:val="22"/>
        </w:rPr>
        <w:t xml:space="preserve">, </w:t>
      </w:r>
      <w:r w:rsidRPr="00E33C2B">
        <w:rPr>
          <w:rFonts w:cs="Times New Roman"/>
          <w:i/>
          <w:iCs/>
          <w:szCs w:val="22"/>
        </w:rPr>
        <w:t>17</w:t>
      </w:r>
      <w:r w:rsidRPr="00E33C2B">
        <w:rPr>
          <w:rFonts w:cs="Times New Roman"/>
          <w:szCs w:val="22"/>
        </w:rPr>
        <w:t>(2), 120–147. (WOS:000438785300004). https://doi.org/10.1080/14733315.2017.1351737</w:t>
      </w:r>
    </w:p>
    <w:p w14:paraId="5C881C37"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Bagheri Fazel, A. (2023). </w:t>
      </w:r>
      <w:r w:rsidRPr="00E33C2B">
        <w:rPr>
          <w:rStyle w:val="Emphasis"/>
          <w:sz w:val="22"/>
          <w:szCs w:val="22"/>
        </w:rPr>
        <w:t xml:space="preserve">Designing a twelve-class elementary school in Qeshm city, with the approach of reducing the spread of infectious diseases in open and semi open spaces. </w:t>
      </w:r>
      <w:r w:rsidRPr="00E33C2B">
        <w:rPr>
          <w:sz w:val="22"/>
          <w:szCs w:val="22"/>
        </w:rPr>
        <w:t>(Master's thesis, Department of Architecture, Iran University of Science and Technology, Tehran). [</w:t>
      </w:r>
      <w:r w:rsidRPr="00E33C2B">
        <w:rPr>
          <w:color w:val="FF0000"/>
          <w:sz w:val="22"/>
          <w:szCs w:val="22"/>
        </w:rPr>
        <w:t>in Persian</w:t>
      </w:r>
      <w:r w:rsidRPr="00E33C2B">
        <w:rPr>
          <w:sz w:val="22"/>
          <w:szCs w:val="22"/>
        </w:rPr>
        <w:t>]</w:t>
      </w:r>
    </w:p>
    <w:p w14:paraId="6CAF610A"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Bayoumi, M. (2021). Improving Indoor Air Quality in Classrooms via Wind-Induced Natural Ventilation. </w:t>
      </w:r>
      <w:r w:rsidRPr="00E33C2B">
        <w:rPr>
          <w:i/>
          <w:iCs/>
          <w:sz w:val="22"/>
          <w:szCs w:val="22"/>
        </w:rPr>
        <w:t>Modelling and Simulation in Engineering</w:t>
      </w:r>
      <w:r w:rsidRPr="00E33C2B">
        <w:rPr>
          <w:sz w:val="22"/>
          <w:szCs w:val="22"/>
        </w:rPr>
        <w:t xml:space="preserve">, </w:t>
      </w:r>
      <w:r w:rsidRPr="00E33C2B">
        <w:rPr>
          <w:i/>
          <w:iCs/>
          <w:sz w:val="22"/>
          <w:szCs w:val="22"/>
        </w:rPr>
        <w:t>2021</w:t>
      </w:r>
      <w:r w:rsidRPr="00E33C2B">
        <w:rPr>
          <w:sz w:val="22"/>
          <w:szCs w:val="22"/>
        </w:rPr>
        <w:t xml:space="preserve">, 1–14. </w:t>
      </w:r>
      <w:hyperlink r:id="rId7" w:history="1">
        <w:r w:rsidRPr="00E33C2B">
          <w:rPr>
            <w:rStyle w:val="Hyperlink"/>
            <w:sz w:val="22"/>
            <w:szCs w:val="22"/>
          </w:rPr>
          <w:t>https://doi.org/10.1155/2021/6668031</w:t>
        </w:r>
      </w:hyperlink>
    </w:p>
    <w:p w14:paraId="1F2AAE8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Becker, R., Goldberger, I., &amp; Paciuk, M. (2007). Improving energy performance of school buildings while ensuring indoor air quality ventilation. </w:t>
      </w:r>
      <w:r w:rsidRPr="00E33C2B">
        <w:rPr>
          <w:rFonts w:cs="Times New Roman"/>
          <w:i/>
          <w:iCs/>
          <w:szCs w:val="22"/>
        </w:rPr>
        <w:t>Building and Environment</w:t>
      </w:r>
      <w:r w:rsidRPr="00E33C2B">
        <w:rPr>
          <w:rFonts w:cs="Times New Roman"/>
          <w:szCs w:val="22"/>
        </w:rPr>
        <w:t xml:space="preserve">, </w:t>
      </w:r>
      <w:r w:rsidRPr="00E33C2B">
        <w:rPr>
          <w:rFonts w:cs="Times New Roman"/>
          <w:i/>
          <w:iCs/>
          <w:szCs w:val="22"/>
        </w:rPr>
        <w:t>42</w:t>
      </w:r>
      <w:r w:rsidRPr="00E33C2B">
        <w:rPr>
          <w:rFonts w:cs="Times New Roman"/>
          <w:szCs w:val="22"/>
        </w:rPr>
        <w:t>(9), 3261–3276. https://doi.org/10.1016/j.buildenv.2006.08.016</w:t>
      </w:r>
    </w:p>
    <w:p w14:paraId="4376281E"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rStyle w:val="Strong"/>
          <w:b w:val="0"/>
          <w:bCs w:val="0"/>
          <w:sz w:val="22"/>
          <w:szCs w:val="22"/>
        </w:rPr>
        <w:t>Beiragh Shamshir, M.</w:t>
      </w:r>
      <w:r w:rsidRPr="00E33C2B">
        <w:rPr>
          <w:sz w:val="22"/>
          <w:szCs w:val="22"/>
        </w:rPr>
        <w:t xml:space="preserve"> (2022).</w:t>
      </w:r>
      <w:r w:rsidRPr="00E33C2B">
        <w:rPr>
          <w:b/>
          <w:bCs/>
          <w:sz w:val="22"/>
          <w:szCs w:val="22"/>
        </w:rPr>
        <w:t xml:space="preserve"> </w:t>
      </w:r>
      <w:r w:rsidRPr="00E33C2B">
        <w:rPr>
          <w:rStyle w:val="thesis-title-all"/>
          <w:i/>
          <w:iCs/>
          <w:sz w:val="22"/>
          <w:szCs w:val="22"/>
        </w:rPr>
        <w:t>Design of 12-Grade School with an Approach of Reducing the Energy Consumption in Yazd (Simultaneous Use of Windcatcher and Atrium)</w:t>
      </w:r>
      <w:r w:rsidRPr="00E33C2B">
        <w:rPr>
          <w:rStyle w:val="Emphasis"/>
          <w:rFonts w:eastAsiaTheme="majorEastAsia"/>
          <w:sz w:val="22"/>
          <w:szCs w:val="22"/>
        </w:rPr>
        <w:t>.</w:t>
      </w:r>
      <w:r w:rsidRPr="00E33C2B">
        <w:rPr>
          <w:sz w:val="22"/>
          <w:szCs w:val="22"/>
        </w:rPr>
        <w:t xml:space="preserve"> (Master’s thesis, Department of Architectural Engineering, Faculty of Architecture and Urban Planning, Shahrood University of Technology, Shahrood, Iran).</w:t>
      </w:r>
      <w:r w:rsidRPr="00E33C2B">
        <w:rPr>
          <w:sz w:val="22"/>
          <w:szCs w:val="22"/>
          <w:rtl/>
        </w:rPr>
        <w:t xml:space="preserve"> </w:t>
      </w:r>
      <w:r w:rsidRPr="00E33C2B">
        <w:rPr>
          <w:sz w:val="22"/>
          <w:szCs w:val="22"/>
        </w:rPr>
        <w:t>[</w:t>
      </w:r>
      <w:r w:rsidRPr="00E33C2B">
        <w:rPr>
          <w:color w:val="FF0000"/>
          <w:sz w:val="22"/>
          <w:szCs w:val="22"/>
        </w:rPr>
        <w:t>in Persian</w:t>
      </w:r>
      <w:r w:rsidRPr="00E33C2B">
        <w:rPr>
          <w:sz w:val="22"/>
          <w:szCs w:val="22"/>
        </w:rPr>
        <w:t>]</w:t>
      </w:r>
    </w:p>
    <w:p w14:paraId="26EDCDC8"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lastRenderedPageBreak/>
        <w:t xml:space="preserve">Bienvenido-Huertas, D., de la Hoz-Torres, M., Aguilar, A., Tejedor, B., &amp; Sánchez-García, D. (2023). Holistic overview of natural ventilation and mixed mode in built environment of warm climate zones and hot seasons. </w:t>
      </w:r>
      <w:r w:rsidRPr="00E33C2B">
        <w:rPr>
          <w:i/>
          <w:iCs/>
          <w:sz w:val="22"/>
          <w:szCs w:val="22"/>
        </w:rPr>
        <w:t>BUILDING AND ENVIRONMENT</w:t>
      </w:r>
      <w:r w:rsidRPr="00E33C2B">
        <w:rPr>
          <w:sz w:val="22"/>
          <w:szCs w:val="22"/>
        </w:rPr>
        <w:t xml:space="preserve">, </w:t>
      </w:r>
      <w:r w:rsidRPr="00E33C2B">
        <w:rPr>
          <w:i/>
          <w:iCs/>
          <w:sz w:val="22"/>
          <w:szCs w:val="22"/>
        </w:rPr>
        <w:t>245</w:t>
      </w:r>
      <w:r w:rsidRPr="00E33C2B">
        <w:rPr>
          <w:sz w:val="22"/>
          <w:szCs w:val="22"/>
        </w:rPr>
        <w:t xml:space="preserve">. (WOS:001094487200001). </w:t>
      </w:r>
      <w:hyperlink r:id="rId8" w:history="1">
        <w:r w:rsidRPr="00E33C2B">
          <w:rPr>
            <w:rStyle w:val="Hyperlink"/>
            <w:sz w:val="22"/>
            <w:szCs w:val="22"/>
          </w:rPr>
          <w:t>https://doi.org/10.1016/j.buildenv.2023.110942</w:t>
        </w:r>
      </w:hyperlink>
    </w:p>
    <w:p w14:paraId="0BFC450E"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Bugenings, L., Schaffer, M., Larsen, O., &amp; Zhang, C. (2022). A novel solution for school renovations: Combining diffuse ceiling ventilation with double skin facade. </w:t>
      </w:r>
      <w:r w:rsidRPr="00E33C2B">
        <w:rPr>
          <w:rFonts w:cs="Times New Roman"/>
          <w:i/>
          <w:iCs/>
          <w:szCs w:val="22"/>
        </w:rPr>
        <w:t>JOURNAL OF BUILDING ENGINEERING</w:t>
      </w:r>
      <w:r w:rsidRPr="00E33C2B">
        <w:rPr>
          <w:rFonts w:cs="Times New Roman"/>
          <w:szCs w:val="22"/>
        </w:rPr>
        <w:t xml:space="preserve">, </w:t>
      </w:r>
      <w:r w:rsidRPr="00E33C2B">
        <w:rPr>
          <w:rFonts w:cs="Times New Roman"/>
          <w:i/>
          <w:iCs/>
          <w:szCs w:val="22"/>
        </w:rPr>
        <w:t>49</w:t>
      </w:r>
      <w:r w:rsidRPr="00E33C2B">
        <w:rPr>
          <w:rFonts w:cs="Times New Roman"/>
          <w:szCs w:val="22"/>
        </w:rPr>
        <w:t>. (WOS:000776398200002). https://doi.org/10.1016/j.jobe.2022.104026</w:t>
      </w:r>
    </w:p>
    <w:p w14:paraId="67F1E3EE"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Chiang, W., Hsu, H., &amp; Huang, J. (2013). FACADE DESIGN EFFECT ON CROSS-VENTILATION IN TAIWANESE SCHOOL BUILDINGS. </w:t>
      </w:r>
      <w:r w:rsidRPr="00E33C2B">
        <w:rPr>
          <w:rFonts w:cs="Times New Roman"/>
          <w:i/>
          <w:iCs/>
          <w:szCs w:val="22"/>
        </w:rPr>
        <w:t>JOURNAL OF GREEN BUILDING</w:t>
      </w:r>
      <w:r w:rsidRPr="00E33C2B">
        <w:rPr>
          <w:rFonts w:cs="Times New Roman"/>
          <w:szCs w:val="22"/>
        </w:rPr>
        <w:t xml:space="preserve">, </w:t>
      </w:r>
      <w:r w:rsidRPr="00E33C2B">
        <w:rPr>
          <w:rFonts w:cs="Times New Roman"/>
          <w:i/>
          <w:iCs/>
          <w:szCs w:val="22"/>
        </w:rPr>
        <w:t>8</w:t>
      </w:r>
      <w:r w:rsidRPr="00E33C2B">
        <w:rPr>
          <w:rFonts w:cs="Times New Roman"/>
          <w:szCs w:val="22"/>
        </w:rPr>
        <w:t>(2), 90–111. (WOS:000322718100007). https://doi.org/10.3992/jgb.8.2.90</w:t>
      </w:r>
    </w:p>
    <w:p w14:paraId="45C203FE"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CIBSE. (2005). </w:t>
      </w:r>
      <w:r w:rsidRPr="00E33C2B">
        <w:rPr>
          <w:rFonts w:cs="Times New Roman"/>
          <w:i/>
          <w:iCs/>
          <w:szCs w:val="22"/>
        </w:rPr>
        <w:t>Natural ventilation in non-domestic buildings</w:t>
      </w:r>
      <w:r w:rsidRPr="00E33C2B">
        <w:rPr>
          <w:rFonts w:cs="Times New Roman"/>
          <w:szCs w:val="22"/>
        </w:rPr>
        <w:t>.</w:t>
      </w:r>
    </w:p>
    <w:p w14:paraId="3F1FFBA5"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Cordero, A. S., Melgar, S. G., &amp; Marquez, J. M. A. (2024). Validation of Dynamic Natural Ventilation Protocols for Optimal Indoor Air Quality and Thermal Adaptive Comfort during the Winter Season in Subtropical-Climate School Buildings. </w:t>
      </w:r>
      <w:r w:rsidRPr="00E33C2B">
        <w:rPr>
          <w:rFonts w:cs="Times New Roman"/>
          <w:i/>
          <w:iCs/>
          <w:szCs w:val="22"/>
        </w:rPr>
        <w:t>APPLIED SCIENCES-BASEL</w:t>
      </w:r>
      <w:r w:rsidRPr="00E33C2B">
        <w:rPr>
          <w:rFonts w:cs="Times New Roman"/>
          <w:szCs w:val="22"/>
        </w:rPr>
        <w:t xml:space="preserve">, </w:t>
      </w:r>
      <w:r w:rsidRPr="00E33C2B">
        <w:rPr>
          <w:rFonts w:cs="Times New Roman"/>
          <w:i/>
          <w:iCs/>
          <w:szCs w:val="22"/>
        </w:rPr>
        <w:t>14</w:t>
      </w:r>
      <w:r w:rsidRPr="00E33C2B">
        <w:rPr>
          <w:rFonts w:cs="Times New Roman"/>
          <w:szCs w:val="22"/>
        </w:rPr>
        <w:t>(11), 4651. https://doi.org/10.3390/app14114651</w:t>
      </w:r>
    </w:p>
    <w:p w14:paraId="4905B0A6"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Cuce, E., Sher, F., Sadiq, H., Cuce, P. M., Guclu, T., &amp; Besir, A. B. (2019). Sustainable ventilation strategies in buildings: CFD research. </w:t>
      </w:r>
      <w:r w:rsidRPr="00E33C2B">
        <w:rPr>
          <w:rFonts w:cs="Times New Roman"/>
          <w:i/>
          <w:iCs/>
          <w:szCs w:val="22"/>
        </w:rPr>
        <w:t>SUSTAINABLE ENERGY TECHNOLOGIES AND ASSESSMENTS</w:t>
      </w:r>
      <w:r w:rsidRPr="00E33C2B">
        <w:rPr>
          <w:rFonts w:cs="Times New Roman"/>
          <w:szCs w:val="22"/>
        </w:rPr>
        <w:t xml:space="preserve">, </w:t>
      </w:r>
      <w:r w:rsidRPr="00E33C2B">
        <w:rPr>
          <w:rFonts w:cs="Times New Roman"/>
          <w:i/>
          <w:iCs/>
          <w:szCs w:val="22"/>
        </w:rPr>
        <w:t>36</w:t>
      </w:r>
      <w:r w:rsidRPr="00E33C2B">
        <w:rPr>
          <w:rFonts w:cs="Times New Roman"/>
          <w:szCs w:val="22"/>
        </w:rPr>
        <w:t>, 100540. https://doi.org/10.1016/j.seta.2019.100540</w:t>
      </w:r>
    </w:p>
    <w:p w14:paraId="7A56A39F"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Diaz-Lopez, C., Serrano-Jimenez, A., Lizana, J., Lopez-Garcia, E., Molina-Huelva, M., &amp; Barrios-Padura, A. (2022). Passive action strategies in schools: A scientific mapping towards eco-efficiency in educational buildings. </w:t>
      </w:r>
      <w:r w:rsidRPr="00E33C2B">
        <w:rPr>
          <w:rFonts w:cs="Times New Roman"/>
          <w:i/>
          <w:iCs/>
          <w:szCs w:val="22"/>
        </w:rPr>
        <w:t>JOURNAL OF BUILDING ENGINEERING</w:t>
      </w:r>
      <w:r w:rsidRPr="00E33C2B">
        <w:rPr>
          <w:rFonts w:cs="Times New Roman"/>
          <w:szCs w:val="22"/>
        </w:rPr>
        <w:t xml:space="preserve">, </w:t>
      </w:r>
      <w:r w:rsidRPr="00E33C2B">
        <w:rPr>
          <w:rFonts w:cs="Times New Roman"/>
          <w:i/>
          <w:iCs/>
          <w:szCs w:val="22"/>
        </w:rPr>
        <w:t>45</w:t>
      </w:r>
      <w:r w:rsidRPr="00E33C2B">
        <w:rPr>
          <w:rFonts w:cs="Times New Roman"/>
          <w:szCs w:val="22"/>
        </w:rPr>
        <w:t>, 103598. https://doi.org/10.1016/j.jobe.2021.103598</w:t>
      </w:r>
    </w:p>
    <w:p w14:paraId="68D00A5D" w14:textId="77777777" w:rsidR="0097680B" w:rsidRPr="00E33C2B" w:rsidRDefault="0097680B" w:rsidP="0097680B">
      <w:pPr>
        <w:pStyle w:val="Bibliography"/>
        <w:bidi w:val="0"/>
        <w:spacing w:line="240" w:lineRule="auto"/>
        <w:ind w:left="0" w:hanging="284"/>
        <w:rPr>
          <w:rFonts w:cs="Times New Roman"/>
          <w:szCs w:val="22"/>
          <w:rtl/>
        </w:rPr>
      </w:pPr>
      <w:r w:rsidRPr="00E33C2B">
        <w:rPr>
          <w:rFonts w:cs="Times New Roman"/>
          <w:szCs w:val="22"/>
        </w:rPr>
        <w:t xml:space="preserve">Diaz-Lopez, C., Serrano-Jimenez, A., Verichev, K., &amp; Barrios-Padura, A. (2022). Passive cooling strategies to optimise sustainability and environmental ergonomics in Mediterranean schools based on a critical review. </w:t>
      </w:r>
      <w:r w:rsidRPr="00E33C2B">
        <w:rPr>
          <w:rFonts w:cs="Times New Roman"/>
          <w:i/>
          <w:iCs/>
          <w:szCs w:val="22"/>
        </w:rPr>
        <w:t>BUILDING AND ENVIRONMENT</w:t>
      </w:r>
      <w:r w:rsidRPr="00E33C2B">
        <w:rPr>
          <w:rFonts w:cs="Times New Roman"/>
          <w:szCs w:val="22"/>
        </w:rPr>
        <w:t xml:space="preserve">, </w:t>
      </w:r>
      <w:r w:rsidRPr="00E33C2B">
        <w:rPr>
          <w:rFonts w:cs="Times New Roman"/>
          <w:i/>
          <w:iCs/>
          <w:szCs w:val="22"/>
        </w:rPr>
        <w:t>221</w:t>
      </w:r>
      <w:r w:rsidRPr="00E33C2B">
        <w:rPr>
          <w:rFonts w:cs="Times New Roman"/>
          <w:szCs w:val="22"/>
        </w:rPr>
        <w:t>. (WOS:000823045400003). https://doi.org/10.1016/j.buildenv.2022.109297</w:t>
      </w:r>
    </w:p>
    <w:p w14:paraId="102A7884"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Duarte, R., Rodrigues, A., Pimentel, F., &amp; Gomes, M. (2024). The Effect of Occupancy and Environmental Physical Variables on Classrooms’ Natural Ventilation: A Path Modeling Approach. </w:t>
      </w:r>
      <w:r w:rsidRPr="00E33C2B">
        <w:rPr>
          <w:i/>
          <w:iCs/>
          <w:sz w:val="22"/>
          <w:szCs w:val="22"/>
        </w:rPr>
        <w:t>APPLIED SCIENCES-BASEL</w:t>
      </w:r>
      <w:r w:rsidRPr="00E33C2B">
        <w:rPr>
          <w:sz w:val="22"/>
          <w:szCs w:val="22"/>
        </w:rPr>
        <w:t xml:space="preserve">, </w:t>
      </w:r>
      <w:r w:rsidRPr="00E33C2B">
        <w:rPr>
          <w:i/>
          <w:iCs/>
          <w:sz w:val="22"/>
          <w:szCs w:val="22"/>
        </w:rPr>
        <w:t>14</w:t>
      </w:r>
      <w:r w:rsidRPr="00E33C2B">
        <w:rPr>
          <w:sz w:val="22"/>
          <w:szCs w:val="22"/>
        </w:rPr>
        <w:t xml:space="preserve">(24). (WOS:001384102200001). </w:t>
      </w:r>
      <w:hyperlink r:id="rId9" w:history="1">
        <w:r w:rsidRPr="00E33C2B">
          <w:rPr>
            <w:rStyle w:val="Hyperlink"/>
            <w:sz w:val="22"/>
            <w:szCs w:val="22"/>
          </w:rPr>
          <w:t>https://doi.org/10.3390/app142411705</w:t>
        </w:r>
      </w:hyperlink>
    </w:p>
    <w:p w14:paraId="485E148D"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Eradati, F. (2021). </w:t>
      </w:r>
      <w:r w:rsidRPr="00E33C2B">
        <w:rPr>
          <w:rStyle w:val="Emphasis"/>
          <w:sz w:val="22"/>
          <w:szCs w:val="22"/>
        </w:rPr>
        <w:t>Optimization of Natural Ventilation through Single-sided Windows in order to Prevent the Spread of Pathogens in Educational Spaces in Tehran</w:t>
      </w:r>
      <w:r w:rsidRPr="00E33C2B">
        <w:rPr>
          <w:sz w:val="22"/>
          <w:szCs w:val="22"/>
        </w:rPr>
        <w:t xml:space="preserve"> (Master's thesis, University of Tehran, Tehran). [</w:t>
      </w:r>
      <w:r w:rsidRPr="00E33C2B">
        <w:rPr>
          <w:color w:val="FF0000"/>
          <w:sz w:val="22"/>
          <w:szCs w:val="22"/>
        </w:rPr>
        <w:t>in Persian</w:t>
      </w:r>
      <w:r w:rsidRPr="00E33C2B">
        <w:rPr>
          <w:sz w:val="22"/>
          <w:szCs w:val="22"/>
        </w:rPr>
        <w:t>]</w:t>
      </w:r>
    </w:p>
    <w:p w14:paraId="5C4752B1"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Etheridge. (2012). </w:t>
      </w:r>
      <w:r w:rsidRPr="00E33C2B">
        <w:rPr>
          <w:rFonts w:cs="Times New Roman"/>
          <w:i/>
          <w:iCs/>
          <w:szCs w:val="22"/>
        </w:rPr>
        <w:t>Natural Ventilation of Buildings Theory, Measurement and Design</w:t>
      </w:r>
      <w:r w:rsidRPr="00E33C2B">
        <w:rPr>
          <w:rFonts w:cs="Times New Roman"/>
          <w:szCs w:val="22"/>
        </w:rPr>
        <w:t>.</w:t>
      </w:r>
    </w:p>
    <w:p w14:paraId="373C389A"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Farahani, A. (2019). </w:t>
      </w:r>
      <w:r w:rsidRPr="00E33C2B">
        <w:rPr>
          <w:rStyle w:val="Emphasis"/>
          <w:sz w:val="22"/>
          <w:szCs w:val="22"/>
        </w:rPr>
        <w:t xml:space="preserve">Evaluation of Thermal Comfort and Indoor Air Quality in Educational Spaces with Natural Ventilation (Case Study: Highschools in Arak) </w:t>
      </w:r>
      <w:r w:rsidRPr="00E33C2B">
        <w:rPr>
          <w:sz w:val="22"/>
          <w:szCs w:val="22"/>
        </w:rPr>
        <w:t>(Master's thesis, Department of Architecture and Urban Planning, Shahid Beheshti University, Tehran). [</w:t>
      </w:r>
      <w:r w:rsidRPr="00E33C2B">
        <w:rPr>
          <w:color w:val="FF0000"/>
          <w:sz w:val="22"/>
          <w:szCs w:val="22"/>
        </w:rPr>
        <w:t>in Persian</w:t>
      </w:r>
      <w:r w:rsidRPr="00E33C2B">
        <w:rPr>
          <w:sz w:val="22"/>
          <w:szCs w:val="22"/>
        </w:rPr>
        <w:t>]</w:t>
      </w:r>
    </w:p>
    <w:p w14:paraId="1C543FCB" w14:textId="77777777" w:rsidR="0097680B" w:rsidRPr="00E33C2B" w:rsidRDefault="0097680B" w:rsidP="0097680B">
      <w:pPr>
        <w:pStyle w:val="NormalWeb"/>
        <w:spacing w:before="0" w:beforeAutospacing="0" w:after="0" w:afterAutospacing="0"/>
        <w:ind w:hanging="284"/>
        <w:rPr>
          <w:sz w:val="22"/>
          <w:szCs w:val="22"/>
          <w:rtl/>
        </w:rPr>
      </w:pPr>
      <w:r w:rsidRPr="00E33C2B">
        <w:rPr>
          <w:sz w:val="22"/>
          <w:szCs w:val="22"/>
        </w:rPr>
        <w:t xml:space="preserve">Farokhyan, F. , Vasigh, B. and Didehban, M. (2020). Determination the Morphological Pattern of Educational Building Facades to Control the Dust Haze. </w:t>
      </w:r>
      <w:r w:rsidRPr="00E33C2B">
        <w:rPr>
          <w:i/>
          <w:iCs/>
          <w:sz w:val="22"/>
          <w:szCs w:val="22"/>
        </w:rPr>
        <w:t>Journal of Natural Environmental Hazards</w:t>
      </w:r>
      <w:r w:rsidRPr="00E33C2B">
        <w:rPr>
          <w:sz w:val="22"/>
          <w:szCs w:val="22"/>
        </w:rPr>
        <w:t xml:space="preserve">, </w:t>
      </w:r>
      <w:r w:rsidRPr="00E33C2B">
        <w:rPr>
          <w:i/>
          <w:iCs/>
          <w:sz w:val="22"/>
          <w:szCs w:val="22"/>
        </w:rPr>
        <w:t>9</w:t>
      </w:r>
      <w:r w:rsidRPr="00E33C2B">
        <w:rPr>
          <w:sz w:val="22"/>
          <w:szCs w:val="22"/>
        </w:rPr>
        <w:t>(26), 185-202. doi: 10.22111/jneh.2020.32951.1610</w:t>
      </w:r>
      <w:r w:rsidRPr="00E33C2B">
        <w:rPr>
          <w:sz w:val="22"/>
          <w:szCs w:val="22"/>
          <w:rtl/>
        </w:rPr>
        <w:t>.</w:t>
      </w:r>
    </w:p>
    <w:p w14:paraId="67200C09"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Ferrari, S., Blázquez, T., Cardelli, R., Puglisi, G., Suárez, R., &amp; Mazzarella, L. (2022). Ventilation strategies to reduce airborne transmission of viruses in classrooms: A systematic review of scientific literature. </w:t>
      </w:r>
      <w:r w:rsidRPr="00E33C2B">
        <w:rPr>
          <w:rFonts w:cs="Times New Roman"/>
          <w:i/>
          <w:iCs/>
          <w:szCs w:val="22"/>
        </w:rPr>
        <w:t>Building and Environment</w:t>
      </w:r>
      <w:r w:rsidRPr="00E33C2B">
        <w:rPr>
          <w:rFonts w:cs="Times New Roman"/>
          <w:szCs w:val="22"/>
        </w:rPr>
        <w:t xml:space="preserve">, </w:t>
      </w:r>
      <w:r w:rsidRPr="00E33C2B">
        <w:rPr>
          <w:rFonts w:cs="Times New Roman"/>
          <w:i/>
          <w:iCs/>
          <w:szCs w:val="22"/>
        </w:rPr>
        <w:t>222</w:t>
      </w:r>
      <w:r w:rsidRPr="00E33C2B">
        <w:rPr>
          <w:rFonts w:cs="Times New Roman"/>
          <w:szCs w:val="22"/>
        </w:rPr>
        <w:t>, 109366. https://doi.org/10.1016/j.buildenv.2022.109366</w:t>
      </w:r>
    </w:p>
    <w:p w14:paraId="537AA570"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Fisk, W. J. (2017). The ventilation problem in schools: Literature review. </w:t>
      </w:r>
      <w:r w:rsidRPr="00E33C2B">
        <w:rPr>
          <w:rFonts w:cs="Times New Roman"/>
          <w:i/>
          <w:iCs/>
          <w:szCs w:val="22"/>
        </w:rPr>
        <w:t>Indoor Air</w:t>
      </w:r>
      <w:r w:rsidRPr="00E33C2B">
        <w:rPr>
          <w:rFonts w:cs="Times New Roman"/>
          <w:szCs w:val="22"/>
        </w:rPr>
        <w:t xml:space="preserve">, </w:t>
      </w:r>
      <w:r w:rsidRPr="00E33C2B">
        <w:rPr>
          <w:rFonts w:cs="Times New Roman"/>
          <w:i/>
          <w:iCs/>
          <w:szCs w:val="22"/>
        </w:rPr>
        <w:t>27</w:t>
      </w:r>
      <w:r w:rsidRPr="00E33C2B">
        <w:rPr>
          <w:rFonts w:cs="Times New Roman"/>
          <w:szCs w:val="22"/>
        </w:rPr>
        <w:t>(6), 1039–1051. https://doi.org/10.1111/ina.12403</w:t>
      </w:r>
    </w:p>
    <w:p w14:paraId="2329904F"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Gil-Baez, M., Barrios-Padura, Á., Molina-Huelva, M., &amp; Chacartegui, R. (2017a). Natural ventilation systems in 21st-century for near zero energy school buildings. </w:t>
      </w:r>
      <w:r w:rsidRPr="00E33C2B">
        <w:rPr>
          <w:rFonts w:cs="Times New Roman"/>
          <w:i/>
          <w:iCs/>
          <w:szCs w:val="22"/>
        </w:rPr>
        <w:t>Energy</w:t>
      </w:r>
      <w:r w:rsidRPr="00E33C2B">
        <w:rPr>
          <w:rFonts w:cs="Times New Roman"/>
          <w:szCs w:val="22"/>
        </w:rPr>
        <w:t xml:space="preserve">, </w:t>
      </w:r>
      <w:r w:rsidRPr="00E33C2B">
        <w:rPr>
          <w:rFonts w:cs="Times New Roman"/>
          <w:i/>
          <w:iCs/>
          <w:szCs w:val="22"/>
        </w:rPr>
        <w:t>137</w:t>
      </w:r>
      <w:r w:rsidRPr="00E33C2B">
        <w:rPr>
          <w:rFonts w:cs="Times New Roman"/>
          <w:szCs w:val="22"/>
        </w:rPr>
        <w:t>, 1186–1200. https://doi.org/10.1016/j.energy.2017.05.188</w:t>
      </w:r>
    </w:p>
    <w:p w14:paraId="0C91D94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Gil-Baez, M., Barrios-Padura, A., Molina-Huelva, M., &amp; Chacartegui, R. (2017b). Natural ventilation systems to enhance sustainability in buildings: A review towards zero energy buildings in schools. In B. Kazmierczak, M. Kutylowska, K. Piekarska, H. Jouhara, &amp; J. Danielewicz (Eds.), </w:t>
      </w:r>
      <w:r w:rsidRPr="00E33C2B">
        <w:rPr>
          <w:rFonts w:cs="Times New Roman"/>
          <w:i/>
          <w:iCs/>
          <w:szCs w:val="22"/>
        </w:rPr>
        <w:t>University of Sevilla</w:t>
      </w:r>
      <w:r w:rsidRPr="00E33C2B">
        <w:rPr>
          <w:rFonts w:cs="Times New Roman"/>
          <w:szCs w:val="22"/>
        </w:rPr>
        <w:t xml:space="preserve"> (Vol. 22). (WOS:000417352100053). https://doi.org/10.1051/e3sconf/20172200053</w:t>
      </w:r>
    </w:p>
    <w:p w14:paraId="52494392"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Haji Hosseini, F. (2020). </w:t>
      </w:r>
      <w:r w:rsidRPr="00E33C2B">
        <w:rPr>
          <w:rStyle w:val="Emphasis"/>
          <w:sz w:val="22"/>
          <w:szCs w:val="22"/>
        </w:rPr>
        <w:t xml:space="preserve">Vernacular model in interior design of schools in hot and humid </w:t>
      </w:r>
      <w:r w:rsidRPr="00E33C2B">
        <w:rPr>
          <w:sz w:val="22"/>
          <w:szCs w:val="22"/>
        </w:rPr>
        <w:t>(Master's thesis, Faculty of Architecture and Urban Planning, Art University of Tehran, Tehran). [</w:t>
      </w:r>
      <w:r w:rsidRPr="00E33C2B">
        <w:rPr>
          <w:color w:val="FF0000"/>
          <w:sz w:val="22"/>
          <w:szCs w:val="22"/>
        </w:rPr>
        <w:t>in Persian</w:t>
      </w:r>
      <w:r w:rsidRPr="00E33C2B">
        <w:rPr>
          <w:sz w:val="22"/>
          <w:szCs w:val="22"/>
        </w:rPr>
        <w:t>]</w:t>
      </w:r>
    </w:p>
    <w:p w14:paraId="5FB21C84"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Heeboll, A., Wargocki, P., &amp; Toftum, J. (2018). Window and door opening behavior, carbon dioxide concentration, temperature, and energy use during the heating season in classrooms with different </w:t>
      </w:r>
      <w:r w:rsidRPr="00E33C2B">
        <w:rPr>
          <w:sz w:val="22"/>
          <w:szCs w:val="22"/>
        </w:rPr>
        <w:lastRenderedPageBreak/>
        <w:t xml:space="preserve">ventilation retrofitsASHRAE RP1624. </w:t>
      </w:r>
      <w:r w:rsidRPr="00E33C2B">
        <w:rPr>
          <w:i/>
          <w:iCs/>
          <w:sz w:val="22"/>
          <w:szCs w:val="22"/>
        </w:rPr>
        <w:t>SCIENCE AND TECHNOLOGY FOR THE BUILT ENVIRONMENT</w:t>
      </w:r>
      <w:r w:rsidRPr="00E33C2B">
        <w:rPr>
          <w:sz w:val="22"/>
          <w:szCs w:val="22"/>
        </w:rPr>
        <w:t xml:space="preserve">, </w:t>
      </w:r>
      <w:r w:rsidRPr="00E33C2B">
        <w:rPr>
          <w:i/>
          <w:iCs/>
          <w:sz w:val="22"/>
          <w:szCs w:val="22"/>
        </w:rPr>
        <w:t>24</w:t>
      </w:r>
      <w:r w:rsidRPr="00E33C2B">
        <w:rPr>
          <w:sz w:val="22"/>
          <w:szCs w:val="22"/>
        </w:rPr>
        <w:t xml:space="preserve">(6), 626–637. (WOS:000436865600008). </w:t>
      </w:r>
      <w:hyperlink r:id="rId10" w:history="1">
        <w:r w:rsidRPr="00E33C2B">
          <w:rPr>
            <w:rStyle w:val="Hyperlink"/>
            <w:sz w:val="22"/>
            <w:szCs w:val="22"/>
          </w:rPr>
          <w:t>https://doi.org/10.1080/23744731.2018.1432938</w:t>
        </w:r>
      </w:hyperlink>
    </w:p>
    <w:p w14:paraId="4EFCE40C"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Hendoukolaei, S. (2018). </w:t>
      </w:r>
      <w:r w:rsidRPr="00E33C2B">
        <w:rPr>
          <w:rStyle w:val="Emphasis"/>
          <w:sz w:val="22"/>
          <w:szCs w:val="22"/>
        </w:rPr>
        <w:t>Enhancing the Quality of Natural Ventilation in Schools Classes  of Amol, According to the Openings ‌) Case study: Amol ,City schools)</w:t>
      </w:r>
      <w:r w:rsidRPr="00E33C2B">
        <w:rPr>
          <w:sz w:val="22"/>
          <w:szCs w:val="22"/>
        </w:rPr>
        <w:t xml:space="preserve"> (Master's thesis, Shahid Rajaee Teacher Training University, Tehran). [</w:t>
      </w:r>
      <w:r w:rsidRPr="00E33C2B">
        <w:rPr>
          <w:color w:val="FF0000"/>
          <w:sz w:val="22"/>
          <w:szCs w:val="22"/>
        </w:rPr>
        <w:t>in Persian</w:t>
      </w:r>
      <w:r w:rsidRPr="00E33C2B">
        <w:rPr>
          <w:sz w:val="22"/>
          <w:szCs w:val="22"/>
        </w:rPr>
        <w:t>]</w:t>
      </w:r>
    </w:p>
    <w:p w14:paraId="56C57002"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Hiyama, K., &amp; Glicksman, L. (2015). Preliminary design method for naturally ventilated buildings using target air change rate and natural ventilation potential maps in the United States. </w:t>
      </w:r>
      <w:r w:rsidRPr="00E33C2B">
        <w:rPr>
          <w:rFonts w:cs="Times New Roman"/>
          <w:i/>
          <w:iCs/>
          <w:szCs w:val="22"/>
        </w:rPr>
        <w:t>Energy</w:t>
      </w:r>
      <w:r w:rsidRPr="00E33C2B">
        <w:rPr>
          <w:rFonts w:cs="Times New Roman"/>
          <w:szCs w:val="22"/>
        </w:rPr>
        <w:t xml:space="preserve">, </w:t>
      </w:r>
      <w:r w:rsidRPr="00E33C2B">
        <w:rPr>
          <w:rFonts w:cs="Times New Roman"/>
          <w:i/>
          <w:iCs/>
          <w:szCs w:val="22"/>
        </w:rPr>
        <w:t>89</w:t>
      </w:r>
      <w:r w:rsidRPr="00E33C2B">
        <w:rPr>
          <w:rFonts w:cs="Times New Roman"/>
          <w:szCs w:val="22"/>
        </w:rPr>
        <w:t>, 655–666. https://doi.org/10.1016/j.energy.2015.06.026</w:t>
      </w:r>
    </w:p>
    <w:p w14:paraId="6F66D9C9"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Hosseini Sang No, S. M. (2018). </w:t>
      </w:r>
      <w:r w:rsidRPr="00E33C2B">
        <w:rPr>
          <w:rStyle w:val="Emphasis"/>
          <w:sz w:val="22"/>
          <w:szCs w:val="22"/>
        </w:rPr>
        <w:t>Enregy Consumption Optimizing in Educational Facilities,</w:t>
      </w:r>
      <w:r w:rsidRPr="00E33C2B">
        <w:rPr>
          <w:sz w:val="22"/>
          <w:szCs w:val="22"/>
        </w:rPr>
        <w:t xml:space="preserve"> </w:t>
      </w:r>
      <w:r w:rsidRPr="00E33C2B">
        <w:rPr>
          <w:rStyle w:val="Emphasis"/>
          <w:sz w:val="22"/>
          <w:szCs w:val="22"/>
        </w:rPr>
        <w:t>School Desining in Noshahr City</w:t>
      </w:r>
      <w:r w:rsidRPr="00E33C2B">
        <w:rPr>
          <w:sz w:val="22"/>
          <w:szCs w:val="22"/>
        </w:rPr>
        <w:t xml:space="preserve"> (Master's thesis, Department of Engineering, Allameh Mohaddes Noori University, Noor). [</w:t>
      </w:r>
      <w:r w:rsidRPr="00E33C2B">
        <w:rPr>
          <w:color w:val="FF0000"/>
          <w:sz w:val="22"/>
          <w:szCs w:val="22"/>
        </w:rPr>
        <w:t>in Persian</w:t>
      </w:r>
      <w:r w:rsidRPr="00E33C2B">
        <w:rPr>
          <w:sz w:val="22"/>
          <w:szCs w:val="22"/>
        </w:rPr>
        <w:t>]</w:t>
      </w:r>
    </w:p>
    <w:p w14:paraId="57BDE4C9"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Hsu, H., Chang, C., Chen, C., &amp; Pan, C. (2024). Natural Ventilation: Optimizing Window Opening Size for CO2 Concentration Control and Thermal Comfort on Nonwindward Facades. </w:t>
      </w:r>
      <w:r w:rsidRPr="00E33C2B">
        <w:rPr>
          <w:rFonts w:cs="Times New Roman"/>
          <w:i/>
          <w:iCs/>
          <w:szCs w:val="22"/>
        </w:rPr>
        <w:t>INDOOR AIR</w:t>
      </w:r>
      <w:r w:rsidRPr="00E33C2B">
        <w:rPr>
          <w:rFonts w:cs="Times New Roman"/>
          <w:szCs w:val="22"/>
        </w:rPr>
        <w:t xml:space="preserve">, </w:t>
      </w:r>
      <w:r w:rsidRPr="00E33C2B">
        <w:rPr>
          <w:rFonts w:cs="Times New Roman"/>
          <w:i/>
          <w:iCs/>
          <w:szCs w:val="22"/>
        </w:rPr>
        <w:t>2024</w:t>
      </w:r>
      <w:r w:rsidRPr="00E33C2B">
        <w:rPr>
          <w:rFonts w:cs="Times New Roman"/>
          <w:szCs w:val="22"/>
        </w:rPr>
        <w:t>. (WOS:001336593200001). https://doi.org/10.1155/2024/1435400</w:t>
      </w:r>
    </w:p>
    <w:p w14:paraId="2AFEDB19" w14:textId="77777777" w:rsidR="0097680B" w:rsidRPr="00E33C2B" w:rsidRDefault="0097680B" w:rsidP="0097680B">
      <w:pPr>
        <w:pStyle w:val="Bibliography"/>
        <w:bidi w:val="0"/>
        <w:spacing w:line="240" w:lineRule="auto"/>
        <w:ind w:left="0" w:hanging="284"/>
        <w:rPr>
          <w:rFonts w:cs="Times New Roman"/>
          <w:szCs w:val="22"/>
          <w:rtl/>
        </w:rPr>
      </w:pPr>
      <w:r w:rsidRPr="00E33C2B">
        <w:rPr>
          <w:rFonts w:cs="Times New Roman"/>
          <w:szCs w:val="22"/>
        </w:rPr>
        <w:t xml:space="preserve">Idowu, O. M., Marafa, U. G., Mohammed, S. A., &amp; Ayoosu, M. I. (2022). VARIATION OF NATURAL VENTILATION WITH FLOOR LEVEL AND ORIENTATION OF CLASSROOMS. </w:t>
      </w:r>
      <w:r w:rsidRPr="00E33C2B">
        <w:rPr>
          <w:rFonts w:cs="Times New Roman"/>
          <w:i/>
          <w:iCs/>
          <w:szCs w:val="22"/>
        </w:rPr>
        <w:t>International Journal of Education, Psychology and Counseling</w:t>
      </w:r>
      <w:r w:rsidRPr="00E33C2B">
        <w:rPr>
          <w:rFonts w:cs="Times New Roman"/>
          <w:szCs w:val="22"/>
        </w:rPr>
        <w:t xml:space="preserve">, </w:t>
      </w:r>
      <w:r w:rsidRPr="00E33C2B">
        <w:rPr>
          <w:rFonts w:cs="Times New Roman"/>
          <w:i/>
          <w:iCs/>
          <w:szCs w:val="22"/>
        </w:rPr>
        <w:t>7</w:t>
      </w:r>
      <w:r w:rsidRPr="00E33C2B">
        <w:rPr>
          <w:rFonts w:cs="Times New Roman"/>
          <w:szCs w:val="22"/>
        </w:rPr>
        <w:t>(45), 166–174. https://doi.org/10.35631/IJEPC.745013</w:t>
      </w:r>
    </w:p>
    <w:p w14:paraId="0E280D06"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Indarti, F., Indrawan, I., Rizqiyah, F., Krisdianto, J., Nuffida, N. E., &amp; Defiana, I. (2023). The Predicted Performance of Natural Ventilation Strategies in Islamic Boarding School Design in Magelang. </w:t>
      </w:r>
      <w:r w:rsidRPr="00E33C2B">
        <w:rPr>
          <w:i/>
          <w:iCs/>
          <w:sz w:val="22"/>
          <w:szCs w:val="22"/>
        </w:rPr>
        <w:t>Pawon: Jurnal Arsitektur</w:t>
      </w:r>
      <w:r w:rsidRPr="00E33C2B">
        <w:rPr>
          <w:sz w:val="22"/>
          <w:szCs w:val="22"/>
        </w:rPr>
        <w:t xml:space="preserve">, </w:t>
      </w:r>
      <w:r w:rsidRPr="00E33C2B">
        <w:rPr>
          <w:i/>
          <w:iCs/>
          <w:sz w:val="22"/>
          <w:szCs w:val="22"/>
        </w:rPr>
        <w:t>7</w:t>
      </w:r>
      <w:r w:rsidRPr="00E33C2B">
        <w:rPr>
          <w:sz w:val="22"/>
          <w:szCs w:val="22"/>
        </w:rPr>
        <w:t xml:space="preserve">(2), 301–314. </w:t>
      </w:r>
      <w:hyperlink r:id="rId11" w:history="1">
        <w:r w:rsidRPr="00E33C2B">
          <w:rPr>
            <w:rStyle w:val="Hyperlink"/>
            <w:sz w:val="22"/>
            <w:szCs w:val="22"/>
          </w:rPr>
          <w:t>https://doi.org/10.36040/pawon.v7i2.7018</w:t>
        </w:r>
      </w:hyperlink>
    </w:p>
    <w:p w14:paraId="318868D6"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Institute of Standards and Industrial Research of Iran. (1998). </w:t>
      </w:r>
      <w:r w:rsidRPr="00E33C2B">
        <w:rPr>
          <w:rStyle w:val="Emphasis"/>
          <w:sz w:val="22"/>
          <w:szCs w:val="22"/>
        </w:rPr>
        <w:t>ISIRI NUMBER  5018 (Educational buildings windows)</w:t>
      </w:r>
      <w:r w:rsidRPr="00E33C2B">
        <w:rPr>
          <w:sz w:val="22"/>
          <w:szCs w:val="22"/>
        </w:rPr>
        <w:t>. [</w:t>
      </w:r>
      <w:r w:rsidRPr="00E33C2B">
        <w:rPr>
          <w:color w:val="FF0000"/>
          <w:sz w:val="22"/>
          <w:szCs w:val="22"/>
        </w:rPr>
        <w:t>in Persian</w:t>
      </w:r>
      <w:r w:rsidRPr="00E33C2B">
        <w:rPr>
          <w:sz w:val="22"/>
          <w:szCs w:val="22"/>
        </w:rPr>
        <w:t>]</w:t>
      </w:r>
    </w:p>
    <w:p w14:paraId="592AA26C"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Institute of Standards and Industrial Research of Iran. (2001). </w:t>
      </w:r>
      <w:r w:rsidRPr="00E33C2B">
        <w:rPr>
          <w:rStyle w:val="Emphasis"/>
          <w:sz w:val="22"/>
          <w:szCs w:val="22"/>
        </w:rPr>
        <w:t>ISIRI NUMBER 2086 (School hygiene)</w:t>
      </w:r>
      <w:r w:rsidRPr="00E33C2B">
        <w:rPr>
          <w:sz w:val="22"/>
          <w:szCs w:val="22"/>
        </w:rPr>
        <w:t xml:space="preserve"> (1st ed.). [</w:t>
      </w:r>
      <w:r w:rsidRPr="00E33C2B">
        <w:rPr>
          <w:color w:val="FF0000"/>
          <w:sz w:val="22"/>
          <w:szCs w:val="22"/>
        </w:rPr>
        <w:t>in Persian</w:t>
      </w:r>
      <w:r w:rsidRPr="00E33C2B">
        <w:rPr>
          <w:sz w:val="22"/>
          <w:szCs w:val="22"/>
        </w:rPr>
        <w:t>]</w:t>
      </w:r>
    </w:p>
    <w:p w14:paraId="53A5EA6A"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Institute of Standards and Industrial Research of Iran. (2002). </w:t>
      </w:r>
      <w:r w:rsidRPr="00E33C2B">
        <w:rPr>
          <w:rStyle w:val="Emphasis"/>
          <w:sz w:val="22"/>
          <w:szCs w:val="22"/>
        </w:rPr>
        <w:t>ISIRI NUMBER 7331 (Primary school classroom - Specifications)</w:t>
      </w:r>
      <w:r w:rsidRPr="00E33C2B">
        <w:rPr>
          <w:sz w:val="22"/>
          <w:szCs w:val="22"/>
        </w:rPr>
        <w:t xml:space="preserve"> (1st ed.). [</w:t>
      </w:r>
      <w:r w:rsidRPr="00E33C2B">
        <w:rPr>
          <w:color w:val="FF0000"/>
          <w:sz w:val="22"/>
          <w:szCs w:val="22"/>
        </w:rPr>
        <w:t>in Persian</w:t>
      </w:r>
      <w:r w:rsidRPr="00E33C2B">
        <w:rPr>
          <w:sz w:val="22"/>
          <w:szCs w:val="22"/>
        </w:rPr>
        <w:t>]</w:t>
      </w:r>
    </w:p>
    <w:p w14:paraId="1F1ED4E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Jia, L., Han, J., Chen, X., Li, Q., Lee, C., &amp; Fung, Y. (2021). Interaction between Thermal Comfort, Indoor Air Quality and Ventilation Energy Consumption of Educational Buildings: A Comprehensive Review. </w:t>
      </w:r>
      <w:r w:rsidRPr="00E33C2B">
        <w:rPr>
          <w:rFonts w:cs="Times New Roman"/>
          <w:i/>
          <w:iCs/>
          <w:szCs w:val="22"/>
        </w:rPr>
        <w:t>BUILDINGS</w:t>
      </w:r>
      <w:r w:rsidRPr="00E33C2B">
        <w:rPr>
          <w:rFonts w:cs="Times New Roman"/>
          <w:szCs w:val="22"/>
        </w:rPr>
        <w:t xml:space="preserve">, </w:t>
      </w:r>
      <w:r w:rsidRPr="00E33C2B">
        <w:rPr>
          <w:rFonts w:cs="Times New Roman"/>
          <w:i/>
          <w:iCs/>
          <w:szCs w:val="22"/>
        </w:rPr>
        <w:t>11</w:t>
      </w:r>
      <w:r w:rsidRPr="00E33C2B">
        <w:rPr>
          <w:rFonts w:cs="Times New Roman"/>
          <w:szCs w:val="22"/>
        </w:rPr>
        <w:t>(12). (WOS:000736171100001). https://doi.org/10.3390/buildings11120591</w:t>
      </w:r>
    </w:p>
    <w:p w14:paraId="7CDA6713"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Jomehzadeh, F., Nejat, P., Calautit, J. K., Yusof, M. B. M., Zaki, S. A., Hughes, B. R., &amp; Yazid, M. N. A. W. M. (2017). A review on windcatcher for passive cooling and natural ventilation in buildings, Part 1: Indoor air quality and thermal comfort assessment. </w:t>
      </w:r>
      <w:r w:rsidRPr="00E33C2B">
        <w:rPr>
          <w:rFonts w:cs="Times New Roman"/>
          <w:i/>
          <w:iCs/>
          <w:szCs w:val="22"/>
        </w:rPr>
        <w:t>Renewable and Sustainable Energy Reviews</w:t>
      </w:r>
      <w:r w:rsidRPr="00E33C2B">
        <w:rPr>
          <w:rFonts w:cs="Times New Roman"/>
          <w:szCs w:val="22"/>
        </w:rPr>
        <w:t xml:space="preserve">, </w:t>
      </w:r>
      <w:r w:rsidRPr="00E33C2B">
        <w:rPr>
          <w:rFonts w:cs="Times New Roman"/>
          <w:i/>
          <w:iCs/>
          <w:szCs w:val="22"/>
        </w:rPr>
        <w:t>70</w:t>
      </w:r>
      <w:r w:rsidRPr="00E33C2B">
        <w:rPr>
          <w:rFonts w:cs="Times New Roman"/>
          <w:szCs w:val="22"/>
        </w:rPr>
        <w:t>, 736–756. https://doi.org/10.1016/j.rser.2016.11.254</w:t>
      </w:r>
    </w:p>
    <w:p w14:paraId="61B136D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Jones, B. M., &amp; Kirby, R. (2010). The performance of natural ventilation windcatchers in schools—A comparison between prediction and measurement. </w:t>
      </w:r>
      <w:r w:rsidRPr="00E33C2B">
        <w:rPr>
          <w:rFonts w:cs="Times New Roman"/>
          <w:i/>
          <w:iCs/>
          <w:szCs w:val="22"/>
        </w:rPr>
        <w:t>International Journal of Ventilation</w:t>
      </w:r>
      <w:r w:rsidRPr="00E33C2B">
        <w:rPr>
          <w:rFonts w:cs="Times New Roman"/>
          <w:szCs w:val="22"/>
        </w:rPr>
        <w:t xml:space="preserve">, </w:t>
      </w:r>
      <w:r w:rsidRPr="00E33C2B">
        <w:rPr>
          <w:rFonts w:cs="Times New Roman"/>
          <w:i/>
          <w:iCs/>
          <w:szCs w:val="22"/>
        </w:rPr>
        <w:t>9</w:t>
      </w:r>
      <w:r w:rsidRPr="00E33C2B">
        <w:rPr>
          <w:rFonts w:cs="Times New Roman"/>
          <w:szCs w:val="22"/>
        </w:rPr>
        <w:t>(3), 273–286. Scopus. https://doi.org/10.1080/14733315.2010.11683886</w:t>
      </w:r>
    </w:p>
    <w:p w14:paraId="6691C885"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Jones, B. M., &amp; Kirby, R. (2012). Indoor air quality in U.K. school classrooms ventilated by natural ventilation windcatchers. </w:t>
      </w:r>
      <w:r w:rsidRPr="00E33C2B">
        <w:rPr>
          <w:rFonts w:cs="Times New Roman"/>
          <w:i/>
          <w:iCs/>
          <w:szCs w:val="22"/>
        </w:rPr>
        <w:t>International Journal of Ventilation</w:t>
      </w:r>
      <w:r w:rsidRPr="00E33C2B">
        <w:rPr>
          <w:rFonts w:cs="Times New Roman"/>
          <w:szCs w:val="22"/>
        </w:rPr>
        <w:t xml:space="preserve">, </w:t>
      </w:r>
      <w:r w:rsidRPr="00E33C2B">
        <w:rPr>
          <w:rFonts w:cs="Times New Roman"/>
          <w:i/>
          <w:iCs/>
          <w:szCs w:val="22"/>
        </w:rPr>
        <w:t>10</w:t>
      </w:r>
      <w:r w:rsidRPr="00E33C2B">
        <w:rPr>
          <w:rFonts w:cs="Times New Roman"/>
          <w:szCs w:val="22"/>
        </w:rPr>
        <w:t>(4), 323–338. Scopus. https://doi.org/10.1080/14733315.2012.11683959</w:t>
      </w:r>
    </w:p>
    <w:p w14:paraId="01C67E2C"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Kabir, E. (2015). </w:t>
      </w:r>
      <w:r w:rsidRPr="00E33C2B">
        <w:rPr>
          <w:rStyle w:val="Emphasis"/>
          <w:sz w:val="22"/>
          <w:szCs w:val="22"/>
        </w:rPr>
        <w:t xml:space="preserve">Designing a school building based on natural ventilation approaches in Gorgan city </w:t>
      </w:r>
      <w:r w:rsidRPr="00E33C2B">
        <w:rPr>
          <w:sz w:val="22"/>
          <w:szCs w:val="22"/>
        </w:rPr>
        <w:t>(Master's thesis, Department of Art and Architecture, Islamic Azad University, Gorgan Branch, Gorgan). [</w:t>
      </w:r>
      <w:r w:rsidRPr="00E33C2B">
        <w:rPr>
          <w:color w:val="FF0000"/>
          <w:sz w:val="22"/>
          <w:szCs w:val="22"/>
        </w:rPr>
        <w:t>in Persian</w:t>
      </w:r>
      <w:r w:rsidRPr="00E33C2B">
        <w:rPr>
          <w:sz w:val="22"/>
          <w:szCs w:val="22"/>
        </w:rPr>
        <w:t>]</w:t>
      </w:r>
    </w:p>
    <w:p w14:paraId="36E30805"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Kapoor, N. R., Kumar, A., Meena, C. S., Kumar, A., Alam, T., Balam, N. B., &amp; Ghosh, A. (2021). A Systematic Review on Indoor Environmental Quality in Naturally Ventilated School Classrooms: A Way Forward. </w:t>
      </w:r>
      <w:r w:rsidRPr="00E33C2B">
        <w:rPr>
          <w:rFonts w:cs="Times New Roman"/>
          <w:i/>
          <w:iCs/>
          <w:szCs w:val="22"/>
        </w:rPr>
        <w:t>Advances in Civil Engineering</w:t>
      </w:r>
      <w:r w:rsidRPr="00E33C2B">
        <w:rPr>
          <w:rFonts w:cs="Times New Roman"/>
          <w:szCs w:val="22"/>
        </w:rPr>
        <w:t xml:space="preserve">, </w:t>
      </w:r>
      <w:r w:rsidRPr="00E33C2B">
        <w:rPr>
          <w:rFonts w:cs="Times New Roman"/>
          <w:i/>
          <w:iCs/>
          <w:szCs w:val="22"/>
        </w:rPr>
        <w:t>2021</w:t>
      </w:r>
      <w:r w:rsidRPr="00E33C2B">
        <w:rPr>
          <w:rFonts w:cs="Times New Roman"/>
          <w:szCs w:val="22"/>
        </w:rPr>
        <w:t>(1), 8851685. https://doi.org/10.1155/2021/8851685</w:t>
      </w:r>
    </w:p>
    <w:p w14:paraId="3EB77DD6"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Khedari, J., Boonsri, B., &amp; Hirunlabh, J. (2000). </w:t>
      </w:r>
      <w:r w:rsidRPr="00E33C2B">
        <w:rPr>
          <w:rFonts w:cs="Times New Roman"/>
          <w:i/>
          <w:iCs/>
          <w:szCs w:val="22"/>
        </w:rPr>
        <w:t>Ventilation impact of a solar chimney on indoor temperature fluctuation and air change in a school building</w:t>
      </w:r>
      <w:r w:rsidRPr="00E33C2B">
        <w:rPr>
          <w:rFonts w:cs="Times New Roman"/>
          <w:szCs w:val="22"/>
        </w:rPr>
        <w:t>.</w:t>
      </w:r>
    </w:p>
    <w:p w14:paraId="2063594E"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Khojasteh, S. (2022). </w:t>
      </w:r>
      <w:r w:rsidRPr="00E33C2B">
        <w:rPr>
          <w:rStyle w:val="Emphasis"/>
          <w:sz w:val="22"/>
          <w:szCs w:val="22"/>
        </w:rPr>
        <w:t xml:space="preserve">Study of  the effect of ventilation and architectural components in order to reduce the spread of diseases and maintain the thermal comfort of users of educational spaces in Tehran </w:t>
      </w:r>
      <w:r w:rsidRPr="00E33C2B">
        <w:rPr>
          <w:sz w:val="22"/>
          <w:szCs w:val="22"/>
        </w:rPr>
        <w:t>(Master's thesis, University of Tehran, Tehran). [</w:t>
      </w:r>
      <w:r w:rsidRPr="00E33C2B">
        <w:rPr>
          <w:color w:val="FF0000"/>
          <w:sz w:val="22"/>
          <w:szCs w:val="22"/>
        </w:rPr>
        <w:t>in Persian</w:t>
      </w:r>
      <w:r w:rsidRPr="00E33C2B">
        <w:rPr>
          <w:sz w:val="22"/>
          <w:szCs w:val="22"/>
        </w:rPr>
        <w:t>]</w:t>
      </w:r>
    </w:p>
    <w:p w14:paraId="1E65C1A8"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Khoshnaw, D., Mustafa, F., Katona, T., &amp; Baranyai, B. (2025). Indoor environmental quality and achieving performance goals for classroom enhancement: A systematic literature review and bibliometric analysis. </w:t>
      </w:r>
      <w:r w:rsidRPr="00E33C2B">
        <w:rPr>
          <w:rFonts w:cs="Times New Roman"/>
          <w:i/>
          <w:iCs/>
          <w:szCs w:val="22"/>
        </w:rPr>
        <w:lastRenderedPageBreak/>
        <w:t>RESULTS IN ENGINEERING</w:t>
      </w:r>
      <w:r w:rsidRPr="00E33C2B">
        <w:rPr>
          <w:rFonts w:cs="Times New Roman"/>
          <w:szCs w:val="22"/>
        </w:rPr>
        <w:t xml:space="preserve">, </w:t>
      </w:r>
      <w:r w:rsidRPr="00E33C2B">
        <w:rPr>
          <w:rFonts w:cs="Times New Roman"/>
          <w:i/>
          <w:iCs/>
          <w:szCs w:val="22"/>
        </w:rPr>
        <w:t>27</w:t>
      </w:r>
      <w:r w:rsidRPr="00E33C2B">
        <w:rPr>
          <w:rFonts w:cs="Times New Roman"/>
          <w:szCs w:val="22"/>
        </w:rPr>
        <w:t>. (WOS:001540248600001). https://doi.org/10.1016/j.rineng.2025.106082</w:t>
      </w:r>
    </w:p>
    <w:p w14:paraId="40C305F9"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Khosravi, M. (2022). </w:t>
      </w:r>
      <w:r w:rsidRPr="00E33C2B">
        <w:rPr>
          <w:rStyle w:val="Emphasis"/>
          <w:sz w:val="22"/>
          <w:szCs w:val="22"/>
        </w:rPr>
        <w:t>Investigation, analysis, and design of a green school based on the passive solar systems in Tehran city</w:t>
      </w:r>
      <w:r w:rsidRPr="00E33C2B">
        <w:rPr>
          <w:sz w:val="22"/>
          <w:szCs w:val="22"/>
        </w:rPr>
        <w:t xml:space="preserve"> (Master's thesis, Faculty of Arts and Architecture, University of Kurdistan, Sanandaj). [</w:t>
      </w:r>
      <w:r w:rsidRPr="00E33C2B">
        <w:rPr>
          <w:color w:val="FF0000"/>
          <w:sz w:val="22"/>
          <w:szCs w:val="22"/>
        </w:rPr>
        <w:t>in Persian</w:t>
      </w:r>
      <w:r w:rsidRPr="00E33C2B">
        <w:rPr>
          <w:sz w:val="22"/>
          <w:szCs w:val="22"/>
        </w:rPr>
        <w:t>]</w:t>
      </w:r>
    </w:p>
    <w:p w14:paraId="14C9074A"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Khosravi Zad, C. (2022). </w:t>
      </w:r>
      <w:r w:rsidRPr="00E33C2B">
        <w:rPr>
          <w:rStyle w:val="Emphasis"/>
          <w:sz w:val="22"/>
          <w:szCs w:val="22"/>
        </w:rPr>
        <w:t xml:space="preserve">Designing a sustainable educational complex in Tehran with the approach of improving air quality and resilience against coronas and future pandemics </w:t>
      </w:r>
      <w:r w:rsidRPr="00E33C2B">
        <w:rPr>
          <w:sz w:val="22"/>
          <w:szCs w:val="22"/>
        </w:rPr>
        <w:t>(Master's thesis, Department of Architecture, Iran University of Science and Technology, Tehran). [</w:t>
      </w:r>
      <w:r w:rsidRPr="00E33C2B">
        <w:rPr>
          <w:color w:val="FF0000"/>
          <w:sz w:val="22"/>
          <w:szCs w:val="22"/>
        </w:rPr>
        <w:t>in Persian</w:t>
      </w:r>
      <w:r w:rsidRPr="00E33C2B">
        <w:rPr>
          <w:sz w:val="22"/>
          <w:szCs w:val="22"/>
        </w:rPr>
        <w:t>]</w:t>
      </w:r>
    </w:p>
    <w:p w14:paraId="7F294F96"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Kleiven, T. (2003). </w:t>
      </w:r>
      <w:r w:rsidRPr="00E33C2B">
        <w:rPr>
          <w:rFonts w:cs="Times New Roman"/>
          <w:i/>
          <w:iCs/>
          <w:szCs w:val="22"/>
        </w:rPr>
        <w:t>Natural Ventilation in Buildings (Architectural concepts, consequences and possibilities)</w:t>
      </w:r>
      <w:r w:rsidRPr="00E33C2B">
        <w:rPr>
          <w:rFonts w:cs="Times New Roman"/>
          <w:szCs w:val="22"/>
        </w:rPr>
        <w:t>. Thesis submitted in partial fulfilment of the requirements for the degree of Doktor Ingeniør. Department of Architectural Design, History and Technology. Faculty of Architecture and Fine Art. Norwegian University of Science and Technology.</w:t>
      </w:r>
    </w:p>
    <w:p w14:paraId="6EDF260D"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Kolokotroni, M., Ge, Y. T., &amp; Katsoulas, D. (2002). Monitoring and Modelling Indoor Air Quality and Ventilation in Classrooms within a Purpose-Designed Naturally Ventilated School. </w:t>
      </w:r>
      <w:r w:rsidRPr="00E33C2B">
        <w:rPr>
          <w:rFonts w:cs="Times New Roman"/>
          <w:i/>
          <w:iCs/>
          <w:szCs w:val="22"/>
        </w:rPr>
        <w:t>Indoor and Built Environment</w:t>
      </w:r>
      <w:r w:rsidRPr="00E33C2B">
        <w:rPr>
          <w:rFonts w:cs="Times New Roman"/>
          <w:szCs w:val="22"/>
        </w:rPr>
        <w:t xml:space="preserve">, </w:t>
      </w:r>
      <w:r w:rsidRPr="00E33C2B">
        <w:rPr>
          <w:rFonts w:cs="Times New Roman"/>
          <w:i/>
          <w:iCs/>
          <w:szCs w:val="22"/>
        </w:rPr>
        <w:t>11</w:t>
      </w:r>
      <w:r w:rsidRPr="00E33C2B">
        <w:rPr>
          <w:rFonts w:cs="Times New Roman"/>
          <w:szCs w:val="22"/>
        </w:rPr>
        <w:t>(6), 316–326. https://doi.org/10.1177/1420326X0201100603</w:t>
      </w:r>
    </w:p>
    <w:p w14:paraId="01C3A49B"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Kouhirostami. (2018). Natural Ventilation Through Windows in a Classroom (CFD Analysis Cross Ventilation of Asymmetric Openings: Impact of Wind Direction and Louvers Design). A Thesis In Digital Design and Fabrication. Submitted to the Graduate Faculty of Texas Tech University in Partial Fulfillment of the Requirements for the Degree of MASTER OF SCIENCE.</w:t>
      </w:r>
    </w:p>
    <w:p w14:paraId="498E86BB" w14:textId="77777777" w:rsidR="0097680B" w:rsidRPr="00E33C2B" w:rsidRDefault="0097680B" w:rsidP="0097680B">
      <w:pPr>
        <w:pStyle w:val="Bibliography"/>
        <w:bidi w:val="0"/>
        <w:spacing w:line="240" w:lineRule="auto"/>
        <w:ind w:left="0" w:hanging="284"/>
        <w:rPr>
          <w:rFonts w:cs="Times New Roman"/>
          <w:szCs w:val="22"/>
          <w:rtl/>
        </w:rPr>
      </w:pPr>
      <w:r w:rsidRPr="00E33C2B">
        <w:rPr>
          <w:rFonts w:cs="Times New Roman"/>
          <w:szCs w:val="22"/>
        </w:rPr>
        <w:t xml:space="preserve">Le, T. H. V., Gillott, M., &amp; Rodrigues, L. (2023). Parametric Study of Design Parameters and Thermal Comfort in Primary Schools in Ho Chi Minh City, Vietnam. In Grabovy P.G. &amp; Thuong L.V. (Eds.), </w:t>
      </w:r>
      <w:r w:rsidRPr="00E33C2B">
        <w:rPr>
          <w:rFonts w:cs="Times New Roman"/>
          <w:i/>
          <w:iCs/>
          <w:szCs w:val="22"/>
        </w:rPr>
        <w:t>AIP Conf. Proc.</w:t>
      </w:r>
      <w:r w:rsidRPr="00E33C2B">
        <w:rPr>
          <w:rFonts w:cs="Times New Roman"/>
          <w:szCs w:val="22"/>
        </w:rPr>
        <w:t xml:space="preserve"> (Vol. 2560). American Institute of Physics Inc. Scopus. https://doi.org/10.1063/5.0125338</w:t>
      </w:r>
    </w:p>
    <w:p w14:paraId="7BD38528"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Li, M., Li, Y., Zhang, B., &amp; Tao, L. (2025). Investigation on the ventilation impact of enclosed-type teaching buildings under different aperture ratios and wind directions. </w:t>
      </w:r>
      <w:r w:rsidRPr="00E33C2B">
        <w:rPr>
          <w:rFonts w:cs="Times New Roman"/>
          <w:i/>
          <w:iCs/>
          <w:szCs w:val="22"/>
        </w:rPr>
        <w:t>JOURNAL OF ASIAN ARCHITECTURE AND BUILDING ENGINEERING</w:t>
      </w:r>
      <w:r w:rsidRPr="00E33C2B">
        <w:rPr>
          <w:rFonts w:cs="Times New Roman"/>
          <w:szCs w:val="22"/>
        </w:rPr>
        <w:t>. (WOS:001417955500001). https://doi.org/10.1080/13467581.2025.2455018</w:t>
      </w:r>
    </w:p>
    <w:p w14:paraId="7CA83C79"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López-Chao, V., Amado Lorenzo, A., Saorín, J. L., De La Torre-Cantero, J., &amp; Melián-Díaz, D. (2020). Classroom Indoor Environment Assessment through Architectural Analysis for the Design of Efficient Schools. </w:t>
      </w:r>
      <w:r w:rsidRPr="00E33C2B">
        <w:rPr>
          <w:rFonts w:cs="Times New Roman"/>
          <w:i/>
          <w:iCs/>
          <w:szCs w:val="22"/>
        </w:rPr>
        <w:t>Sustainability</w:t>
      </w:r>
      <w:r w:rsidRPr="00E33C2B">
        <w:rPr>
          <w:rFonts w:cs="Times New Roman"/>
          <w:szCs w:val="22"/>
        </w:rPr>
        <w:t xml:space="preserve">, </w:t>
      </w:r>
      <w:r w:rsidRPr="00E33C2B">
        <w:rPr>
          <w:rFonts w:cs="Times New Roman"/>
          <w:i/>
          <w:iCs/>
          <w:szCs w:val="22"/>
        </w:rPr>
        <w:t>12</w:t>
      </w:r>
      <w:r w:rsidRPr="00E33C2B">
        <w:rPr>
          <w:rFonts w:cs="Times New Roman"/>
          <w:szCs w:val="22"/>
        </w:rPr>
        <w:t>(5), 2020. https://doi.org/10.3390/su12052020</w:t>
      </w:r>
    </w:p>
    <w:p w14:paraId="5D24F25B"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Lotfi Gharaee, A. (2018). </w:t>
      </w:r>
      <w:r w:rsidRPr="00E33C2B">
        <w:rPr>
          <w:rStyle w:val="Emphasis"/>
          <w:sz w:val="22"/>
          <w:szCs w:val="22"/>
        </w:rPr>
        <w:t>Designing and locating building’s external wall openings by optimizing effective factors or using natural ventilation (A Case study: Designing a primary school in Kashmar city)</w:t>
      </w:r>
      <w:r w:rsidRPr="00E33C2B">
        <w:rPr>
          <w:sz w:val="22"/>
          <w:szCs w:val="22"/>
        </w:rPr>
        <w:t xml:space="preserve"> (Master's thesis, Khavaran Higher Education Institute, Mashhad). [</w:t>
      </w:r>
      <w:r w:rsidRPr="00E33C2B">
        <w:rPr>
          <w:color w:val="FF0000"/>
          <w:sz w:val="22"/>
          <w:szCs w:val="22"/>
        </w:rPr>
        <w:t>in Persian</w:t>
      </w:r>
      <w:r w:rsidRPr="00E33C2B">
        <w:rPr>
          <w:sz w:val="22"/>
          <w:szCs w:val="22"/>
        </w:rPr>
        <w:t>]</w:t>
      </w:r>
    </w:p>
    <w:p w14:paraId="6D726566"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Mahmoudi, S. (2020). </w:t>
      </w:r>
      <w:r w:rsidRPr="00E33C2B">
        <w:rPr>
          <w:rStyle w:val="Emphasis"/>
          <w:sz w:val="22"/>
          <w:szCs w:val="22"/>
        </w:rPr>
        <w:t xml:space="preserve">Design of a Low-energy Educational Building in Khansar village with Thermal Behavior Approach </w:t>
      </w:r>
      <w:r w:rsidRPr="00E33C2B">
        <w:rPr>
          <w:sz w:val="22"/>
          <w:szCs w:val="22"/>
        </w:rPr>
        <w:t>(Master's thesis, Department of Energy, Pars University of Art and Architecture, Tehran). [</w:t>
      </w:r>
      <w:r w:rsidRPr="00E33C2B">
        <w:rPr>
          <w:color w:val="FF0000"/>
          <w:sz w:val="22"/>
          <w:szCs w:val="22"/>
        </w:rPr>
        <w:t>in Persian</w:t>
      </w:r>
      <w:r w:rsidRPr="00E33C2B">
        <w:rPr>
          <w:sz w:val="22"/>
          <w:szCs w:val="22"/>
        </w:rPr>
        <w:t>]</w:t>
      </w:r>
    </w:p>
    <w:p w14:paraId="58A8D9D0"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Majidpour, H. (2023). </w:t>
      </w:r>
      <w:r w:rsidRPr="00E33C2B">
        <w:rPr>
          <w:rStyle w:val="Emphasis"/>
          <w:sz w:val="22"/>
          <w:szCs w:val="22"/>
        </w:rPr>
        <w:t>The effect of natural ventilation on indoor respiratory viruses exposure: A case study of a high school in Saqqez</w:t>
      </w:r>
      <w:r w:rsidRPr="00E33C2B">
        <w:rPr>
          <w:sz w:val="22"/>
          <w:szCs w:val="22"/>
        </w:rPr>
        <w:t xml:space="preserve"> (Master's thesis, Department of Architecture and Urban Planning, Imam Khomeini International University, Qazvin). [</w:t>
      </w:r>
      <w:r w:rsidRPr="00E33C2B">
        <w:rPr>
          <w:color w:val="FF0000"/>
          <w:sz w:val="22"/>
          <w:szCs w:val="22"/>
        </w:rPr>
        <w:t>in Persian</w:t>
      </w:r>
      <w:r w:rsidRPr="00E33C2B">
        <w:rPr>
          <w:sz w:val="22"/>
          <w:szCs w:val="22"/>
        </w:rPr>
        <w:t>]</w:t>
      </w:r>
    </w:p>
    <w:p w14:paraId="60B8DFCB"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Malekpour, S. (2023). </w:t>
      </w:r>
      <w:r w:rsidRPr="00E33C2B">
        <w:rPr>
          <w:rStyle w:val="Emphasis"/>
          <w:sz w:val="22"/>
          <w:szCs w:val="22"/>
        </w:rPr>
        <w:t xml:space="preserve">Evaluation of Indoor Air Quality in Educational Spaces with regard to the Spread of the COVID-19 while maintaining Thermal Comfort in Cold Climates (Case Study: Middle school in Ardabil) </w:t>
      </w:r>
      <w:r w:rsidRPr="00E33C2B">
        <w:rPr>
          <w:sz w:val="22"/>
          <w:szCs w:val="22"/>
        </w:rPr>
        <w:t>(Master's thesis, Department of Architecture and Urban Planning, Shahid Beheshti University, Tehran). [</w:t>
      </w:r>
      <w:r w:rsidRPr="00E33C2B">
        <w:rPr>
          <w:color w:val="FF0000"/>
          <w:sz w:val="22"/>
          <w:szCs w:val="22"/>
        </w:rPr>
        <w:t>in Persian</w:t>
      </w:r>
      <w:r w:rsidRPr="00E33C2B">
        <w:rPr>
          <w:sz w:val="22"/>
          <w:szCs w:val="22"/>
        </w:rPr>
        <w:t>]</w:t>
      </w:r>
    </w:p>
    <w:p w14:paraId="2F6E69C8"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Management and Planning Organization of Iran. (2016). </w:t>
      </w:r>
      <w:r w:rsidRPr="00E33C2B">
        <w:rPr>
          <w:rStyle w:val="Emphasis"/>
          <w:sz w:val="22"/>
          <w:szCs w:val="22"/>
        </w:rPr>
        <w:t xml:space="preserve">Regulations for Design of Educational Buildings (Planning for Uniform Architectural Design of  Primary and Elementary Schools) </w:t>
      </w:r>
      <w:r w:rsidRPr="00E33C2B">
        <w:rPr>
          <w:sz w:val="22"/>
          <w:szCs w:val="22"/>
        </w:rPr>
        <w:t>(Regulation No. 697). [</w:t>
      </w:r>
      <w:r w:rsidRPr="00E33C2B">
        <w:rPr>
          <w:color w:val="FF0000"/>
          <w:sz w:val="22"/>
          <w:szCs w:val="22"/>
        </w:rPr>
        <w:t>in Persian</w:t>
      </w:r>
      <w:r w:rsidRPr="00E33C2B">
        <w:rPr>
          <w:sz w:val="22"/>
          <w:szCs w:val="22"/>
        </w:rPr>
        <w:t>]</w:t>
      </w:r>
    </w:p>
    <w:p w14:paraId="39DCDAE0" w14:textId="77777777" w:rsidR="0097680B" w:rsidRPr="00E33C2B" w:rsidRDefault="0097680B" w:rsidP="0097680B">
      <w:pPr>
        <w:pStyle w:val="Bibliography"/>
        <w:bidi w:val="0"/>
        <w:spacing w:line="240" w:lineRule="auto"/>
        <w:ind w:left="0" w:hanging="284"/>
        <w:rPr>
          <w:rFonts w:cs="Times New Roman"/>
          <w:szCs w:val="22"/>
          <w:rtl/>
        </w:rPr>
      </w:pPr>
      <w:r w:rsidRPr="00E33C2B">
        <w:rPr>
          <w:rFonts w:cs="Times New Roman"/>
          <w:szCs w:val="22"/>
        </w:rPr>
        <w:t xml:space="preserve">Mavrogianni, A., &amp; Mumovic, D. (2010). On the Use of Windcatchers in Schools: Climate Change, Occupancy Patterns, and Adaptation Strategies. </w:t>
      </w:r>
      <w:r w:rsidRPr="00E33C2B">
        <w:rPr>
          <w:rFonts w:cs="Times New Roman"/>
          <w:i/>
          <w:iCs/>
          <w:szCs w:val="22"/>
        </w:rPr>
        <w:t>INDOOR AND BUILT ENVIRONMENT</w:t>
      </w:r>
      <w:r w:rsidRPr="00E33C2B">
        <w:rPr>
          <w:rFonts w:cs="Times New Roman"/>
          <w:szCs w:val="22"/>
        </w:rPr>
        <w:t xml:space="preserve">, </w:t>
      </w:r>
      <w:r w:rsidRPr="00E33C2B">
        <w:rPr>
          <w:rFonts w:cs="Times New Roman"/>
          <w:i/>
          <w:iCs/>
          <w:szCs w:val="22"/>
        </w:rPr>
        <w:t>19</w:t>
      </w:r>
      <w:r w:rsidRPr="00E33C2B">
        <w:rPr>
          <w:rFonts w:cs="Times New Roman"/>
          <w:szCs w:val="22"/>
        </w:rPr>
        <w:t>(3), 340–354. (WOS:000278481300004). https://doi.org/10.1177/1420326X09341507</w:t>
      </w:r>
    </w:p>
    <w:p w14:paraId="68C58635"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Miao, S., Gangolells, M., &amp; Tejedor, B. (2025). Validating single-sided natural ventilation models for educational buildings. </w:t>
      </w:r>
      <w:r w:rsidRPr="00E33C2B">
        <w:rPr>
          <w:i/>
          <w:iCs/>
          <w:sz w:val="22"/>
          <w:szCs w:val="22"/>
        </w:rPr>
        <w:t>BUILDING AND ENVIRONMENT</w:t>
      </w:r>
      <w:r w:rsidRPr="00E33C2B">
        <w:rPr>
          <w:sz w:val="22"/>
          <w:szCs w:val="22"/>
        </w:rPr>
        <w:t xml:space="preserve">, </w:t>
      </w:r>
      <w:r w:rsidRPr="00E33C2B">
        <w:rPr>
          <w:i/>
          <w:iCs/>
          <w:sz w:val="22"/>
          <w:szCs w:val="22"/>
        </w:rPr>
        <w:t>282</w:t>
      </w:r>
      <w:r w:rsidRPr="00E33C2B">
        <w:rPr>
          <w:sz w:val="22"/>
          <w:szCs w:val="22"/>
        </w:rPr>
        <w:t xml:space="preserve">. (WOS:001530651000001). </w:t>
      </w:r>
      <w:hyperlink r:id="rId12" w:history="1">
        <w:r w:rsidRPr="00E33C2B">
          <w:rPr>
            <w:rStyle w:val="Hyperlink"/>
            <w:sz w:val="22"/>
            <w:szCs w:val="22"/>
          </w:rPr>
          <w:t>https://doi.org/10.1016/j.buildenv.2025.113329</w:t>
        </w:r>
      </w:hyperlink>
    </w:p>
    <w:p w14:paraId="7CBAA05A"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Ministry of Health, Treatment, and Medical Education. (2022). </w:t>
      </w:r>
      <w:r w:rsidRPr="00E33C2B">
        <w:rPr>
          <w:rStyle w:val="Emphasis"/>
          <w:sz w:val="22"/>
          <w:szCs w:val="22"/>
        </w:rPr>
        <w:t>Ventilation guidelines for schools (with emphasis on COVID-19 conditions)</w:t>
      </w:r>
      <w:r w:rsidRPr="00E33C2B">
        <w:rPr>
          <w:sz w:val="22"/>
          <w:szCs w:val="22"/>
        </w:rPr>
        <w:t>. [</w:t>
      </w:r>
      <w:r w:rsidRPr="00E33C2B">
        <w:rPr>
          <w:color w:val="FF0000"/>
          <w:sz w:val="22"/>
          <w:szCs w:val="22"/>
        </w:rPr>
        <w:t>in Persian</w:t>
      </w:r>
      <w:r w:rsidRPr="00E33C2B">
        <w:rPr>
          <w:sz w:val="22"/>
          <w:szCs w:val="22"/>
        </w:rPr>
        <w:t>]</w:t>
      </w:r>
    </w:p>
    <w:p w14:paraId="1EA69BA0"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lastRenderedPageBreak/>
        <w:t xml:space="preserve">Mohamed, S., Al-Khatri, H., Calautit, J., Omer, S., &amp; Riffat, S. (2021). The impact of a passive wall combining natural ventilation and evaporative cooling on schools’ thermal conditions in a hot climate. </w:t>
      </w:r>
      <w:r w:rsidRPr="00E33C2B">
        <w:rPr>
          <w:rFonts w:cs="Times New Roman"/>
          <w:i/>
          <w:iCs/>
          <w:szCs w:val="22"/>
        </w:rPr>
        <w:t>Journal of Building Engineering</w:t>
      </w:r>
      <w:r w:rsidRPr="00E33C2B">
        <w:rPr>
          <w:rFonts w:cs="Times New Roman"/>
          <w:szCs w:val="22"/>
        </w:rPr>
        <w:t xml:space="preserve">, </w:t>
      </w:r>
      <w:r w:rsidRPr="00E33C2B">
        <w:rPr>
          <w:rFonts w:cs="Times New Roman"/>
          <w:i/>
          <w:iCs/>
          <w:szCs w:val="22"/>
        </w:rPr>
        <w:t>44</w:t>
      </w:r>
      <w:r w:rsidRPr="00E33C2B">
        <w:rPr>
          <w:rFonts w:cs="Times New Roman"/>
          <w:szCs w:val="22"/>
        </w:rPr>
        <w:t>, 102624. https://doi.org/10.1016/j.jobe.2021.102624</w:t>
      </w:r>
    </w:p>
    <w:p w14:paraId="78AD1792"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Nasr Abadi, M. (2021). </w:t>
      </w:r>
      <w:r w:rsidRPr="00E33C2B">
        <w:rPr>
          <w:rStyle w:val="Emphasis"/>
          <w:sz w:val="22"/>
          <w:szCs w:val="22"/>
        </w:rPr>
        <w:t>An investigation of the effect of natural ventilation in educational buildings by using a windbreak (Complete modeling with Energy Plus)</w:t>
      </w:r>
      <w:r w:rsidRPr="00E33C2B">
        <w:rPr>
          <w:sz w:val="22"/>
          <w:szCs w:val="22"/>
        </w:rPr>
        <w:t xml:space="preserve"> (Master's thesis, Mechanical Engineering Department, Pi-rouzan Higher Education Institute, Ferdows). [</w:t>
      </w:r>
      <w:r w:rsidRPr="00E33C2B">
        <w:rPr>
          <w:color w:val="FF0000"/>
          <w:sz w:val="22"/>
          <w:szCs w:val="22"/>
        </w:rPr>
        <w:t>in Persian</w:t>
      </w:r>
      <w:r w:rsidRPr="00E33C2B">
        <w:rPr>
          <w:sz w:val="22"/>
          <w:szCs w:val="22"/>
        </w:rPr>
        <w:t>]</w:t>
      </w:r>
    </w:p>
    <w:p w14:paraId="236E4310"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Nejat, P., Fekri, Y., Pourghasemian, M., Alsaad, H., &amp; Voelker, C. (2025). Passive cooling assessment of natural ventilation by windcatchers for enhancing thermal comfort and indoor air quality in European schools. </w:t>
      </w:r>
      <w:r w:rsidRPr="00E33C2B">
        <w:rPr>
          <w:rFonts w:cs="Times New Roman"/>
          <w:i/>
          <w:iCs/>
          <w:szCs w:val="22"/>
        </w:rPr>
        <w:t>BUILDING AND ENVIRONMENT</w:t>
      </w:r>
      <w:r w:rsidRPr="00E33C2B">
        <w:rPr>
          <w:rFonts w:cs="Times New Roman"/>
          <w:szCs w:val="22"/>
        </w:rPr>
        <w:t xml:space="preserve">, </w:t>
      </w:r>
      <w:r w:rsidRPr="00E33C2B">
        <w:rPr>
          <w:rFonts w:cs="Times New Roman"/>
          <w:i/>
          <w:iCs/>
          <w:szCs w:val="22"/>
        </w:rPr>
        <w:t>276</w:t>
      </w:r>
      <w:r w:rsidRPr="00E33C2B">
        <w:rPr>
          <w:rFonts w:cs="Times New Roman"/>
          <w:szCs w:val="22"/>
        </w:rPr>
        <w:t>. (WOS:001450262300001). https://doi.org/10.1016/j.buildenv.2025.112848</w:t>
      </w:r>
    </w:p>
    <w:p w14:paraId="580F7C93"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O’Connor, D., Calautit, J., &amp; Hughes, B. (2014). A study of passive ventilation integrated with heat recovery. </w:t>
      </w:r>
      <w:r w:rsidRPr="00E33C2B">
        <w:rPr>
          <w:rFonts w:cs="Times New Roman"/>
          <w:i/>
          <w:iCs/>
          <w:szCs w:val="22"/>
        </w:rPr>
        <w:t>ENERGY AND BUILDINGS</w:t>
      </w:r>
      <w:r w:rsidRPr="00E33C2B">
        <w:rPr>
          <w:rFonts w:cs="Times New Roman"/>
          <w:szCs w:val="22"/>
        </w:rPr>
        <w:t xml:space="preserve">, </w:t>
      </w:r>
      <w:r w:rsidRPr="00E33C2B">
        <w:rPr>
          <w:rFonts w:cs="Times New Roman"/>
          <w:i/>
          <w:iCs/>
          <w:szCs w:val="22"/>
        </w:rPr>
        <w:t>82</w:t>
      </w:r>
      <w:r w:rsidRPr="00E33C2B">
        <w:rPr>
          <w:rFonts w:cs="Times New Roman"/>
          <w:szCs w:val="22"/>
        </w:rPr>
        <w:t>, 799–811. (WOS:000343781400077). https://doi.org/10.1016/j.enbuild.2014.05.050</w:t>
      </w:r>
    </w:p>
    <w:p w14:paraId="652B0358"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Olufowobi &amp; Adenuga. (2012). </w:t>
      </w:r>
      <w:r w:rsidRPr="00E33C2B">
        <w:rPr>
          <w:rFonts w:cs="Times New Roman"/>
          <w:i/>
          <w:iCs/>
          <w:szCs w:val="22"/>
        </w:rPr>
        <w:t>Towards the Specification of Windows Sizes for Natural Ventilation in Classrooms in a Warn Climate, Nigeria</w:t>
      </w:r>
      <w:r w:rsidRPr="00E33C2B">
        <w:rPr>
          <w:rFonts w:cs="Times New Roman"/>
          <w:szCs w:val="22"/>
        </w:rPr>
        <w:t>.</w:t>
      </w:r>
    </w:p>
    <w:p w14:paraId="3E2C2F0B" w14:textId="77777777" w:rsidR="0097680B" w:rsidRDefault="0097680B" w:rsidP="0097680B">
      <w:pPr>
        <w:spacing w:after="0" w:line="240" w:lineRule="auto"/>
        <w:ind w:hanging="284"/>
        <w:jc w:val="both"/>
        <w:rPr>
          <w:rFonts w:ascii="Times New Roman" w:hAnsi="Times New Roman" w:cs="Times New Roman"/>
        </w:rPr>
      </w:pPr>
      <w:r w:rsidRPr="00E33C2B">
        <w:rPr>
          <w:rFonts w:ascii="Times New Roman" w:hAnsi="Times New Roman" w:cs="Times New Roman"/>
        </w:rPr>
        <w:t>Paridokht F, Tabrizi A, Khorshidi behzadi Y, Farhang Dehghan S. Investigating Thermal Comfort and Ventilation in Schools: A Systematic Review. J Health Saf Work 2025; 15 (3) :687-723</w:t>
      </w:r>
      <w:r w:rsidRPr="00E33C2B">
        <w:rPr>
          <w:rFonts w:ascii="Times New Roman" w:hAnsi="Times New Roman" w:cs="Times New Roman"/>
        </w:rPr>
        <w:br/>
        <w:t xml:space="preserve">URL: </w:t>
      </w:r>
      <w:hyperlink r:id="rId13" w:history="1">
        <w:r w:rsidRPr="00E33C2B">
          <w:rPr>
            <w:rStyle w:val="Hyperlink"/>
            <w:rFonts w:ascii="Times New Roman" w:hAnsi="Times New Roman" w:cs="Times New Roman"/>
          </w:rPr>
          <w:t>http://jhsw.tums.ac.ir/article-1-7213-fa.html</w:t>
        </w:r>
      </w:hyperlink>
      <w:r w:rsidRPr="00E33C2B">
        <w:rPr>
          <w:rFonts w:ascii="Times New Roman" w:hAnsi="Times New Roman" w:cs="Times New Roman"/>
        </w:rPr>
        <w:t>. [</w:t>
      </w:r>
      <w:r w:rsidRPr="00E33C2B">
        <w:rPr>
          <w:rFonts w:ascii="Times New Roman" w:hAnsi="Times New Roman" w:cs="Times New Roman"/>
          <w:color w:val="FF0000"/>
        </w:rPr>
        <w:t>in Persian</w:t>
      </w:r>
      <w:r w:rsidRPr="00E33C2B">
        <w:rPr>
          <w:rFonts w:ascii="Times New Roman" w:hAnsi="Times New Roman" w:cs="Times New Roman"/>
        </w:rPr>
        <w:t>]</w:t>
      </w:r>
    </w:p>
    <w:p w14:paraId="40159E4D" w14:textId="77777777" w:rsidR="0097680B" w:rsidRPr="006B1A0A" w:rsidRDefault="0097680B" w:rsidP="0097680B">
      <w:pPr>
        <w:spacing w:after="0" w:line="240" w:lineRule="auto"/>
        <w:ind w:hanging="284"/>
        <w:jc w:val="both"/>
        <w:rPr>
          <w:rFonts w:asciiTheme="majorBidi" w:hAnsiTheme="majorBidi" w:cstheme="majorBidi"/>
        </w:rPr>
      </w:pPr>
      <w:r w:rsidRPr="006B1A0A">
        <w:rPr>
          <w:rFonts w:asciiTheme="majorBidi" w:hAnsiTheme="majorBidi" w:cstheme="majorBidi"/>
        </w:rPr>
        <w:t xml:space="preserve">Passe, U., &amp; Battaglia, F. (2015). </w:t>
      </w:r>
      <w:r w:rsidRPr="006B1A0A">
        <w:rPr>
          <w:rFonts w:asciiTheme="majorBidi" w:hAnsiTheme="majorBidi" w:cstheme="majorBidi"/>
          <w:i/>
          <w:iCs/>
        </w:rPr>
        <w:t>Designing Spaces for Natural Ventilation: An Architect’s Guide</w:t>
      </w:r>
      <w:r w:rsidRPr="006B1A0A">
        <w:rPr>
          <w:rFonts w:asciiTheme="majorBidi" w:hAnsiTheme="majorBidi" w:cstheme="majorBidi"/>
        </w:rPr>
        <w:t xml:space="preserve"> (0 ed.). Routledge. </w:t>
      </w:r>
      <w:hyperlink r:id="rId14" w:history="1">
        <w:r w:rsidRPr="006B1A0A">
          <w:rPr>
            <w:rStyle w:val="Hyperlink"/>
            <w:rFonts w:asciiTheme="majorBidi" w:hAnsiTheme="majorBidi" w:cstheme="majorBidi"/>
          </w:rPr>
          <w:t>https://doi.org/10.4324/9780203583470</w:t>
        </w:r>
      </w:hyperlink>
    </w:p>
    <w:p w14:paraId="1866B9A1" w14:textId="77777777" w:rsidR="0097680B" w:rsidRPr="00E33C2B" w:rsidRDefault="0097680B" w:rsidP="0097680B">
      <w:pPr>
        <w:pStyle w:val="NormalWeb"/>
        <w:spacing w:before="0" w:beforeAutospacing="0" w:after="0" w:afterAutospacing="0"/>
        <w:ind w:hanging="284"/>
        <w:jc w:val="both"/>
        <w:rPr>
          <w:sz w:val="22"/>
          <w:szCs w:val="22"/>
          <w:rtl/>
        </w:rPr>
      </w:pPr>
      <w:r w:rsidRPr="00E33C2B">
        <w:rPr>
          <w:sz w:val="22"/>
          <w:szCs w:val="22"/>
        </w:rPr>
        <w:t xml:space="preserve">Pinto, M., Almeida, R., Pinho, P., &amp; de Lemos, T. (2014). </w:t>
      </w:r>
      <w:r w:rsidRPr="00E33C2B">
        <w:rPr>
          <w:i/>
          <w:iCs/>
          <w:sz w:val="22"/>
          <w:szCs w:val="22"/>
        </w:rPr>
        <w:t>EXPERIMENTAL ASSESSMENT OF IAQ IMPROVEMENT IN NATURALLY VENTILATED EDUCATIONAL BUILDINGS</w:t>
      </w:r>
      <w:r w:rsidRPr="00E33C2B">
        <w:rPr>
          <w:sz w:val="22"/>
          <w:szCs w:val="22"/>
        </w:rPr>
        <w:t>.</w:t>
      </w:r>
    </w:p>
    <w:p w14:paraId="37EC1E2B"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Plan and Budget Organization of Iran. (2021). School Green Management Reference Guide (Regulation No. 847). [</w:t>
      </w:r>
      <w:r w:rsidRPr="00E33C2B">
        <w:rPr>
          <w:color w:val="FF0000"/>
          <w:sz w:val="22"/>
          <w:szCs w:val="22"/>
        </w:rPr>
        <w:t>in Persian</w:t>
      </w:r>
      <w:r w:rsidRPr="00E33C2B">
        <w:rPr>
          <w:sz w:val="22"/>
          <w:szCs w:val="22"/>
        </w:rPr>
        <w:t>]</w:t>
      </w:r>
    </w:p>
    <w:p w14:paraId="784E38CD" w14:textId="77777777" w:rsidR="0097680B" w:rsidRPr="00E33C2B" w:rsidRDefault="0097680B" w:rsidP="0097680B">
      <w:pPr>
        <w:pStyle w:val="NormalWeb"/>
        <w:spacing w:before="0" w:beforeAutospacing="0" w:after="0" w:afterAutospacing="0"/>
        <w:ind w:hanging="284"/>
        <w:jc w:val="both"/>
        <w:rPr>
          <w:sz w:val="22"/>
          <w:szCs w:val="22"/>
          <w:rtl/>
          <w:lang w:bidi="fa-IR"/>
        </w:rPr>
      </w:pPr>
      <w:r w:rsidRPr="00E33C2B">
        <w:rPr>
          <w:sz w:val="22"/>
          <w:szCs w:val="22"/>
        </w:rPr>
        <w:t xml:space="preserve">Pourakbarian Gashti, M. (2022). </w:t>
      </w:r>
      <w:r w:rsidRPr="00E33C2B">
        <w:rPr>
          <w:rStyle w:val="Emphasis"/>
          <w:sz w:val="22"/>
          <w:szCs w:val="22"/>
        </w:rPr>
        <w:t>Design of a conservatory in Rasht with the approach of improving natural ventilation in cassrooms</w:t>
      </w:r>
      <w:r w:rsidRPr="00E33C2B">
        <w:rPr>
          <w:sz w:val="22"/>
          <w:szCs w:val="22"/>
        </w:rPr>
        <w:t xml:space="preserve"> (Master's thesis, Department of Architecture and Urban Planning, Shahid Rajaee Teacher Training University, Tehran). [</w:t>
      </w:r>
      <w:r w:rsidRPr="00E33C2B">
        <w:rPr>
          <w:color w:val="FF0000"/>
          <w:sz w:val="22"/>
          <w:szCs w:val="22"/>
        </w:rPr>
        <w:t>in Persian</w:t>
      </w:r>
      <w:r w:rsidRPr="00E33C2B">
        <w:rPr>
          <w:sz w:val="22"/>
          <w:szCs w:val="22"/>
        </w:rPr>
        <w:t>]</w:t>
      </w:r>
    </w:p>
    <w:p w14:paraId="6BE600DD"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Ragab, A., Hassieb, M., &amp; Mohamed, A. (2025). Exploring the impact of window design and ventilation strategies on air quality and thermal comfort in arid educational buildings. </w:t>
      </w:r>
      <w:r w:rsidRPr="00E33C2B">
        <w:rPr>
          <w:rFonts w:cs="Times New Roman"/>
          <w:i/>
          <w:iCs/>
          <w:szCs w:val="22"/>
        </w:rPr>
        <w:t>SCIENTIFIC REPORTS</w:t>
      </w:r>
      <w:r w:rsidRPr="00E33C2B">
        <w:rPr>
          <w:rFonts w:cs="Times New Roman"/>
          <w:szCs w:val="22"/>
        </w:rPr>
        <w:t xml:space="preserve">, </w:t>
      </w:r>
      <w:r w:rsidRPr="00E33C2B">
        <w:rPr>
          <w:rFonts w:cs="Times New Roman"/>
          <w:i/>
          <w:iCs/>
          <w:szCs w:val="22"/>
        </w:rPr>
        <w:t>15</w:t>
      </w:r>
      <w:r w:rsidRPr="00E33C2B">
        <w:rPr>
          <w:rFonts w:cs="Times New Roman"/>
          <w:szCs w:val="22"/>
        </w:rPr>
        <w:t>(1). (WOS:001503071800022). https://doi.org/10.1038/s41598-025-01362-y</w:t>
      </w:r>
    </w:p>
    <w:p w14:paraId="71BC09CE" w14:textId="77777777" w:rsidR="0097680B" w:rsidRPr="00E33C2B" w:rsidRDefault="0097680B" w:rsidP="0097680B">
      <w:pPr>
        <w:spacing w:after="0" w:line="240" w:lineRule="auto"/>
        <w:ind w:hanging="284"/>
        <w:jc w:val="both"/>
        <w:rPr>
          <w:rFonts w:ascii="Times New Roman" w:hAnsi="Times New Roman" w:cs="Times New Roman"/>
        </w:rPr>
      </w:pPr>
      <w:r w:rsidRPr="00E33C2B">
        <w:rPr>
          <w:rFonts w:ascii="Times New Roman" w:eastAsia="Times New Roman" w:hAnsi="Times New Roman" w:cs="Times New Roman"/>
          <w:kern w:val="0"/>
          <w14:ligatures w14:val="none"/>
        </w:rPr>
        <w:t xml:space="preserve">Rahaee, O. , Salehi, S. S. and Shirdel, A. (2024). Improving the quality of natural ventilation in Masjedsoleiman's Schools' classrooms based on the openings' position and the outdoor shading blades with CFD Method. </w:t>
      </w:r>
      <w:r w:rsidRPr="00E33C2B">
        <w:rPr>
          <w:rFonts w:ascii="Times New Roman" w:eastAsia="Times New Roman" w:hAnsi="Times New Roman" w:cs="Times New Roman"/>
          <w:i/>
          <w:iCs/>
          <w:kern w:val="0"/>
          <w14:ligatures w14:val="none"/>
        </w:rPr>
        <w:t>Journal of Sustainable Architecture and Urban Design</w:t>
      </w:r>
      <w:r w:rsidRPr="00E33C2B">
        <w:rPr>
          <w:rFonts w:ascii="Times New Roman" w:eastAsia="Times New Roman" w:hAnsi="Times New Roman" w:cs="Times New Roman"/>
          <w:kern w:val="0"/>
          <w14:ligatures w14:val="none"/>
        </w:rPr>
        <w:t xml:space="preserve">, </w:t>
      </w:r>
      <w:r w:rsidRPr="00E33C2B">
        <w:rPr>
          <w:rFonts w:ascii="Times New Roman" w:eastAsia="Times New Roman" w:hAnsi="Times New Roman" w:cs="Times New Roman"/>
          <w:i/>
          <w:iCs/>
          <w:kern w:val="0"/>
          <w14:ligatures w14:val="none"/>
        </w:rPr>
        <w:t>12</w:t>
      </w:r>
      <w:r w:rsidRPr="00E33C2B">
        <w:rPr>
          <w:rFonts w:ascii="Times New Roman" w:eastAsia="Times New Roman" w:hAnsi="Times New Roman" w:cs="Times New Roman"/>
          <w:kern w:val="0"/>
          <w14:ligatures w14:val="none"/>
        </w:rPr>
        <w:t xml:space="preserve">(1), 129-150. doi: 10.22061/jsaud.2024.10110.2179. </w:t>
      </w:r>
      <w:r w:rsidRPr="00E33C2B">
        <w:rPr>
          <w:rFonts w:ascii="Times New Roman" w:hAnsi="Times New Roman" w:cs="Times New Roman"/>
        </w:rPr>
        <w:t>[</w:t>
      </w:r>
      <w:r w:rsidRPr="00E33C2B">
        <w:rPr>
          <w:rFonts w:ascii="Times New Roman" w:hAnsi="Times New Roman" w:cs="Times New Roman"/>
          <w:color w:val="FF0000"/>
        </w:rPr>
        <w:t>in Persian</w:t>
      </w:r>
      <w:r w:rsidRPr="00E33C2B">
        <w:rPr>
          <w:rFonts w:ascii="Times New Roman" w:hAnsi="Times New Roman" w:cs="Times New Roman"/>
        </w:rPr>
        <w:t>]</w:t>
      </w:r>
    </w:p>
    <w:p w14:paraId="55D116DA"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RAHAEI, OMID, &amp; AZEMATI, HAMID REZA. (2020). Improving the Quality of Natural Ventilation in Classrooms of Mazandaran Province Based on the Position of the Openings Using CFD Method. IRANIAN ARCHITECTURE AND URBANISM, 11(19 ), 57-71. SID. </w:t>
      </w:r>
      <w:hyperlink r:id="rId15" w:history="1">
        <w:r w:rsidRPr="00E33C2B">
          <w:rPr>
            <w:rStyle w:val="Hyperlink"/>
            <w:sz w:val="22"/>
            <w:szCs w:val="22"/>
          </w:rPr>
          <w:t>https://sid.ir/paper/386912/en</w:t>
        </w:r>
      </w:hyperlink>
      <w:r w:rsidRPr="00E33C2B">
        <w:rPr>
          <w:sz w:val="22"/>
          <w:szCs w:val="22"/>
        </w:rPr>
        <w:t>. [</w:t>
      </w:r>
      <w:r w:rsidRPr="00E33C2B">
        <w:rPr>
          <w:color w:val="FF0000"/>
          <w:sz w:val="22"/>
          <w:szCs w:val="22"/>
        </w:rPr>
        <w:t>in Persian</w:t>
      </w:r>
      <w:r w:rsidRPr="00E33C2B">
        <w:rPr>
          <w:sz w:val="22"/>
          <w:szCs w:val="22"/>
        </w:rPr>
        <w:t>]</w:t>
      </w:r>
    </w:p>
    <w:p w14:paraId="51667C24" w14:textId="77777777" w:rsidR="0097680B" w:rsidRPr="00E33C2B" w:rsidRDefault="0097680B" w:rsidP="0097680B">
      <w:pPr>
        <w:spacing w:after="0" w:line="240" w:lineRule="auto"/>
        <w:ind w:hanging="284"/>
        <w:jc w:val="both"/>
        <w:rPr>
          <w:rFonts w:ascii="Times New Roman" w:eastAsia="Times New Roman" w:hAnsi="Times New Roman" w:cs="Times New Roman"/>
          <w:kern w:val="0"/>
          <w14:ligatures w14:val="none"/>
        </w:rPr>
      </w:pPr>
      <w:r w:rsidRPr="00E33C2B">
        <w:rPr>
          <w:rFonts w:ascii="Times New Roman" w:eastAsia="Times New Roman" w:hAnsi="Times New Roman" w:cs="Times New Roman"/>
          <w:kern w:val="0"/>
          <w14:ligatures w14:val="none"/>
        </w:rPr>
        <w:t xml:space="preserve">Rahaei, O. , Omidi, M. and Dehdashti, S. (2024). Numerical investigation of indoor airflow behavior in Bushehr’s Sa’adat School based on the Openings and corridors situation using CFD method. </w:t>
      </w:r>
      <w:r w:rsidRPr="00E33C2B">
        <w:rPr>
          <w:rFonts w:ascii="Times New Roman" w:eastAsia="Times New Roman" w:hAnsi="Times New Roman" w:cs="Times New Roman"/>
          <w:i/>
          <w:iCs/>
          <w:kern w:val="0"/>
          <w14:ligatures w14:val="none"/>
        </w:rPr>
        <w:t>Soffeh</w:t>
      </w:r>
      <w:r w:rsidRPr="00E33C2B">
        <w:rPr>
          <w:rFonts w:ascii="Times New Roman" w:eastAsia="Times New Roman" w:hAnsi="Times New Roman" w:cs="Times New Roman"/>
          <w:kern w:val="0"/>
          <w14:ligatures w14:val="none"/>
        </w:rPr>
        <w:t xml:space="preserve">, </w:t>
      </w:r>
      <w:r w:rsidRPr="00E33C2B">
        <w:rPr>
          <w:rFonts w:ascii="Times New Roman" w:eastAsia="Times New Roman" w:hAnsi="Times New Roman" w:cs="Times New Roman"/>
          <w:i/>
          <w:iCs/>
          <w:kern w:val="0"/>
          <w14:ligatures w14:val="none"/>
        </w:rPr>
        <w:t>34</w:t>
      </w:r>
      <w:r w:rsidRPr="00E33C2B">
        <w:rPr>
          <w:rFonts w:ascii="Times New Roman" w:eastAsia="Times New Roman" w:hAnsi="Times New Roman" w:cs="Times New Roman"/>
          <w:kern w:val="0"/>
          <w14:ligatures w14:val="none"/>
        </w:rPr>
        <w:t>(3), 39-54. doi: 10.48308/sofeh.2024.104797.</w:t>
      </w:r>
      <w:r w:rsidRPr="00E33C2B">
        <w:rPr>
          <w:rFonts w:ascii="Times New Roman" w:hAnsi="Times New Roman" w:cs="Times New Roman"/>
        </w:rPr>
        <w:t xml:space="preserve"> [</w:t>
      </w:r>
      <w:r w:rsidRPr="00E33C2B">
        <w:rPr>
          <w:rFonts w:ascii="Times New Roman" w:hAnsi="Times New Roman" w:cs="Times New Roman"/>
          <w:color w:val="FF0000"/>
        </w:rPr>
        <w:t>in Persian</w:t>
      </w:r>
      <w:r w:rsidRPr="00E33C2B">
        <w:rPr>
          <w:rFonts w:ascii="Times New Roman" w:hAnsi="Times New Roman" w:cs="Times New Roman"/>
        </w:rPr>
        <w:t>]</w:t>
      </w:r>
    </w:p>
    <w:p w14:paraId="63B54DD6" w14:textId="77777777" w:rsidR="0097680B" w:rsidRPr="00E33C2B" w:rsidRDefault="0097680B" w:rsidP="0097680B">
      <w:pPr>
        <w:spacing w:after="0" w:line="240" w:lineRule="auto"/>
        <w:ind w:hanging="284"/>
        <w:jc w:val="both"/>
        <w:rPr>
          <w:rFonts w:ascii="Times New Roman" w:hAnsi="Times New Roman" w:cs="Times New Roman"/>
          <w:rtl/>
        </w:rPr>
      </w:pPr>
      <w:r w:rsidRPr="00E33C2B">
        <w:rPr>
          <w:rFonts w:ascii="Times New Roman" w:hAnsi="Times New Roman" w:cs="Times New Roman"/>
        </w:rPr>
        <w:t xml:space="preserve">Salavatian,S. M. and Babazadeh,A. M. (2025). Application of the new generation wind catchers to control natural ventilation and CO2 level in educational spaces of moderate and humid climate in Iran. </w:t>
      </w:r>
      <w:r w:rsidRPr="00E33C2B">
        <w:rPr>
          <w:rStyle w:val="Emphasis"/>
          <w:rFonts w:ascii="Times New Roman" w:hAnsi="Times New Roman" w:cs="Times New Roman"/>
        </w:rPr>
        <w:t>Journal of Renewable and New Energy</w:t>
      </w:r>
      <w:r w:rsidRPr="00E33C2B">
        <w:rPr>
          <w:rFonts w:ascii="Times New Roman" w:hAnsi="Times New Roman" w:cs="Times New Roman"/>
        </w:rPr>
        <w:t xml:space="preserve">, </w:t>
      </w:r>
      <w:r w:rsidRPr="00E33C2B">
        <w:rPr>
          <w:rStyle w:val="Emphasis"/>
          <w:rFonts w:ascii="Times New Roman" w:hAnsi="Times New Roman" w:cs="Times New Roman"/>
        </w:rPr>
        <w:t>12</w:t>
      </w:r>
      <w:r w:rsidRPr="00E33C2B">
        <w:rPr>
          <w:rFonts w:ascii="Times New Roman" w:hAnsi="Times New Roman" w:cs="Times New Roman"/>
        </w:rPr>
        <w:t>(1), 148-156. doi: 10.22034/jrenew.2025.201463. [</w:t>
      </w:r>
      <w:r w:rsidRPr="00E33C2B">
        <w:rPr>
          <w:rFonts w:ascii="Times New Roman" w:hAnsi="Times New Roman" w:cs="Times New Roman"/>
          <w:color w:val="FF0000"/>
        </w:rPr>
        <w:t>in Persian</w:t>
      </w:r>
      <w:r w:rsidRPr="00E33C2B">
        <w:rPr>
          <w:rFonts w:ascii="Times New Roman" w:hAnsi="Times New Roman" w:cs="Times New Roman"/>
        </w:rPr>
        <w:t>]</w:t>
      </w:r>
    </w:p>
    <w:p w14:paraId="3D780600"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Shirazi, A. (2019). </w:t>
      </w:r>
      <w:r w:rsidRPr="00E33C2B">
        <w:rPr>
          <w:rStyle w:val="Emphasis"/>
          <w:sz w:val="22"/>
          <w:szCs w:val="22"/>
        </w:rPr>
        <w:t>Designing a low Energy Senior high School for boys with the approach of natural ventilation in city of Karaj</w:t>
      </w:r>
      <w:r w:rsidRPr="00E33C2B">
        <w:rPr>
          <w:sz w:val="22"/>
          <w:szCs w:val="22"/>
        </w:rPr>
        <w:t xml:space="preserve"> (Master's thesis, Department of Architecture, Pars University of Art and Architecture, Tehran). [</w:t>
      </w:r>
      <w:r w:rsidRPr="00E33C2B">
        <w:rPr>
          <w:color w:val="FF0000"/>
          <w:sz w:val="22"/>
          <w:szCs w:val="22"/>
        </w:rPr>
        <w:t>in Persian</w:t>
      </w:r>
      <w:r w:rsidRPr="00E33C2B">
        <w:rPr>
          <w:sz w:val="22"/>
          <w:szCs w:val="22"/>
        </w:rPr>
        <w:t>]</w:t>
      </w:r>
    </w:p>
    <w:p w14:paraId="408B001F"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Sireesha, N. L. (2016). Architect’s Role in Designing of Schools—Ventilation Strategies Adopted. </w:t>
      </w:r>
      <w:r w:rsidRPr="00E33C2B">
        <w:rPr>
          <w:rFonts w:cs="Times New Roman"/>
          <w:i/>
          <w:iCs/>
          <w:szCs w:val="22"/>
        </w:rPr>
        <w:t>PARIPEX - Indian Journal of Research</w:t>
      </w:r>
      <w:r w:rsidRPr="00E33C2B">
        <w:rPr>
          <w:rFonts w:cs="Times New Roman"/>
          <w:szCs w:val="22"/>
        </w:rPr>
        <w:t xml:space="preserve">, </w:t>
      </w:r>
      <w:r w:rsidRPr="00E33C2B">
        <w:rPr>
          <w:rFonts w:cs="Times New Roman"/>
          <w:i/>
          <w:iCs/>
          <w:szCs w:val="22"/>
        </w:rPr>
        <w:t>5</w:t>
      </w:r>
      <w:r w:rsidRPr="00E33C2B">
        <w:rPr>
          <w:rFonts w:cs="Times New Roman"/>
          <w:szCs w:val="22"/>
        </w:rPr>
        <w:t>(12).</w:t>
      </w:r>
    </w:p>
    <w:p w14:paraId="2F908219"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Suhendri, Koerniawan, M., &amp; Alprianti, R. (2018). Solar Chimney as a Natural Ventilation Strategy for Elementary School in Urban Area. In Y. Indartono, P. Prawisudha, P. Sambegoro, &amp; A. Irhamna (Eds.), </w:t>
      </w:r>
      <w:r w:rsidRPr="00E33C2B">
        <w:rPr>
          <w:rFonts w:cs="Times New Roman"/>
          <w:i/>
          <w:iCs/>
          <w:szCs w:val="22"/>
        </w:rPr>
        <w:t>Institute Technology of Bandung</w:t>
      </w:r>
      <w:r w:rsidRPr="00E33C2B">
        <w:rPr>
          <w:rFonts w:cs="Times New Roman"/>
          <w:szCs w:val="22"/>
        </w:rPr>
        <w:t xml:space="preserve"> (Vol. 1984). (WOS:000447900000043). https://doi.org/10.1063/1.5046628</w:t>
      </w:r>
    </w:p>
    <w:p w14:paraId="55DBD4F1"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Tan, A. Y. K., &amp; Wong, N. H. (2012). Natural ventilation performance of classroom with solar chimney system. </w:t>
      </w:r>
      <w:r w:rsidRPr="00E33C2B">
        <w:rPr>
          <w:rFonts w:cs="Times New Roman"/>
          <w:i/>
          <w:iCs/>
          <w:szCs w:val="22"/>
        </w:rPr>
        <w:t>Energy and Buildings</w:t>
      </w:r>
      <w:r w:rsidRPr="00E33C2B">
        <w:rPr>
          <w:rFonts w:cs="Times New Roman"/>
          <w:szCs w:val="22"/>
        </w:rPr>
        <w:t xml:space="preserve">, </w:t>
      </w:r>
      <w:r w:rsidRPr="00E33C2B">
        <w:rPr>
          <w:rFonts w:cs="Times New Roman"/>
          <w:i/>
          <w:iCs/>
          <w:szCs w:val="22"/>
        </w:rPr>
        <w:t>53</w:t>
      </w:r>
      <w:r w:rsidRPr="00E33C2B">
        <w:rPr>
          <w:rFonts w:cs="Times New Roman"/>
          <w:szCs w:val="22"/>
        </w:rPr>
        <w:t>, 19–27. https://doi.org/10.1016/j.enbuild.2012.06.010</w:t>
      </w:r>
    </w:p>
    <w:p w14:paraId="6D8515E9"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lastRenderedPageBreak/>
        <w:t xml:space="preserve">Tikul, N., Hokpunna, A., &amp; Chawana, P. (2023). The effect of horizontal elements and building orientation on PM2.5 concentration in classrooms. </w:t>
      </w:r>
      <w:r w:rsidRPr="00E33C2B">
        <w:rPr>
          <w:rFonts w:cs="Times New Roman"/>
          <w:i/>
          <w:iCs/>
          <w:szCs w:val="22"/>
        </w:rPr>
        <w:t>FRONTIERS OF ARCHITECTURAL RESEARCH</w:t>
      </w:r>
      <w:r w:rsidRPr="00E33C2B">
        <w:rPr>
          <w:rFonts w:cs="Times New Roman"/>
          <w:szCs w:val="22"/>
        </w:rPr>
        <w:t xml:space="preserve">, </w:t>
      </w:r>
      <w:r w:rsidRPr="00E33C2B">
        <w:rPr>
          <w:rFonts w:cs="Times New Roman"/>
          <w:i/>
          <w:iCs/>
          <w:szCs w:val="22"/>
        </w:rPr>
        <w:t>12</w:t>
      </w:r>
      <w:r w:rsidRPr="00E33C2B">
        <w:rPr>
          <w:rFonts w:cs="Times New Roman"/>
          <w:szCs w:val="22"/>
        </w:rPr>
        <w:t>(4), 775–787. (WOS:001034624100001). https://doi.org/10.1016/j.foar.2023.05.007</w:t>
      </w:r>
    </w:p>
    <w:p w14:paraId="25A68F38"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Toyinbo, O. (2023). Indoor Environmental Quality, Pupils’ Health, and Academic Performance-A Literature Review. </w:t>
      </w:r>
      <w:r w:rsidRPr="00E33C2B">
        <w:rPr>
          <w:rFonts w:cs="Times New Roman"/>
          <w:i/>
          <w:iCs/>
          <w:szCs w:val="22"/>
        </w:rPr>
        <w:t>BUILDINGS</w:t>
      </w:r>
      <w:r w:rsidRPr="00E33C2B">
        <w:rPr>
          <w:rFonts w:cs="Times New Roman"/>
          <w:szCs w:val="22"/>
        </w:rPr>
        <w:t xml:space="preserve">, </w:t>
      </w:r>
      <w:r w:rsidRPr="00E33C2B">
        <w:rPr>
          <w:rFonts w:cs="Times New Roman"/>
          <w:i/>
          <w:iCs/>
          <w:szCs w:val="22"/>
        </w:rPr>
        <w:t>13</w:t>
      </w:r>
      <w:r w:rsidRPr="00E33C2B">
        <w:rPr>
          <w:rFonts w:cs="Times New Roman"/>
          <w:szCs w:val="22"/>
        </w:rPr>
        <w:t>(9). (WOS:001073295600001). https://doi.org/10.3390/buildings13092172</w:t>
      </w:r>
    </w:p>
    <w:p w14:paraId="01D12FB0"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Uzunhasanoglu, T. (2015). </w:t>
      </w:r>
      <w:r w:rsidRPr="00E33C2B">
        <w:rPr>
          <w:rFonts w:cs="Times New Roman"/>
          <w:i/>
          <w:iCs/>
          <w:szCs w:val="22"/>
        </w:rPr>
        <w:t>DESIGN STRATEGIES FOR NATURAL VENTILATION IN SECONDARY SCHOOLS IN ISTANBUL</w:t>
      </w:r>
      <w:r w:rsidRPr="00E33C2B">
        <w:rPr>
          <w:rFonts w:cs="Times New Roman"/>
          <w:szCs w:val="22"/>
        </w:rPr>
        <w:t>.</w:t>
      </w:r>
    </w:p>
    <w:p w14:paraId="511F2C55"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Wang, B., &amp; Malkawi, A. (2019). Design-based natural ventilation evaluation in early stage for high performance buildings. </w:t>
      </w:r>
      <w:r w:rsidRPr="00E33C2B">
        <w:rPr>
          <w:rFonts w:cs="Times New Roman"/>
          <w:i/>
          <w:iCs/>
          <w:szCs w:val="22"/>
        </w:rPr>
        <w:t>Sustainable Cities and Society</w:t>
      </w:r>
      <w:r w:rsidRPr="00E33C2B">
        <w:rPr>
          <w:rFonts w:cs="Times New Roman"/>
          <w:szCs w:val="22"/>
        </w:rPr>
        <w:t xml:space="preserve">, </w:t>
      </w:r>
      <w:r w:rsidRPr="00E33C2B">
        <w:rPr>
          <w:rFonts w:cs="Times New Roman"/>
          <w:i/>
          <w:iCs/>
          <w:szCs w:val="22"/>
        </w:rPr>
        <w:t>45</w:t>
      </w:r>
      <w:r w:rsidRPr="00E33C2B">
        <w:rPr>
          <w:rFonts w:cs="Times New Roman"/>
          <w:szCs w:val="22"/>
        </w:rPr>
        <w:t>, 25–37. https://doi.org/10.1016/j.scs.2018.11.024</w:t>
      </w:r>
    </w:p>
    <w:p w14:paraId="33F497F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Wang, Y., Phipps, R., Boulic, M., Plagmann, M., Cunningham, C., &amp; Guyot, G. (2024). Retrofitting solar air heaters in New Zealand schools—A randomized crossover intervention study. </w:t>
      </w:r>
      <w:r w:rsidRPr="00E33C2B">
        <w:rPr>
          <w:rFonts w:cs="Times New Roman"/>
          <w:i/>
          <w:iCs/>
          <w:szCs w:val="22"/>
        </w:rPr>
        <w:t>BUILDING AND ENVIRONMENT</w:t>
      </w:r>
      <w:r w:rsidRPr="00E33C2B">
        <w:rPr>
          <w:rFonts w:cs="Times New Roman"/>
          <w:szCs w:val="22"/>
        </w:rPr>
        <w:t xml:space="preserve">, </w:t>
      </w:r>
      <w:r w:rsidRPr="00E33C2B">
        <w:rPr>
          <w:rFonts w:cs="Times New Roman"/>
          <w:i/>
          <w:iCs/>
          <w:szCs w:val="22"/>
        </w:rPr>
        <w:t>258</w:t>
      </w:r>
      <w:r w:rsidRPr="00E33C2B">
        <w:rPr>
          <w:rFonts w:cs="Times New Roman"/>
          <w:szCs w:val="22"/>
        </w:rPr>
        <w:t>. (WOS:001240943800001). https://doi.org/10.1016/j.buildenv.2024.111552</w:t>
      </w:r>
    </w:p>
    <w:p w14:paraId="4976BC77"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Yang, L., Liu, X., Qian, F., &amp; Du, S. (2019). Ventilation effect on different position of classrooms in “line” type teaching building. </w:t>
      </w:r>
      <w:r w:rsidRPr="00E33C2B">
        <w:rPr>
          <w:rFonts w:cs="Times New Roman"/>
          <w:i/>
          <w:iCs/>
          <w:szCs w:val="22"/>
        </w:rPr>
        <w:t>Journal of Cleaner Production</w:t>
      </w:r>
      <w:r w:rsidRPr="00E33C2B">
        <w:rPr>
          <w:rFonts w:cs="Times New Roman"/>
          <w:szCs w:val="22"/>
        </w:rPr>
        <w:t xml:space="preserve">, </w:t>
      </w:r>
      <w:r w:rsidRPr="00E33C2B">
        <w:rPr>
          <w:rFonts w:cs="Times New Roman"/>
          <w:i/>
          <w:iCs/>
          <w:szCs w:val="22"/>
        </w:rPr>
        <w:t>209</w:t>
      </w:r>
      <w:r w:rsidRPr="00E33C2B">
        <w:rPr>
          <w:rFonts w:cs="Times New Roman"/>
          <w:szCs w:val="22"/>
        </w:rPr>
        <w:t>, 886–902. https://doi.org/10.1016/j.jclepro.2018.10.228</w:t>
      </w:r>
    </w:p>
    <w:p w14:paraId="6B2903FC"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Yin, X., Muhieldeen, M., Razman, R., Ee, J., &amp; Chiong, M. (2024). The potential effects of window configuration and interior layout on natural ventilation buildings: A comprehensive review. </w:t>
      </w:r>
      <w:r w:rsidRPr="00E33C2B">
        <w:rPr>
          <w:rFonts w:cs="Times New Roman"/>
          <w:i/>
          <w:iCs/>
          <w:szCs w:val="22"/>
        </w:rPr>
        <w:t>CLEANER ENGINEERING AND TECHNOLOGY</w:t>
      </w:r>
      <w:r w:rsidRPr="00E33C2B">
        <w:rPr>
          <w:rFonts w:cs="Times New Roman"/>
          <w:szCs w:val="22"/>
        </w:rPr>
        <w:t xml:space="preserve">, </w:t>
      </w:r>
      <w:r w:rsidRPr="00E33C2B">
        <w:rPr>
          <w:rFonts w:cs="Times New Roman"/>
          <w:i/>
          <w:iCs/>
          <w:szCs w:val="22"/>
        </w:rPr>
        <w:t>23</w:t>
      </w:r>
      <w:r w:rsidRPr="00E33C2B">
        <w:rPr>
          <w:rFonts w:cs="Times New Roman"/>
          <w:szCs w:val="22"/>
        </w:rPr>
        <w:t>. (WOS:001346797300001). https://doi.org/10.1016/j.clet.2024.100830</w:t>
      </w:r>
    </w:p>
    <w:p w14:paraId="1F8AC3D3" w14:textId="77777777" w:rsidR="0097680B" w:rsidRPr="00E33C2B" w:rsidRDefault="0097680B" w:rsidP="0097680B">
      <w:pPr>
        <w:pStyle w:val="Bibliography"/>
        <w:bidi w:val="0"/>
        <w:spacing w:line="240" w:lineRule="auto"/>
        <w:ind w:left="0" w:hanging="284"/>
        <w:rPr>
          <w:rFonts w:cs="Times New Roman"/>
          <w:szCs w:val="22"/>
        </w:rPr>
      </w:pPr>
      <w:r w:rsidRPr="00E33C2B">
        <w:rPr>
          <w:rFonts w:cs="Times New Roman"/>
          <w:szCs w:val="22"/>
        </w:rPr>
        <w:t xml:space="preserve">Yuan, C. (2018). Natural Ventilation Modeling and Analysis for Climate-Sensitive Architecture Design. In C. Yuan, </w:t>
      </w:r>
      <w:r w:rsidRPr="00E33C2B">
        <w:rPr>
          <w:rFonts w:cs="Times New Roman"/>
          <w:i/>
          <w:iCs/>
          <w:szCs w:val="22"/>
        </w:rPr>
        <w:t>Urban Wind Environment</w:t>
      </w:r>
      <w:r w:rsidRPr="00E33C2B">
        <w:rPr>
          <w:rFonts w:cs="Times New Roman"/>
          <w:szCs w:val="22"/>
        </w:rPr>
        <w:t xml:space="preserve"> (pp. 101–114). Springer Singapore. https://doi.org/10.1007/978-981-10-5451-8_6</w:t>
      </w:r>
    </w:p>
    <w:p w14:paraId="29873112"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Zahedi, T. (2019). </w:t>
      </w:r>
      <w:r w:rsidRPr="00E33C2B">
        <w:rPr>
          <w:rStyle w:val="Emphasis"/>
          <w:sz w:val="22"/>
          <w:szCs w:val="22"/>
        </w:rPr>
        <w:t xml:space="preserve">Design of Fine Arts Conservatory for Girls with Approach to Architecture compatible to climate of Hormozgan province </w:t>
      </w:r>
      <w:r w:rsidRPr="00E33C2B">
        <w:rPr>
          <w:sz w:val="22"/>
          <w:szCs w:val="22"/>
        </w:rPr>
        <w:t xml:space="preserve"> (Master's thesis, Department of Engineering, Islamic Azad University, Bandar Abbas Branch, Bandar Abbas). [</w:t>
      </w:r>
      <w:r w:rsidRPr="00E33C2B">
        <w:rPr>
          <w:color w:val="FF0000"/>
          <w:sz w:val="22"/>
          <w:szCs w:val="22"/>
        </w:rPr>
        <w:t>in Persian</w:t>
      </w:r>
      <w:r w:rsidRPr="00E33C2B">
        <w:rPr>
          <w:sz w:val="22"/>
          <w:szCs w:val="22"/>
        </w:rPr>
        <w:t>]</w:t>
      </w:r>
    </w:p>
    <w:p w14:paraId="42725AF4" w14:textId="77777777" w:rsidR="0097680B" w:rsidRPr="00E33C2B" w:rsidRDefault="0097680B" w:rsidP="0097680B">
      <w:pPr>
        <w:pStyle w:val="NormalWeb"/>
        <w:spacing w:before="0" w:beforeAutospacing="0" w:after="0" w:afterAutospacing="0"/>
        <w:ind w:hanging="284"/>
        <w:jc w:val="both"/>
        <w:rPr>
          <w:sz w:val="22"/>
          <w:szCs w:val="22"/>
        </w:rPr>
      </w:pPr>
      <w:r w:rsidRPr="00E33C2B">
        <w:rPr>
          <w:sz w:val="22"/>
          <w:szCs w:val="22"/>
        </w:rPr>
        <w:t xml:space="preserve">Zomorodian, Z. S. (2012). </w:t>
      </w:r>
      <w:r w:rsidRPr="00E33C2B">
        <w:rPr>
          <w:i/>
          <w:iCs/>
          <w:sz w:val="22"/>
          <w:szCs w:val="22"/>
        </w:rPr>
        <w:t>ASSESSMENT OF ARCHITECTURE STRATEGIES TO REDUCE ENERGY CONSUMPTION IN SHIRAZ ELEMNTARY SCHOOLS</w:t>
      </w:r>
      <w:r w:rsidRPr="00E33C2B">
        <w:rPr>
          <w:sz w:val="22"/>
          <w:szCs w:val="22"/>
        </w:rPr>
        <w:t xml:space="preserve"> (Master's thesis, Faculty of Art and Architecture, Shiraz University, Shiraz). [</w:t>
      </w:r>
      <w:r w:rsidRPr="00E33C2B">
        <w:rPr>
          <w:color w:val="FF0000"/>
          <w:sz w:val="22"/>
          <w:szCs w:val="22"/>
        </w:rPr>
        <w:t>in Persian</w:t>
      </w:r>
      <w:r w:rsidRPr="00E33C2B">
        <w:rPr>
          <w:sz w:val="22"/>
          <w:szCs w:val="22"/>
        </w:rPr>
        <w:t>]</w:t>
      </w:r>
    </w:p>
    <w:p w14:paraId="38180D32" w14:textId="77777777" w:rsidR="0097680B" w:rsidRPr="0092355E" w:rsidRDefault="0097680B" w:rsidP="0097680B">
      <w:pPr>
        <w:pStyle w:val="NormalWeb"/>
        <w:spacing w:before="0" w:after="0" w:line="480" w:lineRule="auto"/>
        <w:rPr>
          <w:b/>
          <w:bCs/>
          <w:sz w:val="22"/>
          <w:szCs w:val="22"/>
        </w:rPr>
      </w:pPr>
      <w:r w:rsidRPr="00E33C2B">
        <w:rPr>
          <w:b/>
          <w:bCs/>
          <w:sz w:val="22"/>
          <w:szCs w:val="22"/>
        </w:rPr>
        <w:fldChar w:fldCharType="end"/>
      </w:r>
      <w:r>
        <w:rPr>
          <w:rFonts w:eastAsiaTheme="minorHAnsi"/>
          <w:sz w:val="22"/>
        </w:rPr>
        <w:t xml:space="preserve">  </w:t>
      </w:r>
      <w:r w:rsidRPr="0092355E">
        <w:rPr>
          <w:b/>
          <w:bCs/>
          <w:sz w:val="22"/>
          <w:szCs w:val="22"/>
        </w:rPr>
        <w:t>TABLES</w:t>
      </w:r>
    </w:p>
    <w:p w14:paraId="0DBF06BE" w14:textId="77777777" w:rsidR="0097680B" w:rsidRPr="00C76E65" w:rsidRDefault="0097680B" w:rsidP="0097680B">
      <w:pPr>
        <w:pStyle w:val="Caption"/>
        <w:keepNext/>
        <w:spacing w:after="0" w:line="480" w:lineRule="auto"/>
        <w:jc w:val="center"/>
        <w:rPr>
          <w:rFonts w:ascii="Times New Roman" w:hAnsi="Times New Roman" w:cs="Times New Roman"/>
          <w:sz w:val="22"/>
          <w:szCs w:val="22"/>
        </w:rPr>
      </w:pPr>
      <w:r w:rsidRPr="00E6594C">
        <w:rPr>
          <w:rStyle w:val="Strong"/>
          <w:rFonts w:ascii="Times New Roman" w:hAnsi="Times New Roman" w:cs="Times New Roman"/>
          <w:sz w:val="22"/>
          <w:szCs w:val="22"/>
        </w:rPr>
        <w:t>Table 1.</w:t>
      </w:r>
      <w:r w:rsidRPr="00E6594C">
        <w:rPr>
          <w:rFonts w:ascii="Times New Roman" w:hAnsi="Times New Roman" w:cs="Times New Roman"/>
          <w:sz w:val="22"/>
          <w:szCs w:val="22"/>
        </w:rPr>
        <w:t xml:space="preserve"> Rubric criteria and scoring (ΣC1–C5) used for screening and prioritizing case-study candidates.</w:t>
      </w:r>
    </w:p>
    <w:tbl>
      <w:tblPr>
        <w:tblStyle w:val="GridTable1Light"/>
        <w:tblW w:w="0" w:type="auto"/>
        <w:jc w:val="center"/>
        <w:tblLook w:val="04A0" w:firstRow="1" w:lastRow="0" w:firstColumn="1" w:lastColumn="0" w:noHBand="0" w:noVBand="1"/>
      </w:tblPr>
      <w:tblGrid>
        <w:gridCol w:w="2529"/>
        <w:gridCol w:w="1830"/>
        <w:gridCol w:w="2200"/>
        <w:gridCol w:w="2501"/>
      </w:tblGrid>
      <w:tr w:rsidR="0097680B" w:rsidRPr="00A7615D" w14:paraId="78AFA0BF" w14:textId="77777777" w:rsidTr="002824A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7256C0" w14:textId="77777777" w:rsidR="0097680B" w:rsidRPr="00A7615D" w:rsidRDefault="0097680B" w:rsidP="002824AF">
            <w:pPr>
              <w:jc w:val="center"/>
              <w:rPr>
                <w:rFonts w:asciiTheme="majorBidi" w:hAnsiTheme="majorBidi" w:cstheme="majorBidi"/>
                <w:sz w:val="20"/>
                <w:szCs w:val="24"/>
              </w:rPr>
            </w:pPr>
            <w:r w:rsidRPr="00A7615D">
              <w:rPr>
                <w:rFonts w:asciiTheme="majorBidi" w:hAnsiTheme="majorBidi" w:cstheme="majorBidi"/>
                <w:bCs w:val="0"/>
                <w:sz w:val="20"/>
                <w:szCs w:val="24"/>
              </w:rPr>
              <w:t>Criterion</w:t>
            </w:r>
          </w:p>
        </w:tc>
        <w:tc>
          <w:tcPr>
            <w:tcW w:w="0" w:type="auto"/>
            <w:hideMark/>
          </w:tcPr>
          <w:p w14:paraId="6176F8A3"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Score 0</w:t>
            </w:r>
          </w:p>
        </w:tc>
        <w:tc>
          <w:tcPr>
            <w:tcW w:w="0" w:type="auto"/>
            <w:hideMark/>
          </w:tcPr>
          <w:p w14:paraId="2C2D6CD8"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Score 1</w:t>
            </w:r>
          </w:p>
        </w:tc>
        <w:tc>
          <w:tcPr>
            <w:tcW w:w="0" w:type="auto"/>
            <w:hideMark/>
          </w:tcPr>
          <w:p w14:paraId="65B555F6"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Score 2</w:t>
            </w:r>
          </w:p>
        </w:tc>
      </w:tr>
      <w:tr w:rsidR="0097680B" w:rsidRPr="00A7615D" w14:paraId="32485526"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B6AC30"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C1. Driving force &amp; principle clarity</w:t>
            </w:r>
          </w:p>
        </w:tc>
        <w:tc>
          <w:tcPr>
            <w:tcW w:w="0" w:type="auto"/>
            <w:hideMark/>
          </w:tcPr>
          <w:p w14:paraId="6EF85705"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Not stated / unclear</w:t>
            </w:r>
          </w:p>
        </w:tc>
        <w:tc>
          <w:tcPr>
            <w:tcW w:w="0" w:type="auto"/>
            <w:hideMark/>
          </w:tcPr>
          <w:p w14:paraId="482F53C0"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Partially stated</w:t>
            </w:r>
          </w:p>
        </w:tc>
        <w:tc>
          <w:tcPr>
            <w:tcW w:w="0" w:type="auto"/>
            <w:hideMark/>
          </w:tcPr>
          <w:p w14:paraId="5AACCD2E"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Explicit (wind/stack/hybrid + principle)</w:t>
            </w:r>
          </w:p>
        </w:tc>
      </w:tr>
      <w:tr w:rsidR="0097680B" w:rsidRPr="00A7615D" w14:paraId="37A50A75"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F75AD0" w14:textId="77777777" w:rsidR="0097680B" w:rsidRPr="00A7615D" w:rsidRDefault="0097680B" w:rsidP="002824AF">
            <w:pPr>
              <w:jc w:val="center"/>
              <w:rPr>
                <w:rFonts w:asciiTheme="majorBidi" w:hAnsiTheme="majorBidi" w:cstheme="majorBidi"/>
                <w:sz w:val="20"/>
                <w:szCs w:val="24"/>
              </w:rPr>
            </w:pPr>
            <w:r w:rsidRPr="00A7615D">
              <w:rPr>
                <w:rStyle w:val="Strong"/>
                <w:rFonts w:asciiTheme="majorBidi" w:hAnsiTheme="majorBidi" w:cstheme="majorBidi"/>
                <w:sz w:val="20"/>
                <w:szCs w:val="24"/>
              </w:rPr>
              <w:t>C2. Architectural traceability</w:t>
            </w:r>
          </w:p>
        </w:tc>
        <w:tc>
          <w:tcPr>
            <w:tcW w:w="0" w:type="auto"/>
            <w:hideMark/>
          </w:tcPr>
          <w:p w14:paraId="7B63A664"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No usable drawings/air-path</w:t>
            </w:r>
          </w:p>
        </w:tc>
        <w:tc>
          <w:tcPr>
            <w:tcW w:w="0" w:type="auto"/>
            <w:hideMark/>
          </w:tcPr>
          <w:p w14:paraId="38F3397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Some drawings, limited traceability</w:t>
            </w:r>
          </w:p>
        </w:tc>
        <w:tc>
          <w:tcPr>
            <w:tcW w:w="0" w:type="auto"/>
            <w:hideMark/>
          </w:tcPr>
          <w:p w14:paraId="65EFB2A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Clear plans/sections/air-path diagrams</w:t>
            </w:r>
          </w:p>
        </w:tc>
      </w:tr>
      <w:tr w:rsidR="0097680B" w:rsidRPr="00A7615D" w14:paraId="4706E032"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8EEBEA" w14:textId="77777777" w:rsidR="0097680B" w:rsidRPr="00A7615D" w:rsidRDefault="0097680B" w:rsidP="002824AF">
            <w:pPr>
              <w:jc w:val="center"/>
              <w:rPr>
                <w:rFonts w:asciiTheme="majorBidi" w:hAnsiTheme="majorBidi" w:cstheme="majorBidi"/>
                <w:sz w:val="20"/>
                <w:szCs w:val="24"/>
              </w:rPr>
            </w:pPr>
            <w:r w:rsidRPr="00A7615D">
              <w:rPr>
                <w:rStyle w:val="Strong"/>
                <w:rFonts w:asciiTheme="majorBidi" w:hAnsiTheme="majorBidi" w:cstheme="majorBidi"/>
                <w:sz w:val="20"/>
                <w:szCs w:val="24"/>
              </w:rPr>
              <w:t>C3. Quantitative/validated evidence</w:t>
            </w:r>
          </w:p>
        </w:tc>
        <w:tc>
          <w:tcPr>
            <w:tcW w:w="0" w:type="auto"/>
            <w:hideMark/>
          </w:tcPr>
          <w:p w14:paraId="72FD5FCC"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None</w:t>
            </w:r>
          </w:p>
        </w:tc>
        <w:tc>
          <w:tcPr>
            <w:tcW w:w="0" w:type="auto"/>
            <w:hideMark/>
          </w:tcPr>
          <w:p w14:paraId="7D51159C"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Indirect/limited</w:t>
            </w:r>
          </w:p>
        </w:tc>
        <w:tc>
          <w:tcPr>
            <w:tcW w:w="0" w:type="auto"/>
            <w:hideMark/>
          </w:tcPr>
          <w:p w14:paraId="2AB6EF4B"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Measured or simulation-validated</w:t>
            </w:r>
          </w:p>
        </w:tc>
      </w:tr>
      <w:tr w:rsidR="0097680B" w:rsidRPr="00A7615D" w14:paraId="7D2D9D7B"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DD3B0BC" w14:textId="77777777" w:rsidR="0097680B" w:rsidRPr="00A7615D" w:rsidRDefault="0097680B" w:rsidP="002824AF">
            <w:pPr>
              <w:jc w:val="center"/>
              <w:rPr>
                <w:rFonts w:asciiTheme="majorBidi" w:hAnsiTheme="majorBidi" w:cstheme="majorBidi"/>
                <w:sz w:val="20"/>
                <w:szCs w:val="24"/>
              </w:rPr>
            </w:pPr>
            <w:r w:rsidRPr="00A7615D">
              <w:rPr>
                <w:rStyle w:val="Strong"/>
                <w:rFonts w:asciiTheme="majorBidi" w:hAnsiTheme="majorBidi" w:cstheme="majorBidi"/>
                <w:sz w:val="20"/>
                <w:szCs w:val="24"/>
              </w:rPr>
              <w:t>C4. Operation/control traceability</w:t>
            </w:r>
          </w:p>
        </w:tc>
        <w:tc>
          <w:tcPr>
            <w:tcW w:w="0" w:type="auto"/>
            <w:hideMark/>
          </w:tcPr>
          <w:p w14:paraId="6D2FFC94"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Not reported</w:t>
            </w:r>
          </w:p>
        </w:tc>
        <w:tc>
          <w:tcPr>
            <w:tcW w:w="0" w:type="auto"/>
            <w:hideMark/>
          </w:tcPr>
          <w:p w14:paraId="64F9A356"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Partial qualitative description</w:t>
            </w:r>
          </w:p>
        </w:tc>
        <w:tc>
          <w:tcPr>
            <w:tcW w:w="0" w:type="auto"/>
            <w:hideMark/>
          </w:tcPr>
          <w:p w14:paraId="57FC17E5"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Clear operational/control logic</w:t>
            </w:r>
          </w:p>
        </w:tc>
      </w:tr>
      <w:tr w:rsidR="0097680B" w:rsidRPr="00A7615D" w14:paraId="58B30854"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FF6A19" w14:textId="77777777" w:rsidR="0097680B" w:rsidRPr="00A7615D" w:rsidRDefault="0097680B" w:rsidP="002824AF">
            <w:pPr>
              <w:jc w:val="center"/>
              <w:rPr>
                <w:rFonts w:asciiTheme="majorBidi" w:hAnsiTheme="majorBidi" w:cstheme="majorBidi"/>
                <w:sz w:val="20"/>
                <w:szCs w:val="24"/>
              </w:rPr>
            </w:pPr>
            <w:r w:rsidRPr="00A7615D">
              <w:rPr>
                <w:rStyle w:val="Strong"/>
                <w:rFonts w:asciiTheme="majorBidi" w:hAnsiTheme="majorBidi" w:cstheme="majorBidi"/>
                <w:sz w:val="20"/>
                <w:szCs w:val="24"/>
              </w:rPr>
              <w:t>C5. Transferability</w:t>
            </w:r>
          </w:p>
        </w:tc>
        <w:tc>
          <w:tcPr>
            <w:tcW w:w="0" w:type="auto"/>
            <w:hideMark/>
          </w:tcPr>
          <w:p w14:paraId="36962902"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Low</w:t>
            </w:r>
          </w:p>
        </w:tc>
        <w:tc>
          <w:tcPr>
            <w:tcW w:w="0" w:type="auto"/>
            <w:hideMark/>
          </w:tcPr>
          <w:p w14:paraId="39B0091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Medium</w:t>
            </w:r>
          </w:p>
        </w:tc>
        <w:tc>
          <w:tcPr>
            <w:tcW w:w="0" w:type="auto"/>
            <w:hideMark/>
          </w:tcPr>
          <w:p w14:paraId="3159AF9E"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High; explicit design implications</w:t>
            </w:r>
          </w:p>
        </w:tc>
      </w:tr>
    </w:tbl>
    <w:p w14:paraId="675366BD" w14:textId="77777777" w:rsidR="0097680B" w:rsidRPr="00625BC2" w:rsidRDefault="0097680B" w:rsidP="0097680B">
      <w:pPr>
        <w:pStyle w:val="NormalWeb"/>
        <w:spacing w:before="0" w:after="0" w:line="480" w:lineRule="auto"/>
        <w:jc w:val="both"/>
        <w:rPr>
          <w:sz w:val="22"/>
          <w:szCs w:val="22"/>
        </w:rPr>
      </w:pPr>
    </w:p>
    <w:p w14:paraId="059953E7" w14:textId="77777777" w:rsidR="0097680B" w:rsidRPr="00E6594C" w:rsidRDefault="0097680B" w:rsidP="0097680B">
      <w:pPr>
        <w:pStyle w:val="Caption"/>
        <w:keepNext/>
        <w:spacing w:after="0" w:line="480" w:lineRule="auto"/>
        <w:jc w:val="center"/>
        <w:rPr>
          <w:rFonts w:ascii="Times New Roman" w:hAnsi="Times New Roman" w:cs="Times New Roman"/>
        </w:rPr>
      </w:pPr>
      <w:r w:rsidRPr="00E6594C">
        <w:rPr>
          <w:rStyle w:val="Strong"/>
          <w:rFonts w:ascii="Times New Roman" w:hAnsi="Times New Roman" w:cs="Times New Roman"/>
          <w:sz w:val="22"/>
          <w:szCs w:val="22"/>
        </w:rPr>
        <w:lastRenderedPageBreak/>
        <w:t>Table 2.</w:t>
      </w:r>
      <w:r w:rsidRPr="00E6594C">
        <w:rPr>
          <w:rFonts w:ascii="Times New Roman" w:hAnsi="Times New Roman" w:cs="Times New Roman"/>
          <w:sz w:val="22"/>
          <w:szCs w:val="22"/>
        </w:rPr>
        <w:t xml:space="preserve"> Final school cases retained for in-depth comparative analysis (rubric-selected precedents): code, case (school/project), main evidence in source, score (ΣC1–C5), and sources.</w:t>
      </w:r>
    </w:p>
    <w:tbl>
      <w:tblPr>
        <w:tblStyle w:val="GridTable1Light"/>
        <w:tblW w:w="9296" w:type="dxa"/>
        <w:jc w:val="center"/>
        <w:tblLook w:val="04A0" w:firstRow="1" w:lastRow="0" w:firstColumn="1" w:lastColumn="0" w:noHBand="0" w:noVBand="1"/>
      </w:tblPr>
      <w:tblGrid>
        <w:gridCol w:w="661"/>
        <w:gridCol w:w="2433"/>
        <w:gridCol w:w="2977"/>
        <w:gridCol w:w="1724"/>
        <w:gridCol w:w="1501"/>
      </w:tblGrid>
      <w:tr w:rsidR="0097680B" w:rsidRPr="00A7615D" w14:paraId="184C331C" w14:textId="77777777" w:rsidTr="002824A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348654" w14:textId="77777777" w:rsidR="0097680B" w:rsidRPr="00A7615D" w:rsidRDefault="0097680B" w:rsidP="002824AF">
            <w:pPr>
              <w:jc w:val="center"/>
              <w:rPr>
                <w:rFonts w:asciiTheme="majorBidi" w:hAnsiTheme="majorBidi" w:cstheme="majorBidi"/>
                <w:b w:val="0"/>
                <w:bCs w:val="0"/>
                <w:sz w:val="20"/>
                <w:szCs w:val="24"/>
              </w:rPr>
            </w:pPr>
            <w:r w:rsidRPr="00A7615D">
              <w:rPr>
                <w:rFonts w:asciiTheme="majorBidi" w:hAnsiTheme="majorBidi" w:cstheme="majorBidi"/>
                <w:bCs w:val="0"/>
                <w:sz w:val="20"/>
                <w:szCs w:val="24"/>
              </w:rPr>
              <w:t>Code</w:t>
            </w:r>
          </w:p>
        </w:tc>
        <w:tc>
          <w:tcPr>
            <w:tcW w:w="2433" w:type="dxa"/>
            <w:hideMark/>
          </w:tcPr>
          <w:p w14:paraId="08123450"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Case (School/Project)</w:t>
            </w:r>
          </w:p>
        </w:tc>
        <w:tc>
          <w:tcPr>
            <w:tcW w:w="2977" w:type="dxa"/>
            <w:hideMark/>
          </w:tcPr>
          <w:p w14:paraId="3D6D94D7"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Main evidence in source</w:t>
            </w:r>
          </w:p>
        </w:tc>
        <w:tc>
          <w:tcPr>
            <w:tcW w:w="1724" w:type="dxa"/>
            <w:hideMark/>
          </w:tcPr>
          <w:p w14:paraId="2FF3C34A"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Score (ΣC1–C5)</w:t>
            </w:r>
          </w:p>
        </w:tc>
        <w:tc>
          <w:tcPr>
            <w:tcW w:w="0" w:type="auto"/>
            <w:hideMark/>
          </w:tcPr>
          <w:p w14:paraId="3597B6CA"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4"/>
              </w:rPr>
            </w:pPr>
            <w:r w:rsidRPr="00A7615D">
              <w:rPr>
                <w:rFonts w:asciiTheme="majorBidi" w:hAnsiTheme="majorBidi" w:cstheme="majorBidi"/>
                <w:bCs w:val="0"/>
                <w:sz w:val="20"/>
                <w:szCs w:val="24"/>
              </w:rPr>
              <w:t>Source(s)</w:t>
            </w:r>
          </w:p>
        </w:tc>
      </w:tr>
      <w:tr w:rsidR="0097680B" w:rsidRPr="00A7615D" w14:paraId="4FAEFDF6"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5176D7"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CS1</w:t>
            </w:r>
          </w:p>
        </w:tc>
        <w:tc>
          <w:tcPr>
            <w:tcW w:w="2433" w:type="dxa"/>
            <w:hideMark/>
          </w:tcPr>
          <w:p w14:paraId="5648DC6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Evangelical Comprehensive School</w:t>
            </w:r>
          </w:p>
        </w:tc>
        <w:tc>
          <w:tcPr>
            <w:tcW w:w="2977" w:type="dxa"/>
            <w:hideMark/>
          </w:tcPr>
          <w:p w14:paraId="443BAA57"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(plans/sections + NV narrative)</w:t>
            </w:r>
          </w:p>
        </w:tc>
        <w:tc>
          <w:tcPr>
            <w:tcW w:w="1724" w:type="dxa"/>
            <w:hideMark/>
          </w:tcPr>
          <w:p w14:paraId="4002A66B"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9</w:t>
            </w:r>
          </w:p>
        </w:tc>
        <w:tc>
          <w:tcPr>
            <w:tcW w:w="0" w:type="auto"/>
            <w:hideMark/>
          </w:tcPr>
          <w:p w14:paraId="40B7366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Kleiven (2003)</w:t>
            </w:r>
          </w:p>
        </w:tc>
      </w:tr>
      <w:tr w:rsidR="0097680B" w:rsidRPr="00A7615D" w14:paraId="7AA6AC7D"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519977"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CS2</w:t>
            </w:r>
          </w:p>
        </w:tc>
        <w:tc>
          <w:tcPr>
            <w:tcW w:w="2433" w:type="dxa"/>
            <w:hideMark/>
          </w:tcPr>
          <w:p w14:paraId="60792E90"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Waldorf School</w:t>
            </w:r>
          </w:p>
        </w:tc>
        <w:tc>
          <w:tcPr>
            <w:tcW w:w="2977" w:type="dxa"/>
            <w:hideMark/>
          </w:tcPr>
          <w:p w14:paraId="23FC3D54"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(plans/sections + NV narrative)</w:t>
            </w:r>
          </w:p>
        </w:tc>
        <w:tc>
          <w:tcPr>
            <w:tcW w:w="1724" w:type="dxa"/>
            <w:hideMark/>
          </w:tcPr>
          <w:p w14:paraId="1EC9926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8</w:t>
            </w:r>
          </w:p>
        </w:tc>
        <w:tc>
          <w:tcPr>
            <w:tcW w:w="0" w:type="auto"/>
            <w:hideMark/>
          </w:tcPr>
          <w:p w14:paraId="3601B5C2"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Kleiven (2003)</w:t>
            </w:r>
          </w:p>
        </w:tc>
      </w:tr>
      <w:tr w:rsidR="0097680B" w:rsidRPr="00A7615D" w14:paraId="66C03AB2"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342F85"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CS3</w:t>
            </w:r>
          </w:p>
        </w:tc>
        <w:tc>
          <w:tcPr>
            <w:tcW w:w="2433" w:type="dxa"/>
            <w:hideMark/>
          </w:tcPr>
          <w:p w14:paraId="580FE1BF"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Jaer School</w:t>
            </w:r>
          </w:p>
        </w:tc>
        <w:tc>
          <w:tcPr>
            <w:tcW w:w="2977" w:type="dxa"/>
            <w:hideMark/>
          </w:tcPr>
          <w:p w14:paraId="745453D2"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 operational/quantitative evidence used for strengthening</w:t>
            </w:r>
          </w:p>
        </w:tc>
        <w:tc>
          <w:tcPr>
            <w:tcW w:w="1724" w:type="dxa"/>
            <w:hideMark/>
          </w:tcPr>
          <w:p w14:paraId="62208DA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8</w:t>
            </w:r>
          </w:p>
        </w:tc>
        <w:tc>
          <w:tcPr>
            <w:tcW w:w="0" w:type="auto"/>
            <w:hideMark/>
          </w:tcPr>
          <w:p w14:paraId="15E7554D"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Kleiven (2003)</w:t>
            </w:r>
          </w:p>
        </w:tc>
      </w:tr>
      <w:tr w:rsidR="0097680B" w:rsidRPr="00A7615D" w14:paraId="0B3A0C1E"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98A2B1"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CS4</w:t>
            </w:r>
          </w:p>
        </w:tc>
        <w:tc>
          <w:tcPr>
            <w:tcW w:w="2433" w:type="dxa"/>
            <w:hideMark/>
          </w:tcPr>
          <w:p w14:paraId="35A64CF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Tredal School</w:t>
            </w:r>
          </w:p>
        </w:tc>
        <w:tc>
          <w:tcPr>
            <w:tcW w:w="2977" w:type="dxa"/>
            <w:hideMark/>
          </w:tcPr>
          <w:p w14:paraId="47E2C870"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(plans/sections + NV narrative)</w:t>
            </w:r>
          </w:p>
        </w:tc>
        <w:tc>
          <w:tcPr>
            <w:tcW w:w="1724" w:type="dxa"/>
            <w:hideMark/>
          </w:tcPr>
          <w:p w14:paraId="6230596F"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7</w:t>
            </w:r>
          </w:p>
        </w:tc>
        <w:tc>
          <w:tcPr>
            <w:tcW w:w="0" w:type="auto"/>
            <w:hideMark/>
          </w:tcPr>
          <w:p w14:paraId="73E3F4FA"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Kleiven (2003)</w:t>
            </w:r>
          </w:p>
        </w:tc>
      </w:tr>
      <w:tr w:rsidR="0097680B" w:rsidRPr="00A7615D" w14:paraId="1F712D2C"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EF8096"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CS5</w:t>
            </w:r>
          </w:p>
        </w:tc>
        <w:tc>
          <w:tcPr>
            <w:tcW w:w="2433" w:type="dxa"/>
            <w:hideMark/>
          </w:tcPr>
          <w:p w14:paraId="1B24E25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Tånga School</w:t>
            </w:r>
          </w:p>
        </w:tc>
        <w:tc>
          <w:tcPr>
            <w:tcW w:w="2977" w:type="dxa"/>
            <w:hideMark/>
          </w:tcPr>
          <w:p w14:paraId="710C1A5D"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(plans/sections + NV narrative)</w:t>
            </w:r>
          </w:p>
        </w:tc>
        <w:tc>
          <w:tcPr>
            <w:tcW w:w="1724" w:type="dxa"/>
            <w:hideMark/>
          </w:tcPr>
          <w:p w14:paraId="785C5E2A"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9</w:t>
            </w:r>
          </w:p>
        </w:tc>
        <w:tc>
          <w:tcPr>
            <w:tcW w:w="0" w:type="auto"/>
            <w:hideMark/>
          </w:tcPr>
          <w:p w14:paraId="0A955F2E"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Awbi (2008)</w:t>
            </w:r>
          </w:p>
        </w:tc>
      </w:tr>
      <w:tr w:rsidR="0097680B" w:rsidRPr="00A7615D" w14:paraId="6759D501"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DEB312"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CS6</w:t>
            </w:r>
          </w:p>
        </w:tc>
        <w:tc>
          <w:tcPr>
            <w:tcW w:w="2433" w:type="dxa"/>
            <w:hideMark/>
          </w:tcPr>
          <w:p w14:paraId="21889B5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Mediå School</w:t>
            </w:r>
          </w:p>
        </w:tc>
        <w:tc>
          <w:tcPr>
            <w:tcW w:w="2977" w:type="dxa"/>
            <w:hideMark/>
          </w:tcPr>
          <w:p w14:paraId="10BB7434"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Diagrams/sections showing supply/extract paths</w:t>
            </w:r>
          </w:p>
        </w:tc>
        <w:tc>
          <w:tcPr>
            <w:tcW w:w="1724" w:type="dxa"/>
            <w:hideMark/>
          </w:tcPr>
          <w:p w14:paraId="0265B97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8</w:t>
            </w:r>
          </w:p>
        </w:tc>
        <w:tc>
          <w:tcPr>
            <w:tcW w:w="0" w:type="auto"/>
            <w:hideMark/>
          </w:tcPr>
          <w:p w14:paraId="138819FE"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Kleiven (2003)</w:t>
            </w:r>
          </w:p>
        </w:tc>
      </w:tr>
      <w:tr w:rsidR="0097680B" w:rsidRPr="00A7615D" w14:paraId="2EA287F5"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4D6CE3" w14:textId="77777777" w:rsidR="0097680B" w:rsidRPr="00A7615D" w:rsidRDefault="0097680B" w:rsidP="002824AF">
            <w:pPr>
              <w:jc w:val="center"/>
              <w:rPr>
                <w:rFonts w:asciiTheme="majorBidi" w:hAnsiTheme="majorBidi" w:cstheme="majorBidi"/>
                <w:b w:val="0"/>
                <w:bCs w:val="0"/>
                <w:sz w:val="20"/>
                <w:szCs w:val="24"/>
              </w:rPr>
            </w:pPr>
            <w:r w:rsidRPr="00A7615D">
              <w:rPr>
                <w:rStyle w:val="Strong"/>
                <w:rFonts w:asciiTheme="majorBidi" w:hAnsiTheme="majorBidi" w:cstheme="majorBidi"/>
                <w:sz w:val="20"/>
                <w:szCs w:val="24"/>
              </w:rPr>
              <w:t>CS7</w:t>
            </w:r>
          </w:p>
        </w:tc>
        <w:tc>
          <w:tcPr>
            <w:tcW w:w="2433" w:type="dxa"/>
            <w:hideMark/>
          </w:tcPr>
          <w:p w14:paraId="4157456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 xml:space="preserve">Charles de Gaulle High School </w:t>
            </w:r>
          </w:p>
        </w:tc>
        <w:tc>
          <w:tcPr>
            <w:tcW w:w="2977" w:type="dxa"/>
            <w:hideMark/>
          </w:tcPr>
          <w:p w14:paraId="4C0DC9CB"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Fonts w:asciiTheme="majorBidi" w:hAnsiTheme="majorBidi" w:cstheme="majorBidi"/>
                <w:sz w:val="20"/>
                <w:szCs w:val="24"/>
              </w:rPr>
              <w:t>Case-study set (plans/sections + NV narrative)</w:t>
            </w:r>
          </w:p>
        </w:tc>
        <w:tc>
          <w:tcPr>
            <w:tcW w:w="1724" w:type="dxa"/>
            <w:hideMark/>
          </w:tcPr>
          <w:p w14:paraId="480360FD"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8</w:t>
            </w:r>
          </w:p>
        </w:tc>
        <w:tc>
          <w:tcPr>
            <w:tcW w:w="0" w:type="auto"/>
            <w:hideMark/>
          </w:tcPr>
          <w:p w14:paraId="44ACA77F"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4"/>
              </w:rPr>
            </w:pPr>
            <w:r w:rsidRPr="00A7615D">
              <w:rPr>
                <w:rStyle w:val="Strong"/>
                <w:rFonts w:asciiTheme="majorBidi" w:hAnsiTheme="majorBidi" w:cstheme="majorBidi"/>
                <w:b w:val="0"/>
                <w:bCs w:val="0"/>
                <w:sz w:val="20"/>
                <w:szCs w:val="24"/>
              </w:rPr>
              <w:t>Passe &amp; Battaglia (2015)</w:t>
            </w:r>
          </w:p>
        </w:tc>
      </w:tr>
    </w:tbl>
    <w:p w14:paraId="2C468D29" w14:textId="77777777" w:rsidR="0097680B" w:rsidRDefault="0097680B" w:rsidP="0097680B">
      <w:pPr>
        <w:pStyle w:val="Heading2"/>
        <w:spacing w:before="0" w:after="0" w:line="480" w:lineRule="auto"/>
        <w:jc w:val="both"/>
        <w:rPr>
          <w:sz w:val="22"/>
          <w:szCs w:val="22"/>
        </w:rPr>
      </w:pPr>
    </w:p>
    <w:p w14:paraId="29A2187D" w14:textId="77777777" w:rsidR="0097680B" w:rsidRPr="00E677A3" w:rsidRDefault="0097680B" w:rsidP="0097680B">
      <w:pPr>
        <w:pStyle w:val="Caption"/>
        <w:keepNext/>
        <w:spacing w:after="0" w:line="480" w:lineRule="auto"/>
        <w:jc w:val="center"/>
        <w:rPr>
          <w:rFonts w:ascii="Times New Roman" w:hAnsi="Times New Roman" w:cs="Times New Roman"/>
          <w:sz w:val="22"/>
          <w:szCs w:val="22"/>
        </w:rPr>
      </w:pPr>
      <w:r w:rsidRPr="00E677A3">
        <w:rPr>
          <w:rStyle w:val="Strong"/>
          <w:rFonts w:ascii="Times New Roman" w:hAnsi="Times New Roman" w:cs="Times New Roman"/>
          <w:sz w:val="22"/>
          <w:szCs w:val="22"/>
        </w:rPr>
        <w:t>Table 3. Operational dimensions and defining variables used to specify natural ventilation (NV) concepts in school classrooms.</w:t>
      </w:r>
      <w:r w:rsidRPr="00E677A3">
        <w:rPr>
          <w:rFonts w:ascii="Times New Roman" w:hAnsi="Times New Roman" w:cs="Times New Roman"/>
          <w:sz w:val="22"/>
          <w:szCs w:val="22"/>
        </w:rPr>
        <w:br/>
      </w:r>
      <w:r w:rsidRPr="00E677A3">
        <w:rPr>
          <w:rStyle w:val="Emphasis"/>
          <w:rFonts w:ascii="Times New Roman" w:hAnsi="Times New Roman" w:cs="Times New Roman"/>
          <w:sz w:val="22"/>
          <w:szCs w:val="22"/>
        </w:rPr>
        <w:t>(Adapted from Awbi, 2008; Kleiven, 2003.)</w:t>
      </w:r>
    </w:p>
    <w:tbl>
      <w:tblPr>
        <w:tblStyle w:val="GridTable1Light"/>
        <w:tblW w:w="0" w:type="auto"/>
        <w:jc w:val="center"/>
        <w:tblLook w:val="04A0" w:firstRow="1" w:lastRow="0" w:firstColumn="1" w:lastColumn="0" w:noHBand="0" w:noVBand="1"/>
      </w:tblPr>
      <w:tblGrid>
        <w:gridCol w:w="2972"/>
        <w:gridCol w:w="6088"/>
      </w:tblGrid>
      <w:tr w:rsidR="0097680B" w:rsidRPr="00A7615D" w14:paraId="42888DB8" w14:textId="77777777" w:rsidTr="002824A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4A924EE6"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Operational dimension</w:t>
            </w:r>
          </w:p>
        </w:tc>
        <w:tc>
          <w:tcPr>
            <w:tcW w:w="6088" w:type="dxa"/>
            <w:hideMark/>
          </w:tcPr>
          <w:p w14:paraId="69E99F13"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Defining variable(s)</w:t>
            </w:r>
          </w:p>
        </w:tc>
      </w:tr>
      <w:tr w:rsidR="0097680B" w:rsidRPr="00A7615D" w14:paraId="51D23932"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0BB1A251"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Natural driving force</w:t>
            </w:r>
          </w:p>
        </w:tc>
        <w:tc>
          <w:tcPr>
            <w:tcW w:w="6088" w:type="dxa"/>
            <w:hideMark/>
          </w:tcPr>
          <w:p w14:paraId="38ACA211"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Wind; Thermal buoyancy</w:t>
            </w:r>
          </w:p>
        </w:tc>
      </w:tr>
      <w:tr w:rsidR="0097680B" w:rsidRPr="00A7615D" w14:paraId="78771939"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08E916E6"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Ventilation principle </w:t>
            </w:r>
          </w:p>
        </w:tc>
        <w:tc>
          <w:tcPr>
            <w:tcW w:w="6088" w:type="dxa"/>
            <w:hideMark/>
          </w:tcPr>
          <w:p w14:paraId="71201FF6"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Single-sided; Cross; Stack </w:t>
            </w:r>
          </w:p>
        </w:tc>
      </w:tr>
      <w:tr w:rsidR="0097680B" w:rsidRPr="00A7615D" w14:paraId="1D5B8458"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0C0F9F77"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Air distribution principle</w:t>
            </w:r>
          </w:p>
        </w:tc>
        <w:tc>
          <w:tcPr>
            <w:tcW w:w="6088" w:type="dxa"/>
            <w:hideMark/>
          </w:tcPr>
          <w:p w14:paraId="4E65402B"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Mixing; Displacement</w:t>
            </w:r>
          </w:p>
        </w:tc>
      </w:tr>
      <w:tr w:rsidR="0097680B" w:rsidRPr="00A7615D" w14:paraId="2EDB61A5"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5AF0EBD3"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Characteristic ventilation elements</w:t>
            </w:r>
          </w:p>
        </w:tc>
        <w:tc>
          <w:tcPr>
            <w:tcW w:w="6088" w:type="dxa"/>
            <w:hideMark/>
          </w:tcPr>
          <w:p w14:paraId="6793DEE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Ventilation openings in the facade (windows);</w:t>
            </w:r>
            <w:r w:rsidRPr="00A7615D">
              <w:rPr>
                <w:rFonts w:ascii="Times New Roman" w:hAnsi="Times New Roman"/>
                <w:sz w:val="20"/>
                <w:szCs w:val="24"/>
              </w:rPr>
              <w:t xml:space="preserve"> </w:t>
            </w:r>
            <w:r w:rsidRPr="00A7615D">
              <w:rPr>
                <w:rFonts w:ascii="Times New Roman" w:eastAsia="Times New Roman" w:hAnsi="Times New Roman" w:cs="Times New Roman"/>
                <w:kern w:val="0"/>
                <w:sz w:val="20"/>
                <w:szCs w:val="24"/>
                <w14:ligatures w14:val="none"/>
              </w:rPr>
              <w:t>Wind scoop; Windcatcher; Wind tower; Chimney / Solar chimney; Double facade; Atrium; Ventilation chamber; Embedded duct</w:t>
            </w:r>
          </w:p>
        </w:tc>
      </w:tr>
      <w:tr w:rsidR="0097680B" w:rsidRPr="00A7615D" w14:paraId="3AAE3819"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313DB7FB"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Building geometry</w:t>
            </w:r>
          </w:p>
        </w:tc>
        <w:tc>
          <w:tcPr>
            <w:tcW w:w="6088" w:type="dxa"/>
            <w:hideMark/>
          </w:tcPr>
          <w:p w14:paraId="27C7E52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Low-rise; Mid-rise; High-rise; Compact; Dispersed</w:t>
            </w:r>
          </w:p>
        </w:tc>
      </w:tr>
      <w:tr w:rsidR="0097680B" w:rsidRPr="00A7615D" w14:paraId="6CA09C20"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2972" w:type="dxa"/>
            <w:hideMark/>
          </w:tcPr>
          <w:p w14:paraId="48AADC64"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Supply and exhaust air paths</w:t>
            </w:r>
          </w:p>
        </w:tc>
        <w:tc>
          <w:tcPr>
            <w:tcW w:w="6088" w:type="dxa"/>
            <w:hideMark/>
          </w:tcPr>
          <w:p w14:paraId="5DD5C2D7"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rtl/>
                <w:lang w:bidi="fa-IR"/>
                <w14:ligatures w14:val="none"/>
              </w:rPr>
            </w:pPr>
            <w:r w:rsidRPr="00A7615D">
              <w:rPr>
                <w:rFonts w:ascii="Times New Roman" w:eastAsia="Times New Roman" w:hAnsi="Times New Roman" w:cs="Times New Roman"/>
                <w:kern w:val="0"/>
                <w:sz w:val="20"/>
                <w:szCs w:val="24"/>
                <w14:ligatures w14:val="none"/>
              </w:rPr>
              <w:t>Local; Central</w:t>
            </w:r>
          </w:p>
        </w:tc>
      </w:tr>
    </w:tbl>
    <w:p w14:paraId="689278A6" w14:textId="77777777" w:rsidR="0097680B" w:rsidRDefault="0097680B" w:rsidP="0097680B">
      <w:pPr>
        <w:pStyle w:val="Heading2"/>
        <w:spacing w:before="0" w:after="0" w:line="480" w:lineRule="auto"/>
        <w:jc w:val="both"/>
        <w:rPr>
          <w:sz w:val="22"/>
          <w:szCs w:val="22"/>
        </w:rPr>
      </w:pPr>
    </w:p>
    <w:p w14:paraId="562B706A" w14:textId="77777777" w:rsidR="0097680B" w:rsidRPr="008E6C5C" w:rsidRDefault="0097680B" w:rsidP="0097680B">
      <w:pPr>
        <w:pStyle w:val="Caption"/>
        <w:keepNext/>
        <w:spacing w:after="0" w:line="480" w:lineRule="auto"/>
        <w:jc w:val="center"/>
        <w:rPr>
          <w:rFonts w:asciiTheme="majorBidi" w:hAnsiTheme="majorBidi" w:cstheme="majorBidi"/>
          <w:sz w:val="22"/>
          <w:szCs w:val="22"/>
        </w:rPr>
      </w:pPr>
      <w:r w:rsidRPr="008E6C5C">
        <w:rPr>
          <w:rStyle w:val="Strong"/>
          <w:rFonts w:asciiTheme="majorBidi" w:hAnsiTheme="majorBidi" w:cstheme="majorBidi"/>
          <w:sz w:val="22"/>
          <w:szCs w:val="22"/>
        </w:rPr>
        <w:lastRenderedPageBreak/>
        <w:t>Table 4. Natural ventilation (NV) principles in buildings and rule-of-thumb depth/geometry constraints for early design.</w:t>
      </w:r>
      <w:r w:rsidRPr="008E6C5C">
        <w:rPr>
          <w:rFonts w:asciiTheme="majorBidi" w:hAnsiTheme="majorBidi" w:cstheme="majorBidi"/>
          <w:sz w:val="22"/>
          <w:szCs w:val="22"/>
        </w:rPr>
        <w:br/>
      </w:r>
      <w:r w:rsidRPr="008E6C5C">
        <w:rPr>
          <w:rStyle w:val="Emphasis"/>
          <w:rFonts w:asciiTheme="majorBidi" w:hAnsiTheme="majorBidi" w:cstheme="majorBidi"/>
          <w:sz w:val="22"/>
          <w:szCs w:val="22"/>
        </w:rPr>
        <w:t>(Adapted from CIBSE, 2005, pp. 15–16.)</w:t>
      </w:r>
    </w:p>
    <w:tbl>
      <w:tblPr>
        <w:tblStyle w:val="GridTable1Light"/>
        <w:tblW w:w="0" w:type="auto"/>
        <w:jc w:val="center"/>
        <w:tblLayout w:type="fixed"/>
        <w:tblLook w:val="04A0" w:firstRow="1" w:lastRow="0" w:firstColumn="1" w:lastColumn="0" w:noHBand="0" w:noVBand="1"/>
      </w:tblPr>
      <w:tblGrid>
        <w:gridCol w:w="1585"/>
        <w:gridCol w:w="2805"/>
        <w:gridCol w:w="2895"/>
        <w:gridCol w:w="1775"/>
      </w:tblGrid>
      <w:tr w:rsidR="0097680B" w:rsidRPr="00A7615D" w14:paraId="6F51DA75" w14:textId="77777777" w:rsidTr="002824A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5B8472DD"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Principle / NV strategy</w:t>
            </w:r>
          </w:p>
        </w:tc>
        <w:tc>
          <w:tcPr>
            <w:tcW w:w="2805" w:type="dxa"/>
            <w:vAlign w:val="center"/>
          </w:tcPr>
          <w:p w14:paraId="033778C2"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4"/>
                <w14:ligatures w14:val="none"/>
              </w:rPr>
            </w:pPr>
          </w:p>
        </w:tc>
        <w:tc>
          <w:tcPr>
            <w:tcW w:w="2895" w:type="dxa"/>
            <w:vAlign w:val="center"/>
            <w:hideMark/>
          </w:tcPr>
          <w:p w14:paraId="0220503F"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Description (design logic)</w:t>
            </w:r>
          </w:p>
        </w:tc>
        <w:tc>
          <w:tcPr>
            <w:tcW w:w="1775" w:type="dxa"/>
            <w:vAlign w:val="center"/>
            <w:hideMark/>
          </w:tcPr>
          <w:p w14:paraId="2CB322FC" w14:textId="77777777" w:rsidR="0097680B" w:rsidRPr="00A7615D" w:rsidRDefault="0097680B" w:rsidP="002824A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Rule-of-thumb / key notes</w:t>
            </w:r>
          </w:p>
        </w:tc>
      </w:tr>
      <w:tr w:rsidR="0097680B" w:rsidRPr="00A7615D" w14:paraId="5CDDA15A"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3236A68D"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Single-sided ventilation (one facade opening)</w:t>
            </w:r>
          </w:p>
        </w:tc>
        <w:tc>
          <w:tcPr>
            <w:tcW w:w="2805" w:type="dxa"/>
            <w:vAlign w:val="center"/>
          </w:tcPr>
          <w:p w14:paraId="75A0465C"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2C1957BF" wp14:editId="634802D7">
                  <wp:extent cx="1761845" cy="9688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71277" cy="974014"/>
                          </a:xfrm>
                          <a:prstGeom prst="rect">
                            <a:avLst/>
                          </a:prstGeom>
                        </pic:spPr>
                      </pic:pic>
                    </a:graphicData>
                  </a:graphic>
                </wp:inline>
              </w:drawing>
            </w:r>
          </w:p>
        </w:tc>
        <w:tc>
          <w:tcPr>
            <w:tcW w:w="2895" w:type="dxa"/>
            <w:vAlign w:val="center"/>
            <w:hideMark/>
          </w:tcPr>
          <w:p w14:paraId="20B84124"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Primary drivers are typically </w:t>
            </w:r>
            <w:r w:rsidRPr="00A7615D">
              <w:rPr>
                <w:rFonts w:ascii="Times New Roman" w:eastAsia="Times New Roman" w:hAnsi="Times New Roman" w:cs="Times New Roman"/>
                <w:b/>
                <w:bCs/>
                <w:kern w:val="0"/>
                <w:sz w:val="20"/>
                <w:szCs w:val="24"/>
                <w14:ligatures w14:val="none"/>
              </w:rPr>
              <w:t>buoyancy in colder periods</w:t>
            </w:r>
            <w:r w:rsidRPr="00A7615D">
              <w:rPr>
                <w:rFonts w:ascii="Times New Roman" w:eastAsia="Times New Roman" w:hAnsi="Times New Roman" w:cs="Times New Roman"/>
                <w:kern w:val="0"/>
                <w:sz w:val="20"/>
                <w:szCs w:val="24"/>
                <w14:ligatures w14:val="none"/>
              </w:rPr>
              <w:t xml:space="preserve"> and </w:t>
            </w:r>
            <w:r w:rsidRPr="00A7615D">
              <w:rPr>
                <w:rFonts w:ascii="Times New Roman" w:eastAsia="Times New Roman" w:hAnsi="Times New Roman" w:cs="Times New Roman"/>
                <w:b/>
                <w:bCs/>
                <w:kern w:val="0"/>
                <w:sz w:val="20"/>
                <w:szCs w:val="24"/>
                <w14:ligatures w14:val="none"/>
              </w:rPr>
              <w:t>wind-induced exchange in warmer periods</w:t>
            </w:r>
            <w:r w:rsidRPr="00A7615D">
              <w:rPr>
                <w:rFonts w:ascii="Times New Roman" w:eastAsia="Times New Roman" w:hAnsi="Times New Roman" w:cs="Times New Roman"/>
                <w:kern w:val="0"/>
                <w:sz w:val="20"/>
                <w:szCs w:val="24"/>
                <w14:ligatures w14:val="none"/>
              </w:rPr>
              <w:t>. Compared with other modes, air-change rates are usually lower and fresh air penetrates a limited depth.</w:t>
            </w:r>
          </w:p>
        </w:tc>
        <w:tc>
          <w:tcPr>
            <w:tcW w:w="1775" w:type="dxa"/>
            <w:vAlign w:val="center"/>
            <w:hideMark/>
          </w:tcPr>
          <w:p w14:paraId="57A7D685"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Effective depth for meaningful ventilation is typically </w:t>
            </w:r>
            <w:r w:rsidRPr="00A7615D">
              <w:rPr>
                <w:rFonts w:ascii="Times New Roman" w:eastAsia="Times New Roman" w:hAnsi="Times New Roman" w:cs="Times New Roman"/>
                <w:b/>
                <w:bCs/>
                <w:kern w:val="0"/>
                <w:sz w:val="20"/>
                <w:szCs w:val="24"/>
                <w14:ligatures w14:val="none"/>
              </w:rPr>
              <w:t>≈ 2H</w:t>
            </w:r>
            <w:r w:rsidRPr="00A7615D">
              <w:rPr>
                <w:rFonts w:ascii="Times New Roman" w:eastAsia="Times New Roman" w:hAnsi="Times New Roman" w:cs="Times New Roman"/>
                <w:kern w:val="0"/>
                <w:sz w:val="20"/>
                <w:szCs w:val="24"/>
                <w14:ligatures w14:val="none"/>
              </w:rPr>
              <w:t xml:space="preserve"> (H = floor-to-ceiling height).</w:t>
            </w:r>
          </w:p>
        </w:tc>
      </w:tr>
      <w:tr w:rsidR="0097680B" w:rsidRPr="00A7615D" w14:paraId="05276714"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3D83EF42"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Enhanced single-sided (two vertically separated openings on the same facade; stack-assisted)</w:t>
            </w:r>
          </w:p>
        </w:tc>
        <w:tc>
          <w:tcPr>
            <w:tcW w:w="2805" w:type="dxa"/>
            <w:vAlign w:val="center"/>
          </w:tcPr>
          <w:p w14:paraId="097E909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5CA1E4BF" wp14:editId="49D149C7">
                  <wp:extent cx="1732499" cy="9525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48323" cy="961200"/>
                          </a:xfrm>
                          <a:prstGeom prst="rect">
                            <a:avLst/>
                          </a:prstGeom>
                        </pic:spPr>
                      </pic:pic>
                    </a:graphicData>
                  </a:graphic>
                </wp:inline>
              </w:drawing>
            </w:r>
          </w:p>
        </w:tc>
        <w:tc>
          <w:tcPr>
            <w:tcW w:w="2895" w:type="dxa"/>
            <w:vAlign w:val="center"/>
            <w:hideMark/>
          </w:tcPr>
          <w:p w14:paraId="577DD3FC"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Ventilation rate can increase due to a stronger stack effect and larger vertical separation between openings; fresh-air penetration improves when a clear low-inlet / high-relief route exists.</w:t>
            </w:r>
          </w:p>
        </w:tc>
        <w:tc>
          <w:tcPr>
            <w:tcW w:w="1775" w:type="dxa"/>
            <w:vAlign w:val="center"/>
            <w:hideMark/>
          </w:tcPr>
          <w:p w14:paraId="113A504D"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Effective depth may extend to </w:t>
            </w:r>
            <w:r w:rsidRPr="00A7615D">
              <w:rPr>
                <w:rFonts w:ascii="Times New Roman" w:eastAsia="Times New Roman" w:hAnsi="Times New Roman" w:cs="Times New Roman"/>
                <w:b/>
                <w:bCs/>
                <w:kern w:val="0"/>
                <w:sz w:val="20"/>
                <w:szCs w:val="24"/>
                <w14:ligatures w14:val="none"/>
              </w:rPr>
              <w:t>≈ 2.5H</w:t>
            </w:r>
            <w:r w:rsidRPr="00A7615D">
              <w:rPr>
                <w:rFonts w:ascii="Times New Roman" w:eastAsia="Times New Roman" w:hAnsi="Times New Roman" w:cs="Times New Roman"/>
                <w:kern w:val="0"/>
                <w:sz w:val="20"/>
                <w:szCs w:val="24"/>
                <w14:ligatures w14:val="none"/>
              </w:rPr>
              <w:t xml:space="preserve">, provided the </w:t>
            </w:r>
            <w:r w:rsidRPr="00A7615D">
              <w:rPr>
                <w:rFonts w:ascii="Times New Roman" w:eastAsia="Times New Roman" w:hAnsi="Times New Roman" w:cs="Times New Roman"/>
                <w:b/>
                <w:bCs/>
                <w:kern w:val="0"/>
                <w:sz w:val="20"/>
                <w:szCs w:val="24"/>
                <w14:ligatures w14:val="none"/>
              </w:rPr>
              <w:t>transfer path</w:t>
            </w:r>
            <w:r w:rsidRPr="00A7615D">
              <w:rPr>
                <w:rFonts w:ascii="Times New Roman" w:eastAsia="Times New Roman" w:hAnsi="Times New Roman" w:cs="Times New Roman"/>
                <w:kern w:val="0"/>
                <w:sz w:val="20"/>
                <w:szCs w:val="24"/>
                <w14:ligatures w14:val="none"/>
              </w:rPr>
              <w:t xml:space="preserve"> between low-level supply and high-level relief is not obstructed.</w:t>
            </w:r>
          </w:p>
        </w:tc>
      </w:tr>
      <w:tr w:rsidR="0097680B" w:rsidRPr="00A7615D" w14:paraId="0F667E7A"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53AA1A38"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Cross-ventilation (through-flow between opposite openings)</w:t>
            </w:r>
          </w:p>
        </w:tc>
        <w:tc>
          <w:tcPr>
            <w:tcW w:w="2805" w:type="dxa"/>
            <w:vAlign w:val="center"/>
          </w:tcPr>
          <w:p w14:paraId="3FBCB9C6"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7D0841B0" wp14:editId="40CCFA71">
                  <wp:extent cx="1720565"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28989" cy="918877"/>
                          </a:xfrm>
                          <a:prstGeom prst="rect">
                            <a:avLst/>
                          </a:prstGeom>
                        </pic:spPr>
                      </pic:pic>
                    </a:graphicData>
                  </a:graphic>
                </wp:inline>
              </w:drawing>
            </w:r>
          </w:p>
        </w:tc>
        <w:tc>
          <w:tcPr>
            <w:tcW w:w="2895" w:type="dxa"/>
            <w:vAlign w:val="center"/>
            <w:hideMark/>
          </w:tcPr>
          <w:p w14:paraId="462FBC31"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Main driver is </w:t>
            </w:r>
            <w:r w:rsidRPr="00A7615D">
              <w:rPr>
                <w:rFonts w:ascii="Times New Roman" w:eastAsia="Times New Roman" w:hAnsi="Times New Roman" w:cs="Times New Roman"/>
                <w:b/>
                <w:bCs/>
                <w:kern w:val="0"/>
                <w:sz w:val="20"/>
                <w:szCs w:val="24"/>
                <w14:ligatures w14:val="none"/>
              </w:rPr>
              <w:t>pressure difference</w:t>
            </w:r>
            <w:r w:rsidRPr="00A7615D">
              <w:rPr>
                <w:rFonts w:ascii="Times New Roman" w:eastAsia="Times New Roman" w:hAnsi="Times New Roman" w:cs="Times New Roman"/>
                <w:kern w:val="0"/>
                <w:sz w:val="20"/>
                <w:szCs w:val="24"/>
                <w14:ligatures w14:val="none"/>
              </w:rPr>
              <w:t xml:space="preserve"> between inlet and outlet openings. Performance can be strong under favorable wind exposure but is sensitive to wind direction changes and internal resistance.</w:t>
            </w:r>
          </w:p>
        </w:tc>
        <w:tc>
          <w:tcPr>
            <w:tcW w:w="1775" w:type="dxa"/>
            <w:vAlign w:val="center"/>
            <w:hideMark/>
          </w:tcPr>
          <w:p w14:paraId="305386C8"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Maximum practical distance between inlet and outlet façades is commonly </w:t>
            </w:r>
            <w:r w:rsidRPr="00A7615D">
              <w:rPr>
                <w:rFonts w:ascii="Times New Roman" w:eastAsia="Times New Roman" w:hAnsi="Times New Roman" w:cs="Times New Roman"/>
                <w:b/>
                <w:bCs/>
                <w:kern w:val="0"/>
                <w:sz w:val="20"/>
                <w:szCs w:val="24"/>
                <w14:ligatures w14:val="none"/>
              </w:rPr>
              <w:t>≈ 5H</w:t>
            </w:r>
            <w:r w:rsidRPr="00A7615D">
              <w:rPr>
                <w:rFonts w:ascii="Times New Roman" w:eastAsia="Times New Roman" w:hAnsi="Times New Roman" w:cs="Times New Roman"/>
                <w:kern w:val="0"/>
                <w:sz w:val="20"/>
                <w:szCs w:val="24"/>
                <w14:ligatures w14:val="none"/>
              </w:rPr>
              <w:t>. For deeper plans, use narrower blocks / linear forms or courtyard-assisted layouts.</w:t>
            </w:r>
          </w:p>
        </w:tc>
      </w:tr>
      <w:tr w:rsidR="0097680B" w:rsidRPr="00A7615D" w14:paraId="5827201B"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6A0EBD4C"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Windcatcher (wind tower / wind-driven intake)</w:t>
            </w:r>
          </w:p>
        </w:tc>
        <w:tc>
          <w:tcPr>
            <w:tcW w:w="2805" w:type="dxa"/>
            <w:vAlign w:val="center"/>
          </w:tcPr>
          <w:p w14:paraId="5281088A"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12B0A47C" wp14:editId="1DA2DDF3">
                  <wp:extent cx="1741442" cy="10722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47596" cy="1076031"/>
                          </a:xfrm>
                          <a:prstGeom prst="rect">
                            <a:avLst/>
                          </a:prstGeom>
                        </pic:spPr>
                      </pic:pic>
                    </a:graphicData>
                  </a:graphic>
                </wp:inline>
              </w:drawing>
            </w:r>
          </w:p>
        </w:tc>
        <w:tc>
          <w:tcPr>
            <w:tcW w:w="2895" w:type="dxa"/>
            <w:vAlign w:val="center"/>
            <w:hideMark/>
          </w:tcPr>
          <w:p w14:paraId="3B31809B"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A windcatcher captures higher-level winds (higher dynamic pressure), supplying additional driving pressure to move air through the building toward leeward exhaust.</w:t>
            </w:r>
          </w:p>
        </w:tc>
        <w:tc>
          <w:tcPr>
            <w:tcW w:w="1775" w:type="dxa"/>
            <w:vAlign w:val="center"/>
            <w:hideMark/>
          </w:tcPr>
          <w:p w14:paraId="751F986A"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Best when </w:t>
            </w:r>
            <w:r w:rsidRPr="00A7615D">
              <w:rPr>
                <w:rFonts w:ascii="Times New Roman" w:eastAsia="Times New Roman" w:hAnsi="Times New Roman" w:cs="Times New Roman"/>
                <w:b/>
                <w:bCs/>
                <w:kern w:val="0"/>
                <w:sz w:val="20"/>
                <w:szCs w:val="24"/>
                <w14:ligatures w14:val="none"/>
              </w:rPr>
              <w:t>prevailing wind direction is reasonably stable</w:t>
            </w:r>
            <w:r w:rsidRPr="00A7615D">
              <w:rPr>
                <w:rFonts w:ascii="Times New Roman" w:eastAsia="Times New Roman" w:hAnsi="Times New Roman" w:cs="Times New Roman"/>
                <w:kern w:val="0"/>
                <w:sz w:val="20"/>
                <w:szCs w:val="24"/>
                <w14:ligatures w14:val="none"/>
              </w:rPr>
              <w:t xml:space="preserve">. For variable winds, consider </w:t>
            </w:r>
            <w:r w:rsidRPr="00A7615D">
              <w:rPr>
                <w:rFonts w:ascii="Times New Roman" w:eastAsia="Times New Roman" w:hAnsi="Times New Roman" w:cs="Times New Roman"/>
                <w:b/>
                <w:bCs/>
                <w:kern w:val="0"/>
                <w:sz w:val="20"/>
                <w:szCs w:val="24"/>
                <w14:ligatures w14:val="none"/>
              </w:rPr>
              <w:t>multi-directional intakes</w:t>
            </w:r>
            <w:r w:rsidRPr="00A7615D">
              <w:rPr>
                <w:rFonts w:ascii="Times New Roman" w:eastAsia="Times New Roman" w:hAnsi="Times New Roman" w:cs="Times New Roman"/>
                <w:kern w:val="0"/>
                <w:sz w:val="20"/>
                <w:szCs w:val="24"/>
                <w14:ligatures w14:val="none"/>
              </w:rPr>
              <w:t xml:space="preserve"> and control measures to reduce short-circuiting.</w:t>
            </w:r>
          </w:p>
        </w:tc>
      </w:tr>
      <w:tr w:rsidR="0097680B" w:rsidRPr="00A7615D" w14:paraId="4ED4B3C8"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7007808D"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Roof ventilator (modern roof-mounted windcatcher / roof cowl)</w:t>
            </w:r>
          </w:p>
        </w:tc>
        <w:tc>
          <w:tcPr>
            <w:tcW w:w="2805" w:type="dxa"/>
            <w:vAlign w:val="center"/>
          </w:tcPr>
          <w:p w14:paraId="6ADB8BC5"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0C296FE6" wp14:editId="2CB67C02">
                  <wp:extent cx="1436914" cy="14496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53365" cy="1466228"/>
                          </a:xfrm>
                          <a:prstGeom prst="rect">
                            <a:avLst/>
                          </a:prstGeom>
                        </pic:spPr>
                      </pic:pic>
                    </a:graphicData>
                  </a:graphic>
                </wp:inline>
              </w:drawing>
            </w:r>
          </w:p>
        </w:tc>
        <w:tc>
          <w:tcPr>
            <w:tcW w:w="2895" w:type="dxa"/>
            <w:vAlign w:val="center"/>
            <w:hideMark/>
          </w:tcPr>
          <w:p w14:paraId="038DE9CC"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Uses pressure differences around the roof to </w:t>
            </w:r>
            <w:r w:rsidRPr="00A7615D">
              <w:rPr>
                <w:rFonts w:ascii="Times New Roman" w:eastAsia="Times New Roman" w:hAnsi="Times New Roman" w:cs="Times New Roman"/>
                <w:b/>
                <w:bCs/>
                <w:kern w:val="0"/>
                <w:sz w:val="20"/>
                <w:szCs w:val="24"/>
                <w14:ligatures w14:val="none"/>
              </w:rPr>
              <w:t>drive supply and exhaust</w:t>
            </w:r>
            <w:r w:rsidRPr="00A7615D">
              <w:rPr>
                <w:rFonts w:ascii="Times New Roman" w:eastAsia="Times New Roman" w:hAnsi="Times New Roman" w:cs="Times New Roman"/>
                <w:kern w:val="0"/>
                <w:sz w:val="20"/>
                <w:szCs w:val="24"/>
                <w14:ligatures w14:val="none"/>
              </w:rPr>
              <w:t xml:space="preserve"> via a roof unit; flow can be moderated by dampers; air distribution can be improved with diffuser details.</w:t>
            </w:r>
          </w:p>
        </w:tc>
        <w:tc>
          <w:tcPr>
            <w:tcW w:w="1775" w:type="dxa"/>
            <w:vAlign w:val="center"/>
            <w:hideMark/>
          </w:tcPr>
          <w:p w14:paraId="764EF9DE"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Useful for improving roof-level driving forces; requires attention to </w:t>
            </w:r>
            <w:r w:rsidRPr="00A7615D">
              <w:rPr>
                <w:rFonts w:ascii="Times New Roman" w:eastAsia="Times New Roman" w:hAnsi="Times New Roman" w:cs="Times New Roman"/>
                <w:b/>
                <w:bCs/>
                <w:kern w:val="0"/>
                <w:sz w:val="20"/>
                <w:szCs w:val="24"/>
                <w14:ligatures w14:val="none"/>
              </w:rPr>
              <w:t>control and distribution</w:t>
            </w:r>
            <w:r w:rsidRPr="00A7615D">
              <w:rPr>
                <w:rFonts w:ascii="Times New Roman" w:eastAsia="Times New Roman" w:hAnsi="Times New Roman" w:cs="Times New Roman"/>
                <w:kern w:val="0"/>
                <w:sz w:val="20"/>
                <w:szCs w:val="24"/>
                <w14:ligatures w14:val="none"/>
              </w:rPr>
              <w:t xml:space="preserve"> to avoid drafts/short-circuiting.</w:t>
            </w:r>
          </w:p>
        </w:tc>
      </w:tr>
      <w:tr w:rsidR="0097680B" w:rsidRPr="00A7615D" w14:paraId="61DA9F24"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5101DC7E"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lastRenderedPageBreak/>
              <w:t>Earth-to-air / buried duct ventilation</w:t>
            </w:r>
          </w:p>
        </w:tc>
        <w:tc>
          <w:tcPr>
            <w:tcW w:w="2805" w:type="dxa"/>
            <w:vAlign w:val="center"/>
          </w:tcPr>
          <w:p w14:paraId="4F74A9A3"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6FC02E11" wp14:editId="3AB43E1C">
                  <wp:extent cx="1725386" cy="1050883"/>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50433" cy="1066139"/>
                          </a:xfrm>
                          <a:prstGeom prst="rect">
                            <a:avLst/>
                          </a:prstGeom>
                        </pic:spPr>
                      </pic:pic>
                    </a:graphicData>
                  </a:graphic>
                </wp:inline>
              </w:drawing>
            </w:r>
          </w:p>
        </w:tc>
        <w:tc>
          <w:tcPr>
            <w:tcW w:w="2895" w:type="dxa"/>
            <w:vAlign w:val="center"/>
            <w:hideMark/>
          </w:tcPr>
          <w:p w14:paraId="499CA037"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Brings outdoor air via </w:t>
            </w:r>
            <w:r w:rsidRPr="00A7615D">
              <w:rPr>
                <w:rFonts w:ascii="Times New Roman" w:eastAsia="Times New Roman" w:hAnsi="Times New Roman" w:cs="Times New Roman"/>
                <w:b/>
                <w:bCs/>
                <w:kern w:val="0"/>
                <w:sz w:val="20"/>
                <w:szCs w:val="24"/>
                <w14:ligatures w14:val="none"/>
              </w:rPr>
              <w:t>buried ducts</w:t>
            </w:r>
            <w:r w:rsidRPr="00A7615D">
              <w:rPr>
                <w:rFonts w:ascii="Times New Roman" w:eastAsia="Times New Roman" w:hAnsi="Times New Roman" w:cs="Times New Roman"/>
                <w:kern w:val="0"/>
                <w:sz w:val="20"/>
                <w:szCs w:val="24"/>
                <w14:ligatures w14:val="none"/>
              </w:rPr>
              <w:t xml:space="preserve"> to deeper interior zones (e.g., second row of classrooms) and can enable one-sided supply when one façade cannot be opened (pollution/noise constraints).</w:t>
            </w:r>
          </w:p>
        </w:tc>
        <w:tc>
          <w:tcPr>
            <w:tcW w:w="1775" w:type="dxa"/>
            <w:vAlign w:val="center"/>
            <w:hideMark/>
          </w:tcPr>
          <w:p w14:paraId="18BB3B32"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Because natural-driving pressures are small, duct design must minimize </w:t>
            </w:r>
            <w:r w:rsidRPr="00A7615D">
              <w:rPr>
                <w:rFonts w:ascii="Times New Roman" w:eastAsia="Times New Roman" w:hAnsi="Times New Roman" w:cs="Times New Roman"/>
                <w:b/>
                <w:bCs/>
                <w:kern w:val="0"/>
                <w:sz w:val="20"/>
                <w:szCs w:val="24"/>
                <w14:ligatures w14:val="none"/>
              </w:rPr>
              <w:t>pressure losses</w:t>
            </w:r>
            <w:r w:rsidRPr="00A7615D">
              <w:rPr>
                <w:rFonts w:ascii="Times New Roman" w:eastAsia="Times New Roman" w:hAnsi="Times New Roman" w:cs="Times New Roman"/>
                <w:kern w:val="0"/>
                <w:sz w:val="20"/>
                <w:szCs w:val="24"/>
                <w14:ligatures w14:val="none"/>
              </w:rPr>
              <w:t xml:space="preserve"> (keep paths smooth/short, avoid excessive bends, size appropriately).</w:t>
            </w:r>
          </w:p>
        </w:tc>
      </w:tr>
      <w:tr w:rsidR="0097680B" w:rsidRPr="00A7615D" w14:paraId="2E35E2B5" w14:textId="77777777" w:rsidTr="002824AF">
        <w:trPr>
          <w:jc w:val="center"/>
        </w:trPr>
        <w:tc>
          <w:tcPr>
            <w:cnfStyle w:val="001000000000" w:firstRow="0" w:lastRow="0" w:firstColumn="1" w:lastColumn="0" w:oddVBand="0" w:evenVBand="0" w:oddHBand="0" w:evenHBand="0" w:firstRowFirstColumn="0" w:firstRowLastColumn="0" w:lastRowFirstColumn="0" w:lastRowLastColumn="0"/>
            <w:tcW w:w="1585" w:type="dxa"/>
            <w:vAlign w:val="center"/>
            <w:hideMark/>
          </w:tcPr>
          <w:p w14:paraId="1B1807D7" w14:textId="77777777" w:rsidR="0097680B" w:rsidRPr="00A7615D" w:rsidRDefault="0097680B" w:rsidP="002824AF">
            <w:pPr>
              <w:jc w:val="center"/>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Atrium-based stack ventilation (stack/solar-assisted via atrium)</w:t>
            </w:r>
          </w:p>
        </w:tc>
        <w:tc>
          <w:tcPr>
            <w:tcW w:w="2805" w:type="dxa"/>
            <w:vAlign w:val="center"/>
          </w:tcPr>
          <w:p w14:paraId="03F17BD5"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hAnsi="Times New Roman"/>
                <w:noProof/>
                <w:sz w:val="20"/>
                <w:szCs w:val="24"/>
              </w:rPr>
              <w:drawing>
                <wp:inline distT="0" distB="0" distL="0" distR="0" wp14:anchorId="2FBF7C6F" wp14:editId="60157402">
                  <wp:extent cx="1773828" cy="106747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98183" cy="1082130"/>
                          </a:xfrm>
                          <a:prstGeom prst="rect">
                            <a:avLst/>
                          </a:prstGeom>
                        </pic:spPr>
                      </pic:pic>
                    </a:graphicData>
                  </a:graphic>
                </wp:inline>
              </w:drawing>
            </w:r>
          </w:p>
        </w:tc>
        <w:tc>
          <w:tcPr>
            <w:tcW w:w="2895" w:type="dxa"/>
            <w:vAlign w:val="center"/>
            <w:hideMark/>
          </w:tcPr>
          <w:p w14:paraId="62283ABF"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Places openings at both low and high levels; buoyancy becomes the dominant driver, potentially enabling higher and steadier exhaust and greater penetration when air is transferred across/through the atrium.</w:t>
            </w:r>
          </w:p>
        </w:tc>
        <w:tc>
          <w:tcPr>
            <w:tcW w:w="1775" w:type="dxa"/>
            <w:vAlign w:val="center"/>
            <w:hideMark/>
          </w:tcPr>
          <w:p w14:paraId="3C629D36" w14:textId="77777777" w:rsidR="0097680B" w:rsidRPr="00A7615D" w:rsidRDefault="0097680B" w:rsidP="002824A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4"/>
                <w14:ligatures w14:val="none"/>
              </w:rPr>
            </w:pPr>
            <w:r w:rsidRPr="00A7615D">
              <w:rPr>
                <w:rFonts w:ascii="Times New Roman" w:eastAsia="Times New Roman" w:hAnsi="Times New Roman" w:cs="Times New Roman"/>
                <w:kern w:val="0"/>
                <w:sz w:val="20"/>
                <w:szCs w:val="24"/>
                <w14:ligatures w14:val="none"/>
              </w:rPr>
              <w:t xml:space="preserve">Can ventilate </w:t>
            </w:r>
            <w:r w:rsidRPr="00A7615D">
              <w:rPr>
                <w:rFonts w:ascii="Times New Roman" w:eastAsia="Times New Roman" w:hAnsi="Times New Roman" w:cs="Times New Roman"/>
                <w:b/>
                <w:bCs/>
                <w:kern w:val="0"/>
                <w:sz w:val="20"/>
                <w:szCs w:val="24"/>
                <w14:ligatures w14:val="none"/>
              </w:rPr>
              <w:t>greater plan depths</w:t>
            </w:r>
            <w:r w:rsidRPr="00A7615D">
              <w:rPr>
                <w:rFonts w:ascii="Times New Roman" w:eastAsia="Times New Roman" w:hAnsi="Times New Roman" w:cs="Times New Roman"/>
                <w:kern w:val="0"/>
                <w:sz w:val="20"/>
                <w:szCs w:val="24"/>
                <w14:ligatures w14:val="none"/>
              </w:rPr>
              <w:t xml:space="preserve"> when cross-transfer through the atrium is well defined and high-level relief is effective.</w:t>
            </w:r>
          </w:p>
        </w:tc>
      </w:tr>
    </w:tbl>
    <w:p w14:paraId="6446F52C" w14:textId="77777777" w:rsidR="0097680B" w:rsidRDefault="0097680B" w:rsidP="0097680B">
      <w:pPr>
        <w:pStyle w:val="Heading2"/>
        <w:spacing w:before="0" w:beforeAutospacing="0" w:after="0" w:afterAutospacing="0" w:line="480" w:lineRule="auto"/>
        <w:jc w:val="both"/>
        <w:rPr>
          <w:sz w:val="22"/>
          <w:szCs w:val="22"/>
        </w:rPr>
      </w:pPr>
    </w:p>
    <w:p w14:paraId="11387466" w14:textId="77777777" w:rsidR="0097680B" w:rsidRPr="00FA7A37" w:rsidRDefault="0097680B" w:rsidP="0097680B">
      <w:pPr>
        <w:spacing w:after="0" w:line="480" w:lineRule="auto"/>
        <w:jc w:val="center"/>
        <w:rPr>
          <w:sz w:val="24"/>
          <w:szCs w:val="24"/>
        </w:rPr>
      </w:pPr>
      <w:r w:rsidRPr="00FA7A37">
        <w:rPr>
          <w:rFonts w:ascii="Times New Roman" w:hAnsi="Times New Roman"/>
          <w:b/>
          <w:i/>
          <w:szCs w:val="24"/>
        </w:rPr>
        <w:t>Table 5. Iranian standards and guidance consolidated as architectural constraints for classroom natural ventilation.</w:t>
      </w:r>
    </w:p>
    <w:tbl>
      <w:tblPr>
        <w:tblStyle w:val="TableGrid"/>
        <w:tblW w:w="9072" w:type="dxa"/>
        <w:jc w:val="center"/>
        <w:tblLook w:val="04A0" w:firstRow="1" w:lastRow="0" w:firstColumn="1" w:lastColumn="0" w:noHBand="0" w:noVBand="1"/>
      </w:tblPr>
      <w:tblGrid>
        <w:gridCol w:w="1413"/>
        <w:gridCol w:w="3804"/>
        <w:gridCol w:w="1582"/>
        <w:gridCol w:w="2273"/>
      </w:tblGrid>
      <w:tr w:rsidR="0097680B" w:rsidRPr="00A7615D" w14:paraId="51BEB361" w14:textId="77777777" w:rsidTr="002824AF">
        <w:trPr>
          <w:tblHeader/>
          <w:jc w:val="center"/>
        </w:trPr>
        <w:tc>
          <w:tcPr>
            <w:tcW w:w="1413" w:type="dxa"/>
            <w:tcMar>
              <w:top w:w="80" w:type="dxa"/>
              <w:left w:w="80" w:type="dxa"/>
              <w:bottom w:w="80" w:type="dxa"/>
              <w:right w:w="80" w:type="dxa"/>
            </w:tcMar>
            <w:vAlign w:val="center"/>
          </w:tcPr>
          <w:p w14:paraId="3DD6379C" w14:textId="77777777" w:rsidR="0097680B" w:rsidRPr="00A7615D" w:rsidRDefault="0097680B" w:rsidP="002824AF">
            <w:pPr>
              <w:jc w:val="center"/>
              <w:rPr>
                <w:sz w:val="20"/>
                <w:szCs w:val="28"/>
              </w:rPr>
            </w:pPr>
            <w:r w:rsidRPr="00A7615D">
              <w:rPr>
                <w:rFonts w:ascii="Times New Roman" w:hAnsi="Times New Roman"/>
                <w:b/>
                <w:sz w:val="20"/>
                <w:szCs w:val="28"/>
              </w:rPr>
              <w:t>Design / operational issue</w:t>
            </w:r>
          </w:p>
        </w:tc>
        <w:tc>
          <w:tcPr>
            <w:tcW w:w="3804" w:type="dxa"/>
            <w:tcMar>
              <w:top w:w="80" w:type="dxa"/>
              <w:left w:w="80" w:type="dxa"/>
              <w:bottom w:w="80" w:type="dxa"/>
              <w:right w:w="80" w:type="dxa"/>
            </w:tcMar>
            <w:vAlign w:val="center"/>
          </w:tcPr>
          <w:p w14:paraId="5E202B3F" w14:textId="77777777" w:rsidR="0097680B" w:rsidRPr="00A7615D" w:rsidRDefault="0097680B" w:rsidP="002824AF">
            <w:pPr>
              <w:jc w:val="center"/>
              <w:rPr>
                <w:sz w:val="20"/>
                <w:szCs w:val="28"/>
              </w:rPr>
            </w:pPr>
            <w:r w:rsidRPr="00A7615D">
              <w:rPr>
                <w:rFonts w:ascii="Times New Roman" w:hAnsi="Times New Roman"/>
                <w:b/>
                <w:sz w:val="20"/>
                <w:szCs w:val="28"/>
              </w:rPr>
              <w:t>Benchmark or requirement</w:t>
            </w:r>
          </w:p>
        </w:tc>
        <w:tc>
          <w:tcPr>
            <w:tcW w:w="1582" w:type="dxa"/>
            <w:tcMar>
              <w:top w:w="80" w:type="dxa"/>
              <w:left w:w="80" w:type="dxa"/>
              <w:bottom w:w="80" w:type="dxa"/>
              <w:right w:w="80" w:type="dxa"/>
            </w:tcMar>
            <w:vAlign w:val="center"/>
          </w:tcPr>
          <w:p w14:paraId="1327E5FB" w14:textId="77777777" w:rsidR="0097680B" w:rsidRPr="00A7615D" w:rsidRDefault="0097680B" w:rsidP="002824AF">
            <w:pPr>
              <w:jc w:val="center"/>
              <w:rPr>
                <w:sz w:val="20"/>
                <w:szCs w:val="28"/>
              </w:rPr>
            </w:pPr>
            <w:r w:rsidRPr="00A7615D">
              <w:rPr>
                <w:rFonts w:ascii="Times New Roman" w:hAnsi="Times New Roman"/>
                <w:b/>
                <w:sz w:val="20"/>
                <w:szCs w:val="28"/>
              </w:rPr>
              <w:t>Source(s)</w:t>
            </w:r>
          </w:p>
        </w:tc>
        <w:tc>
          <w:tcPr>
            <w:tcW w:w="2273" w:type="dxa"/>
            <w:tcMar>
              <w:top w:w="80" w:type="dxa"/>
              <w:left w:w="80" w:type="dxa"/>
              <w:bottom w:w="80" w:type="dxa"/>
              <w:right w:w="80" w:type="dxa"/>
            </w:tcMar>
            <w:vAlign w:val="center"/>
          </w:tcPr>
          <w:p w14:paraId="7CAE9CB4" w14:textId="77777777" w:rsidR="0097680B" w:rsidRPr="00A7615D" w:rsidRDefault="0097680B" w:rsidP="002824AF">
            <w:pPr>
              <w:jc w:val="center"/>
              <w:rPr>
                <w:sz w:val="20"/>
                <w:szCs w:val="28"/>
              </w:rPr>
            </w:pPr>
            <w:r w:rsidRPr="00A7615D">
              <w:rPr>
                <w:rFonts w:ascii="Times New Roman" w:hAnsi="Times New Roman"/>
                <w:b/>
                <w:sz w:val="20"/>
                <w:szCs w:val="28"/>
              </w:rPr>
              <w:t>Architectural implication for NV design</w:t>
            </w:r>
          </w:p>
        </w:tc>
      </w:tr>
      <w:tr w:rsidR="0097680B" w:rsidRPr="00A7615D" w14:paraId="41E7D0E1"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1BF4722C"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Outdoor-air provision</w:t>
            </w:r>
          </w:p>
        </w:tc>
        <w:tc>
          <w:tcPr>
            <w:tcW w:w="3804" w:type="dxa"/>
            <w:tcMar>
              <w:top w:w="90" w:type="dxa"/>
              <w:left w:w="90" w:type="dxa"/>
              <w:bottom w:w="90" w:type="dxa"/>
              <w:right w:w="90" w:type="dxa"/>
            </w:tcMar>
            <w:vAlign w:val="center"/>
          </w:tcPr>
          <w:p w14:paraId="0BCCC4F9" w14:textId="77777777" w:rsidR="0097680B" w:rsidRPr="00A7615D" w:rsidRDefault="0097680B" w:rsidP="002824AF">
            <w:pPr>
              <w:jc w:val="center"/>
              <w:rPr>
                <w:sz w:val="20"/>
                <w:szCs w:val="28"/>
              </w:rPr>
            </w:pPr>
            <w:r w:rsidRPr="00A7615D">
              <w:rPr>
                <w:rFonts w:ascii="Times New Roman" w:hAnsi="Times New Roman"/>
                <w:sz w:val="20"/>
                <w:szCs w:val="28"/>
              </w:rPr>
              <w:t>Green-school guidance reports approximately 7.1 L/s per person and 3.5 L/s per m². A stricter school ventilation baseline is approximately 10 L/s per student/teacher, or about 6 ACH.</w:t>
            </w:r>
          </w:p>
        </w:tc>
        <w:tc>
          <w:tcPr>
            <w:tcW w:w="1582" w:type="dxa"/>
            <w:tcMar>
              <w:top w:w="90" w:type="dxa"/>
              <w:left w:w="90" w:type="dxa"/>
              <w:bottom w:w="90" w:type="dxa"/>
              <w:right w:w="90" w:type="dxa"/>
            </w:tcMar>
            <w:vAlign w:val="center"/>
          </w:tcPr>
          <w:p w14:paraId="49AD46C5" w14:textId="77777777" w:rsidR="0097680B" w:rsidRPr="00A7615D" w:rsidRDefault="0097680B" w:rsidP="002824AF">
            <w:pPr>
              <w:jc w:val="center"/>
              <w:rPr>
                <w:sz w:val="20"/>
                <w:szCs w:val="28"/>
              </w:rPr>
            </w:pPr>
            <w:r w:rsidRPr="00A7615D">
              <w:rPr>
                <w:rFonts w:ascii="Times New Roman" w:hAnsi="Times New Roman"/>
                <w:sz w:val="20"/>
                <w:szCs w:val="28"/>
              </w:rPr>
              <w:t>Plan and Budget Organization of Iran (2021); Ministry of Health, Treatment, and Medical Education (2022)</w:t>
            </w:r>
          </w:p>
        </w:tc>
        <w:tc>
          <w:tcPr>
            <w:tcW w:w="2273" w:type="dxa"/>
            <w:tcMar>
              <w:top w:w="90" w:type="dxa"/>
              <w:left w:w="90" w:type="dxa"/>
              <w:bottom w:w="90" w:type="dxa"/>
              <w:right w:w="90" w:type="dxa"/>
            </w:tcMar>
            <w:vAlign w:val="center"/>
          </w:tcPr>
          <w:p w14:paraId="1780C3E4" w14:textId="77777777" w:rsidR="0097680B" w:rsidRPr="00A7615D" w:rsidRDefault="0097680B" w:rsidP="002824AF">
            <w:pPr>
              <w:jc w:val="center"/>
              <w:rPr>
                <w:sz w:val="20"/>
                <w:szCs w:val="28"/>
              </w:rPr>
            </w:pPr>
            <w:r w:rsidRPr="00A7615D">
              <w:rPr>
                <w:rFonts w:ascii="Times New Roman" w:hAnsi="Times New Roman"/>
                <w:sz w:val="20"/>
                <w:szCs w:val="28"/>
              </w:rPr>
              <w:t>Treat outdoor-air provision as a design target that must be supported by effective operable area and a continuous inlet-transfer-exhaust path.</w:t>
            </w:r>
          </w:p>
        </w:tc>
      </w:tr>
      <w:tr w:rsidR="0097680B" w:rsidRPr="00A7615D" w14:paraId="14518DA0"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7545136A"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CO₂ threshold &amp; monitoring</w:t>
            </w:r>
          </w:p>
        </w:tc>
        <w:tc>
          <w:tcPr>
            <w:tcW w:w="3804" w:type="dxa"/>
            <w:tcMar>
              <w:top w:w="90" w:type="dxa"/>
              <w:left w:w="90" w:type="dxa"/>
              <w:bottom w:w="90" w:type="dxa"/>
              <w:right w:w="90" w:type="dxa"/>
            </w:tcMar>
            <w:vAlign w:val="center"/>
          </w:tcPr>
          <w:p w14:paraId="7606B4E1" w14:textId="77777777" w:rsidR="0097680B" w:rsidRPr="00A7615D" w:rsidRDefault="0097680B" w:rsidP="002824AF">
            <w:pPr>
              <w:jc w:val="center"/>
              <w:rPr>
                <w:sz w:val="20"/>
                <w:szCs w:val="28"/>
              </w:rPr>
            </w:pPr>
            <w:r w:rsidRPr="00A7615D">
              <w:rPr>
                <w:rFonts w:ascii="Times New Roman" w:hAnsi="Times New Roman"/>
                <w:sz w:val="20"/>
                <w:szCs w:val="28"/>
              </w:rPr>
              <w:t>An acceptable CO₂ range of about 350-1000 ppm is reported, with indoor CO₂ recommended below 1000 ppm. For natural/hybrid ventilation, average daily CO₂ below 1000 ppm and a maximum of 2000 ppm for up to 20 minutes are stated. Exceeding 1000 ppm indicates the need to increase ventilation; sensor installation is noted for naturally ventilated spaces.</w:t>
            </w:r>
          </w:p>
        </w:tc>
        <w:tc>
          <w:tcPr>
            <w:tcW w:w="1582" w:type="dxa"/>
            <w:tcMar>
              <w:top w:w="90" w:type="dxa"/>
              <w:left w:w="90" w:type="dxa"/>
              <w:bottom w:w="90" w:type="dxa"/>
              <w:right w:w="90" w:type="dxa"/>
            </w:tcMar>
            <w:vAlign w:val="center"/>
          </w:tcPr>
          <w:p w14:paraId="7A5600D0" w14:textId="77777777" w:rsidR="0097680B" w:rsidRPr="00A7615D" w:rsidRDefault="0097680B" w:rsidP="002824AF">
            <w:pPr>
              <w:jc w:val="center"/>
              <w:rPr>
                <w:sz w:val="20"/>
                <w:szCs w:val="28"/>
              </w:rPr>
            </w:pPr>
            <w:r w:rsidRPr="00A7615D">
              <w:rPr>
                <w:rFonts w:ascii="Times New Roman" w:hAnsi="Times New Roman"/>
                <w:sz w:val="20"/>
                <w:szCs w:val="28"/>
              </w:rPr>
              <w:t>Plan and Budget Organization of Iran (2021)</w:t>
            </w:r>
          </w:p>
        </w:tc>
        <w:tc>
          <w:tcPr>
            <w:tcW w:w="2273" w:type="dxa"/>
            <w:tcMar>
              <w:top w:w="90" w:type="dxa"/>
              <w:left w:w="90" w:type="dxa"/>
              <w:bottom w:w="90" w:type="dxa"/>
              <w:right w:w="90" w:type="dxa"/>
            </w:tcMar>
            <w:vAlign w:val="center"/>
          </w:tcPr>
          <w:p w14:paraId="506A2D1D" w14:textId="77777777" w:rsidR="0097680B" w:rsidRPr="00A7615D" w:rsidRDefault="0097680B" w:rsidP="002824AF">
            <w:pPr>
              <w:jc w:val="center"/>
              <w:rPr>
                <w:sz w:val="20"/>
                <w:szCs w:val="28"/>
              </w:rPr>
            </w:pPr>
            <w:r w:rsidRPr="00A7615D">
              <w:rPr>
                <w:rFonts w:ascii="Times New Roman" w:hAnsi="Times New Roman"/>
                <w:sz w:val="20"/>
                <w:szCs w:val="28"/>
              </w:rPr>
              <w:t>Provide staged and monitorable operation: accessible openings, high-level relief, sensor feedback, and user protocols for increasing ventilation when CO₂ rises.</w:t>
            </w:r>
          </w:p>
        </w:tc>
      </w:tr>
      <w:tr w:rsidR="0097680B" w:rsidRPr="00A7615D" w14:paraId="26705413"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17B2EFAB"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Supply-air quality &amp; pollutant separation</w:t>
            </w:r>
          </w:p>
        </w:tc>
        <w:tc>
          <w:tcPr>
            <w:tcW w:w="3804" w:type="dxa"/>
            <w:tcMar>
              <w:top w:w="90" w:type="dxa"/>
              <w:left w:w="90" w:type="dxa"/>
              <w:bottom w:w="90" w:type="dxa"/>
              <w:right w:w="90" w:type="dxa"/>
            </w:tcMar>
            <w:vAlign w:val="center"/>
          </w:tcPr>
          <w:p w14:paraId="46A143F8" w14:textId="77777777" w:rsidR="0097680B" w:rsidRPr="00A7615D" w:rsidRDefault="0097680B" w:rsidP="002824AF">
            <w:pPr>
              <w:jc w:val="center"/>
              <w:rPr>
                <w:sz w:val="20"/>
                <w:szCs w:val="28"/>
              </w:rPr>
            </w:pPr>
            <w:r w:rsidRPr="00A7615D">
              <w:rPr>
                <w:rFonts w:ascii="Times New Roman" w:hAnsi="Times New Roman"/>
                <w:sz w:val="20"/>
                <w:szCs w:val="28"/>
              </w:rPr>
              <w:t>Outdoor-air inlets should be separated from pollutant sources: examples include about 5 m from parking entries, 5.7 m from contaminated discharges, and 8 m from waste storage. Operable windows used for NV should be at least 10 m from pollution sources. At the site-selection scale, distance from major pollutant sources should not be less than 500 m.</w:t>
            </w:r>
          </w:p>
        </w:tc>
        <w:tc>
          <w:tcPr>
            <w:tcW w:w="1582" w:type="dxa"/>
            <w:tcMar>
              <w:top w:w="90" w:type="dxa"/>
              <w:left w:w="90" w:type="dxa"/>
              <w:bottom w:w="90" w:type="dxa"/>
              <w:right w:w="90" w:type="dxa"/>
            </w:tcMar>
            <w:vAlign w:val="center"/>
          </w:tcPr>
          <w:p w14:paraId="33B95A8F" w14:textId="77777777" w:rsidR="0097680B" w:rsidRPr="00A7615D" w:rsidRDefault="0097680B" w:rsidP="002824AF">
            <w:pPr>
              <w:jc w:val="center"/>
              <w:rPr>
                <w:sz w:val="20"/>
                <w:szCs w:val="28"/>
              </w:rPr>
            </w:pPr>
            <w:r w:rsidRPr="00A7615D">
              <w:rPr>
                <w:rFonts w:ascii="Times New Roman" w:hAnsi="Times New Roman"/>
                <w:sz w:val="20"/>
                <w:szCs w:val="28"/>
              </w:rPr>
              <w:t>Plan and Budget Organization of Iran (2021); Institute of Standards and Industrial Research of Iran (2001)</w:t>
            </w:r>
          </w:p>
        </w:tc>
        <w:tc>
          <w:tcPr>
            <w:tcW w:w="2273" w:type="dxa"/>
            <w:tcMar>
              <w:top w:w="90" w:type="dxa"/>
              <w:left w:w="90" w:type="dxa"/>
              <w:bottom w:w="90" w:type="dxa"/>
              <w:right w:w="90" w:type="dxa"/>
            </w:tcMar>
            <w:vAlign w:val="center"/>
          </w:tcPr>
          <w:p w14:paraId="68D3F524" w14:textId="77777777" w:rsidR="0097680B" w:rsidRPr="00A7615D" w:rsidRDefault="0097680B" w:rsidP="002824AF">
            <w:pPr>
              <w:jc w:val="center"/>
              <w:rPr>
                <w:sz w:val="20"/>
                <w:szCs w:val="28"/>
              </w:rPr>
            </w:pPr>
            <w:r w:rsidRPr="00A7615D">
              <w:rPr>
                <w:rFonts w:ascii="Times New Roman" w:hAnsi="Times New Roman"/>
                <w:sz w:val="20"/>
                <w:szCs w:val="28"/>
              </w:rPr>
              <w:t>Select inlet façades and intake heights by air quality as well as wind exposure. The most wind-exposed façade is not always the best source of outdoor air.</w:t>
            </w:r>
          </w:p>
        </w:tc>
      </w:tr>
      <w:tr w:rsidR="0097680B" w:rsidRPr="00A7615D" w14:paraId="12660366"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3E562941"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lastRenderedPageBreak/>
              <w:t>Opening geometry &amp; operable area</w:t>
            </w:r>
          </w:p>
        </w:tc>
        <w:tc>
          <w:tcPr>
            <w:tcW w:w="3804" w:type="dxa"/>
            <w:tcMar>
              <w:top w:w="90" w:type="dxa"/>
              <w:left w:w="90" w:type="dxa"/>
              <w:bottom w:w="90" w:type="dxa"/>
              <w:right w:w="90" w:type="dxa"/>
            </w:tcMar>
            <w:vAlign w:val="center"/>
          </w:tcPr>
          <w:p w14:paraId="0A797FFA" w14:textId="77777777" w:rsidR="0097680B" w:rsidRPr="00A7615D" w:rsidRDefault="0097680B" w:rsidP="002824AF">
            <w:pPr>
              <w:jc w:val="center"/>
              <w:rPr>
                <w:sz w:val="20"/>
                <w:szCs w:val="28"/>
              </w:rPr>
            </w:pPr>
            <w:r w:rsidRPr="00A7615D">
              <w:rPr>
                <w:rFonts w:ascii="Times New Roman" w:hAnsi="Times New Roman"/>
                <w:sz w:val="20"/>
                <w:szCs w:val="28"/>
              </w:rPr>
              <w:t>Operable windows with an opening angle of at least 45 degrees and operable window area of about 10-20% of floor area are suggested to achieve 10 L/s per person. For classrooms with more than 20 occupants, glazing area/floor area = 1:5 and ventilation opening area/floor area = 1:12 are reported. A minimum operable window area of 5% of floor area is also specified, together with a high-level exhaust/relief path.</w:t>
            </w:r>
          </w:p>
        </w:tc>
        <w:tc>
          <w:tcPr>
            <w:tcW w:w="1582" w:type="dxa"/>
            <w:tcMar>
              <w:top w:w="90" w:type="dxa"/>
              <w:left w:w="90" w:type="dxa"/>
              <w:bottom w:w="90" w:type="dxa"/>
              <w:right w:w="90" w:type="dxa"/>
            </w:tcMar>
            <w:vAlign w:val="center"/>
          </w:tcPr>
          <w:p w14:paraId="722F59BB" w14:textId="77777777" w:rsidR="0097680B" w:rsidRPr="00A7615D" w:rsidRDefault="0097680B" w:rsidP="002824AF">
            <w:pPr>
              <w:jc w:val="center"/>
              <w:rPr>
                <w:sz w:val="20"/>
                <w:szCs w:val="28"/>
              </w:rPr>
            </w:pPr>
            <w:r w:rsidRPr="00A7615D">
              <w:rPr>
                <w:rFonts w:ascii="Times New Roman" w:hAnsi="Times New Roman"/>
                <w:sz w:val="20"/>
                <w:szCs w:val="28"/>
              </w:rPr>
              <w:t>Ministry of Health, Treatment, and Medical Education (2022); Plan and Budget Organization of Iran (2021)</w:t>
            </w:r>
          </w:p>
        </w:tc>
        <w:tc>
          <w:tcPr>
            <w:tcW w:w="2273" w:type="dxa"/>
            <w:tcMar>
              <w:top w:w="90" w:type="dxa"/>
              <w:left w:w="90" w:type="dxa"/>
              <w:bottom w:w="90" w:type="dxa"/>
              <w:right w:w="90" w:type="dxa"/>
            </w:tcMar>
            <w:vAlign w:val="center"/>
          </w:tcPr>
          <w:p w14:paraId="1D9258D1" w14:textId="77777777" w:rsidR="0097680B" w:rsidRPr="00A7615D" w:rsidRDefault="0097680B" w:rsidP="002824AF">
            <w:pPr>
              <w:jc w:val="center"/>
              <w:rPr>
                <w:sz w:val="20"/>
                <w:szCs w:val="28"/>
              </w:rPr>
            </w:pPr>
            <w:r w:rsidRPr="00A7615D">
              <w:rPr>
                <w:rFonts w:ascii="Times New Roman" w:hAnsi="Times New Roman"/>
                <w:sz w:val="20"/>
                <w:szCs w:val="28"/>
              </w:rPr>
              <w:t>Distinguish total glazing from the effective operable portion. Coordinate opening angle, height, inlet-outlet position, and high-level relief rather than relying on window size alone.</w:t>
            </w:r>
          </w:p>
        </w:tc>
      </w:tr>
      <w:tr w:rsidR="0097680B" w:rsidRPr="00A7615D" w14:paraId="3D1C83C4"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6E9D1FBE"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Daylight–ventilation coordination</w:t>
            </w:r>
          </w:p>
        </w:tc>
        <w:tc>
          <w:tcPr>
            <w:tcW w:w="3804" w:type="dxa"/>
            <w:tcMar>
              <w:top w:w="90" w:type="dxa"/>
              <w:left w:w="90" w:type="dxa"/>
              <w:bottom w:w="90" w:type="dxa"/>
              <w:right w:w="90" w:type="dxa"/>
            </w:tcMar>
            <w:vAlign w:val="center"/>
          </w:tcPr>
          <w:p w14:paraId="1CD7A500" w14:textId="77777777" w:rsidR="0097680B" w:rsidRPr="00A7615D" w:rsidRDefault="0097680B" w:rsidP="002824AF">
            <w:pPr>
              <w:jc w:val="center"/>
              <w:rPr>
                <w:sz w:val="20"/>
                <w:szCs w:val="28"/>
              </w:rPr>
            </w:pPr>
            <w:r w:rsidRPr="00A7615D">
              <w:rPr>
                <w:rFonts w:ascii="Times New Roman" w:hAnsi="Times New Roman"/>
                <w:sz w:val="20"/>
                <w:szCs w:val="28"/>
              </w:rPr>
              <w:t>Window-to-classroom area is recommended in the range of 1:8 to 1:5 depending on climate. Other daylight criteria include window area around 1:5 of classroom area, not less than 1:6, and classroom façade daylight-opening area at least 1:3 of the classroom façade area.</w:t>
            </w:r>
          </w:p>
        </w:tc>
        <w:tc>
          <w:tcPr>
            <w:tcW w:w="1582" w:type="dxa"/>
            <w:tcMar>
              <w:top w:w="90" w:type="dxa"/>
              <w:left w:w="90" w:type="dxa"/>
              <w:bottom w:w="90" w:type="dxa"/>
              <w:right w:w="90" w:type="dxa"/>
            </w:tcMar>
            <w:vAlign w:val="center"/>
          </w:tcPr>
          <w:p w14:paraId="17E1B6E9" w14:textId="77777777" w:rsidR="0097680B" w:rsidRPr="00A7615D" w:rsidRDefault="0097680B" w:rsidP="002824AF">
            <w:pPr>
              <w:jc w:val="center"/>
              <w:rPr>
                <w:sz w:val="20"/>
                <w:szCs w:val="28"/>
              </w:rPr>
            </w:pPr>
            <w:r w:rsidRPr="00A7615D">
              <w:rPr>
                <w:rFonts w:ascii="Times New Roman" w:hAnsi="Times New Roman"/>
                <w:sz w:val="20"/>
                <w:szCs w:val="28"/>
              </w:rPr>
              <w:t>Institute of Standards and Industrial Research of Iran (2001, 2002); Management and Planning Organization of Iran (2016)</w:t>
            </w:r>
          </w:p>
        </w:tc>
        <w:tc>
          <w:tcPr>
            <w:tcW w:w="2273" w:type="dxa"/>
            <w:tcMar>
              <w:top w:w="90" w:type="dxa"/>
              <w:left w:w="90" w:type="dxa"/>
              <w:bottom w:w="90" w:type="dxa"/>
              <w:right w:w="90" w:type="dxa"/>
            </w:tcMar>
            <w:vAlign w:val="center"/>
          </w:tcPr>
          <w:p w14:paraId="4932CE2E" w14:textId="77777777" w:rsidR="0097680B" w:rsidRPr="00A7615D" w:rsidRDefault="0097680B" w:rsidP="002824AF">
            <w:pPr>
              <w:jc w:val="center"/>
              <w:rPr>
                <w:sz w:val="20"/>
                <w:szCs w:val="28"/>
              </w:rPr>
            </w:pPr>
            <w:r w:rsidRPr="00A7615D">
              <w:rPr>
                <w:rFonts w:ascii="Times New Roman" w:hAnsi="Times New Roman"/>
                <w:sz w:val="20"/>
                <w:szCs w:val="28"/>
              </w:rPr>
              <w:t>Design façade area, operable area, shading, and solar control together so that daylight requirements do not conflict with usable ventilation openings.</w:t>
            </w:r>
          </w:p>
        </w:tc>
      </w:tr>
      <w:tr w:rsidR="0097680B" w:rsidRPr="00A7615D" w14:paraId="59447C7F"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09F7D3DE"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Window safety &amp; operability</w:t>
            </w:r>
          </w:p>
        </w:tc>
        <w:tc>
          <w:tcPr>
            <w:tcW w:w="3804" w:type="dxa"/>
            <w:tcMar>
              <w:top w:w="90" w:type="dxa"/>
              <w:left w:w="90" w:type="dxa"/>
              <w:bottom w:w="90" w:type="dxa"/>
              <w:right w:w="90" w:type="dxa"/>
            </w:tcMar>
            <w:vAlign w:val="center"/>
          </w:tcPr>
          <w:p w14:paraId="0387A114" w14:textId="77777777" w:rsidR="0097680B" w:rsidRPr="00A7615D" w:rsidRDefault="0097680B" w:rsidP="002824AF">
            <w:pPr>
              <w:jc w:val="center"/>
              <w:rPr>
                <w:sz w:val="20"/>
                <w:szCs w:val="28"/>
              </w:rPr>
            </w:pPr>
            <w:r w:rsidRPr="00A7615D">
              <w:rPr>
                <w:rFonts w:ascii="Times New Roman" w:hAnsi="Times New Roman"/>
                <w:sz w:val="20"/>
                <w:szCs w:val="28"/>
              </w:rPr>
              <w:t>Minimum window-opening dimensions of 50 × 60 cm and minimum operable opening area of 0.53 m² are stated, together with access and safety requirements for window hardware.</w:t>
            </w:r>
          </w:p>
        </w:tc>
        <w:tc>
          <w:tcPr>
            <w:tcW w:w="1582" w:type="dxa"/>
            <w:tcMar>
              <w:top w:w="90" w:type="dxa"/>
              <w:left w:w="90" w:type="dxa"/>
              <w:bottom w:w="90" w:type="dxa"/>
              <w:right w:w="90" w:type="dxa"/>
            </w:tcMar>
            <w:vAlign w:val="center"/>
          </w:tcPr>
          <w:p w14:paraId="053B1CF0" w14:textId="77777777" w:rsidR="0097680B" w:rsidRPr="00A7615D" w:rsidRDefault="0097680B" w:rsidP="002824AF">
            <w:pPr>
              <w:jc w:val="center"/>
              <w:rPr>
                <w:sz w:val="20"/>
                <w:szCs w:val="28"/>
              </w:rPr>
            </w:pPr>
            <w:r w:rsidRPr="00A7615D">
              <w:rPr>
                <w:rFonts w:ascii="Times New Roman" w:hAnsi="Times New Roman"/>
                <w:sz w:val="20"/>
                <w:szCs w:val="28"/>
              </w:rPr>
              <w:t>Institute of Standards and Industrial Research of Iran (1998)</w:t>
            </w:r>
          </w:p>
        </w:tc>
        <w:tc>
          <w:tcPr>
            <w:tcW w:w="2273" w:type="dxa"/>
            <w:tcMar>
              <w:top w:w="90" w:type="dxa"/>
              <w:left w:w="90" w:type="dxa"/>
              <w:bottom w:w="90" w:type="dxa"/>
              <w:right w:w="90" w:type="dxa"/>
            </w:tcMar>
            <w:vAlign w:val="center"/>
          </w:tcPr>
          <w:p w14:paraId="47D1DE28" w14:textId="77777777" w:rsidR="0097680B" w:rsidRPr="00A7615D" w:rsidRDefault="0097680B" w:rsidP="002824AF">
            <w:pPr>
              <w:jc w:val="center"/>
              <w:rPr>
                <w:sz w:val="20"/>
                <w:szCs w:val="28"/>
              </w:rPr>
            </w:pPr>
            <w:r w:rsidRPr="00A7615D">
              <w:rPr>
                <w:rFonts w:ascii="Times New Roman" w:hAnsi="Times New Roman"/>
                <w:sz w:val="20"/>
                <w:szCs w:val="28"/>
              </w:rPr>
              <w:t>Ensure that windows satisfying nominal area requirements are actually reachable, safe, and usable during occupied hours.</w:t>
            </w:r>
          </w:p>
        </w:tc>
      </w:tr>
      <w:tr w:rsidR="0097680B" w:rsidRPr="00A7615D" w14:paraId="40282E4B"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3368F76B"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Geometry &amp; cross-ventilation feasibility</w:t>
            </w:r>
          </w:p>
        </w:tc>
        <w:tc>
          <w:tcPr>
            <w:tcW w:w="3804" w:type="dxa"/>
            <w:tcMar>
              <w:top w:w="90" w:type="dxa"/>
              <w:left w:w="90" w:type="dxa"/>
              <w:bottom w:w="90" w:type="dxa"/>
              <w:right w:w="90" w:type="dxa"/>
            </w:tcMar>
            <w:vAlign w:val="center"/>
          </w:tcPr>
          <w:p w14:paraId="5CE89132" w14:textId="77777777" w:rsidR="0097680B" w:rsidRPr="00A7615D" w:rsidRDefault="0097680B" w:rsidP="002824AF">
            <w:pPr>
              <w:jc w:val="center"/>
              <w:rPr>
                <w:sz w:val="20"/>
                <w:szCs w:val="28"/>
              </w:rPr>
            </w:pPr>
            <w:r w:rsidRPr="00A7615D">
              <w:rPr>
                <w:rFonts w:ascii="Times New Roman" w:hAnsi="Times New Roman"/>
                <w:sz w:val="20"/>
                <w:szCs w:val="28"/>
              </w:rPr>
              <w:t>Cross-ventilation through opposing operable openings is required for plan depths of about 7-15 m. Openings on both sides are considered necessary when classroom width exceeds 7.20 m. Maximum classroom dimensions are reported as about 8 m length and 7 m width.</w:t>
            </w:r>
          </w:p>
        </w:tc>
        <w:tc>
          <w:tcPr>
            <w:tcW w:w="1582" w:type="dxa"/>
            <w:tcMar>
              <w:top w:w="90" w:type="dxa"/>
              <w:left w:w="90" w:type="dxa"/>
              <w:bottom w:w="90" w:type="dxa"/>
              <w:right w:w="90" w:type="dxa"/>
            </w:tcMar>
            <w:vAlign w:val="center"/>
          </w:tcPr>
          <w:p w14:paraId="61171662" w14:textId="77777777" w:rsidR="0097680B" w:rsidRPr="00A7615D" w:rsidRDefault="0097680B" w:rsidP="002824AF">
            <w:pPr>
              <w:jc w:val="center"/>
              <w:rPr>
                <w:sz w:val="20"/>
                <w:szCs w:val="28"/>
              </w:rPr>
            </w:pPr>
            <w:r w:rsidRPr="00A7615D">
              <w:rPr>
                <w:rFonts w:ascii="Times New Roman" w:hAnsi="Times New Roman"/>
                <w:sz w:val="20"/>
                <w:szCs w:val="28"/>
              </w:rPr>
              <w:t>Plan and Budget Organization of Iran (2021); Management and Planning Organization of Iran (2016); Institute of Standards and Industrial Research of Iran (2001)</w:t>
            </w:r>
          </w:p>
        </w:tc>
        <w:tc>
          <w:tcPr>
            <w:tcW w:w="2273" w:type="dxa"/>
            <w:tcMar>
              <w:top w:w="90" w:type="dxa"/>
              <w:left w:w="90" w:type="dxa"/>
              <w:bottom w:w="90" w:type="dxa"/>
              <w:right w:w="90" w:type="dxa"/>
            </w:tcMar>
            <w:vAlign w:val="center"/>
          </w:tcPr>
          <w:p w14:paraId="4DC2AB08" w14:textId="77777777" w:rsidR="0097680B" w:rsidRPr="00A7615D" w:rsidRDefault="0097680B" w:rsidP="002824AF">
            <w:pPr>
              <w:jc w:val="center"/>
              <w:rPr>
                <w:sz w:val="20"/>
                <w:szCs w:val="28"/>
              </w:rPr>
            </w:pPr>
            <w:r w:rsidRPr="00A7615D">
              <w:rPr>
                <w:rFonts w:ascii="Times New Roman" w:hAnsi="Times New Roman"/>
                <w:sz w:val="20"/>
                <w:szCs w:val="28"/>
              </w:rPr>
              <w:t>Control depth and width early. Avoid deep or obstructed classrooms where later opening enlargement cannot prevent stagnant zones.</w:t>
            </w:r>
          </w:p>
        </w:tc>
      </w:tr>
      <w:tr w:rsidR="0097680B" w:rsidRPr="00A7615D" w14:paraId="1B139BBA" w14:textId="77777777" w:rsidTr="002824AF">
        <w:trPr>
          <w:cantSplit/>
          <w:trHeight w:val="1134"/>
          <w:jc w:val="center"/>
        </w:trPr>
        <w:tc>
          <w:tcPr>
            <w:tcW w:w="1413" w:type="dxa"/>
            <w:tcMar>
              <w:top w:w="90" w:type="dxa"/>
              <w:left w:w="90" w:type="dxa"/>
              <w:bottom w:w="90" w:type="dxa"/>
              <w:right w:w="90" w:type="dxa"/>
            </w:tcMar>
            <w:textDirection w:val="btLr"/>
            <w:vAlign w:val="center"/>
          </w:tcPr>
          <w:p w14:paraId="6084CBA9" w14:textId="77777777" w:rsidR="0097680B" w:rsidRPr="005F413F" w:rsidRDefault="0097680B" w:rsidP="002824AF">
            <w:pPr>
              <w:ind w:left="113" w:right="113"/>
              <w:jc w:val="center"/>
              <w:rPr>
                <w:b/>
                <w:bCs/>
                <w:sz w:val="20"/>
                <w:szCs w:val="28"/>
              </w:rPr>
            </w:pPr>
            <w:r w:rsidRPr="005F413F">
              <w:rPr>
                <w:rFonts w:ascii="Times New Roman" w:hAnsi="Times New Roman"/>
                <w:b/>
                <w:bCs/>
                <w:sz w:val="20"/>
                <w:szCs w:val="28"/>
              </w:rPr>
              <w:t>Hybrid strategies &amp; operation schedule</w:t>
            </w:r>
          </w:p>
        </w:tc>
        <w:tc>
          <w:tcPr>
            <w:tcW w:w="3804" w:type="dxa"/>
            <w:tcMar>
              <w:top w:w="90" w:type="dxa"/>
              <w:left w:w="90" w:type="dxa"/>
              <w:bottom w:w="90" w:type="dxa"/>
              <w:right w:w="90" w:type="dxa"/>
            </w:tcMar>
            <w:vAlign w:val="center"/>
          </w:tcPr>
          <w:p w14:paraId="6185F91F" w14:textId="77777777" w:rsidR="0097680B" w:rsidRPr="00A7615D" w:rsidRDefault="0097680B" w:rsidP="002824AF">
            <w:pPr>
              <w:jc w:val="center"/>
              <w:rPr>
                <w:sz w:val="20"/>
                <w:szCs w:val="28"/>
              </w:rPr>
            </w:pPr>
            <w:r w:rsidRPr="00A7615D">
              <w:rPr>
                <w:rFonts w:ascii="Times New Roman" w:hAnsi="Times New Roman"/>
                <w:sz w:val="20"/>
                <w:szCs w:val="28"/>
              </w:rPr>
              <w:t>Hybrid/combined ventilation is recommended, and windcatchers and chimneys are proposed for hot-arid and hot-humid climates. Operational guidance suggests opening windows 30 minutes before and after occupancy and for 10 minutes every hour.</w:t>
            </w:r>
          </w:p>
        </w:tc>
        <w:tc>
          <w:tcPr>
            <w:tcW w:w="1582" w:type="dxa"/>
            <w:tcMar>
              <w:top w:w="90" w:type="dxa"/>
              <w:left w:w="90" w:type="dxa"/>
              <w:bottom w:w="90" w:type="dxa"/>
              <w:right w:w="90" w:type="dxa"/>
            </w:tcMar>
            <w:vAlign w:val="center"/>
          </w:tcPr>
          <w:p w14:paraId="6BB2F539" w14:textId="77777777" w:rsidR="0097680B" w:rsidRPr="00A7615D" w:rsidRDefault="0097680B" w:rsidP="002824AF">
            <w:pPr>
              <w:jc w:val="center"/>
              <w:rPr>
                <w:sz w:val="20"/>
                <w:szCs w:val="28"/>
              </w:rPr>
            </w:pPr>
            <w:r w:rsidRPr="00A7615D">
              <w:rPr>
                <w:rFonts w:ascii="Times New Roman" w:hAnsi="Times New Roman"/>
                <w:sz w:val="20"/>
                <w:szCs w:val="28"/>
              </w:rPr>
              <w:t>Plan and Budget Organization of Iran (2021); Ministry of Health, Treatment, and Medical Education (2022)</w:t>
            </w:r>
          </w:p>
        </w:tc>
        <w:tc>
          <w:tcPr>
            <w:tcW w:w="2273" w:type="dxa"/>
            <w:tcMar>
              <w:top w:w="90" w:type="dxa"/>
              <w:left w:w="90" w:type="dxa"/>
              <w:bottom w:w="90" w:type="dxa"/>
              <w:right w:w="90" w:type="dxa"/>
            </w:tcMar>
            <w:vAlign w:val="center"/>
          </w:tcPr>
          <w:p w14:paraId="4B76792D" w14:textId="77777777" w:rsidR="0097680B" w:rsidRPr="00A7615D" w:rsidRDefault="0097680B" w:rsidP="002824AF">
            <w:pPr>
              <w:jc w:val="center"/>
              <w:rPr>
                <w:sz w:val="20"/>
                <w:szCs w:val="28"/>
              </w:rPr>
            </w:pPr>
            <w:r w:rsidRPr="00A7615D">
              <w:rPr>
                <w:rFonts w:ascii="Times New Roman" w:hAnsi="Times New Roman"/>
                <w:sz w:val="20"/>
                <w:szCs w:val="28"/>
              </w:rPr>
              <w:t>Provide accessible hardware, staged opening modes, seasonal control logic, and maintenance access for airflow-enhancing components.</w:t>
            </w:r>
          </w:p>
        </w:tc>
      </w:tr>
    </w:tbl>
    <w:p w14:paraId="5A49E305" w14:textId="46E35E25" w:rsidR="0097680B" w:rsidRDefault="0097680B" w:rsidP="0097680B">
      <w:pPr>
        <w:spacing w:before="120" w:after="120" w:line="240" w:lineRule="auto"/>
        <w:jc w:val="both"/>
        <w:rPr>
          <w:rFonts w:ascii="Times New Roman" w:hAnsi="Times New Roman"/>
          <w:szCs w:val="36"/>
        </w:rPr>
      </w:pPr>
      <w:r w:rsidRPr="00A7615D">
        <w:rPr>
          <w:rFonts w:ascii="Times New Roman" w:hAnsi="Times New Roman"/>
          <w:szCs w:val="36"/>
        </w:rPr>
        <w:t>Note. NV = natural ventilation; IAQ = indoor air quality; CO₂ = carbon dioxide; ACH = air changes per hour. The table synthesizes the standards-related evidence discussed in the reviewed manuscript and translates it into architectural design implications.</w:t>
      </w:r>
    </w:p>
    <w:p w14:paraId="1B9F8211" w14:textId="77777777" w:rsidR="0097680B" w:rsidRPr="00A7615D" w:rsidRDefault="0097680B" w:rsidP="0097680B">
      <w:pPr>
        <w:spacing w:before="120" w:after="120" w:line="240" w:lineRule="auto"/>
        <w:jc w:val="both"/>
        <w:rPr>
          <w:sz w:val="36"/>
          <w:szCs w:val="36"/>
        </w:rPr>
      </w:pPr>
    </w:p>
    <w:p w14:paraId="5F971659" w14:textId="77777777" w:rsidR="0097680B" w:rsidRPr="00F967D2" w:rsidRDefault="0097680B" w:rsidP="0097680B">
      <w:pPr>
        <w:spacing w:before="100" w:beforeAutospacing="1" w:after="100" w:afterAutospacing="1" w:line="240" w:lineRule="auto"/>
        <w:jc w:val="both"/>
        <w:rPr>
          <w:rFonts w:ascii="Times New Roman" w:eastAsia="Times New Roman" w:hAnsi="Times New Roman" w:cs="Times New Roman"/>
          <w:b/>
          <w:bCs/>
          <w:kern w:val="0"/>
          <w14:ligatures w14:val="none"/>
        </w:rPr>
      </w:pPr>
      <w:r w:rsidRPr="00F967D2">
        <w:rPr>
          <w:rFonts w:ascii="Times New Roman" w:eastAsia="Times New Roman" w:hAnsi="Times New Roman" w:cs="Times New Roman"/>
          <w:b/>
          <w:bCs/>
          <w:kern w:val="0"/>
          <w14:ligatures w14:val="none"/>
        </w:rPr>
        <w:lastRenderedPageBreak/>
        <w:t>Figure Legends</w:t>
      </w:r>
    </w:p>
    <w:p w14:paraId="424144E0"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1.</w:t>
      </w:r>
      <w:r w:rsidRPr="00CF2888">
        <w:rPr>
          <w:rFonts w:ascii="Times New Roman" w:eastAsia="Times New Roman" w:hAnsi="Times New Roman" w:cs="Times New Roman"/>
          <w:kern w:val="0"/>
          <w14:ligatures w14:val="none"/>
        </w:rPr>
        <w:t xml:space="preserve"> </w:t>
      </w:r>
      <w:r w:rsidRPr="00CF2888">
        <w:rPr>
          <w:rFonts w:ascii="Times New Roman" w:hAnsi="Times New Roman" w:cs="Times New Roman"/>
        </w:rPr>
        <w:t>PRISMA flow diagram of screening and eligibility.</w:t>
      </w:r>
    </w:p>
    <w:p w14:paraId="5CFC1878"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2.</w:t>
      </w:r>
      <w:r w:rsidRPr="00CF2888">
        <w:rPr>
          <w:rFonts w:ascii="Times New Roman" w:eastAsia="Times New Roman" w:hAnsi="Times New Roman" w:cs="Times New Roman"/>
          <w:kern w:val="0"/>
          <w14:ligatures w14:val="none"/>
        </w:rPr>
        <w:t xml:space="preserve"> Two complementary architectural perspectives on natural ventilation in school design: (A) design-process and scale-based perspective, and (B) architectural-element perspective.</w:t>
      </w:r>
    </w:p>
    <w:p w14:paraId="4E439E4B"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 xml:space="preserve">Figure 3. </w:t>
      </w:r>
      <w:r w:rsidRPr="00CF2888">
        <w:rPr>
          <w:rFonts w:ascii="Times New Roman" w:eastAsia="Times New Roman" w:hAnsi="Times New Roman" w:cs="Times New Roman"/>
          <w:kern w:val="0"/>
          <w14:ligatures w14:val="none"/>
        </w:rPr>
        <w:t>Translation of reviewed ventilation evidence into six operational dimensions and architect-controllable design variables.</w:t>
      </w:r>
    </w:p>
    <w:p w14:paraId="131C6FE7"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4.</w:t>
      </w:r>
      <w:r w:rsidRPr="00CF2888">
        <w:rPr>
          <w:rFonts w:ascii="Times New Roman" w:eastAsia="Times New Roman" w:hAnsi="Times New Roman" w:cs="Times New Roman"/>
          <w:kern w:val="0"/>
          <w14:ligatures w14:val="none"/>
        </w:rPr>
        <w:t xml:space="preserve"> Thesis-stream mapping of topical coverage and the evidence-to-decision gap.</w:t>
      </w:r>
    </w:p>
    <w:p w14:paraId="44FD9D6D"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5.</w:t>
      </w:r>
      <w:r w:rsidRPr="00CF2888">
        <w:rPr>
          <w:rFonts w:ascii="Times New Roman" w:eastAsia="Times New Roman" w:hAnsi="Times New Roman" w:cs="Times New Roman"/>
          <w:kern w:val="0"/>
          <w14:ligatures w14:val="none"/>
        </w:rPr>
        <w:t xml:space="preserve"> Distribution of Iranian M.Sc. theses by research stream.</w:t>
      </w:r>
    </w:p>
    <w:p w14:paraId="508D3464"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6.</w:t>
      </w:r>
      <w:r w:rsidRPr="00CF2888">
        <w:rPr>
          <w:rFonts w:ascii="Times New Roman" w:eastAsia="Times New Roman" w:hAnsi="Times New Roman" w:cs="Times New Roman"/>
          <w:kern w:val="0"/>
          <w14:ligatures w14:val="none"/>
        </w:rPr>
        <w:t xml:space="preserve"> Spatial coverage of Iranian M.Sc. theses.</w:t>
      </w:r>
    </w:p>
    <w:p w14:paraId="541FB958"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7.</w:t>
      </w:r>
      <w:r w:rsidRPr="00CF2888">
        <w:rPr>
          <w:rFonts w:ascii="Times New Roman" w:eastAsia="Times New Roman" w:hAnsi="Times New Roman" w:cs="Times New Roman"/>
          <w:kern w:val="0"/>
          <w14:ligatures w14:val="none"/>
        </w:rPr>
        <w:t xml:space="preserve"> Methodological distribution </w:t>
      </w:r>
      <w:r w:rsidRPr="00CF2888">
        <w:rPr>
          <w:rFonts w:ascii="Times New Roman" w:hAnsi="Times New Roman" w:cs="Times New Roman"/>
        </w:rPr>
        <w:t>(up)</w:t>
      </w:r>
      <w:r w:rsidRPr="00CF2888">
        <w:rPr>
          <w:rFonts w:ascii="Times New Roman" w:hAnsi="Times New Roman" w:cs="Times New Roman"/>
          <w:rtl/>
        </w:rPr>
        <w:t xml:space="preserve"> </w:t>
      </w:r>
      <w:r w:rsidRPr="00CF2888">
        <w:rPr>
          <w:rFonts w:ascii="Times New Roman" w:eastAsia="Times New Roman" w:hAnsi="Times New Roman" w:cs="Times New Roman"/>
          <w:kern w:val="0"/>
          <w14:ligatures w14:val="none"/>
        </w:rPr>
        <w:t>and software/tool frequency</w:t>
      </w:r>
      <w:r w:rsidRPr="00CF2888">
        <w:rPr>
          <w:rFonts w:ascii="Times New Roman" w:eastAsia="Times New Roman" w:hAnsi="Times New Roman" w:cs="Times New Roman"/>
          <w:kern w:val="0"/>
          <w:rtl/>
          <w14:ligatures w14:val="none"/>
        </w:rPr>
        <w:t xml:space="preserve"> </w:t>
      </w:r>
      <w:r w:rsidRPr="00CF2888">
        <w:rPr>
          <w:rFonts w:ascii="Times New Roman" w:hAnsi="Times New Roman" w:cs="Times New Roman"/>
        </w:rPr>
        <w:t xml:space="preserve">(down) </w:t>
      </w:r>
      <w:r w:rsidRPr="00CF2888">
        <w:rPr>
          <w:rFonts w:ascii="Times New Roman" w:eastAsia="Times New Roman" w:hAnsi="Times New Roman" w:cs="Times New Roman"/>
          <w:kern w:val="0"/>
          <w14:ligatures w14:val="none"/>
        </w:rPr>
        <w:t xml:space="preserve"> in Iranian M.Sc. theses.</w:t>
      </w:r>
    </w:p>
    <w:p w14:paraId="601636B7"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8.</w:t>
      </w:r>
      <w:r w:rsidRPr="00CF2888">
        <w:rPr>
          <w:rFonts w:ascii="Times New Roman" w:eastAsia="Times New Roman" w:hAnsi="Times New Roman" w:cs="Times New Roman"/>
          <w:kern w:val="0"/>
          <w14:ligatures w14:val="none"/>
        </w:rPr>
        <w:t xml:space="preserve"> Dominant research streams and recurrent variable–method–outcome patterns.</w:t>
      </w:r>
    </w:p>
    <w:p w14:paraId="4F3DEAD6" w14:textId="77777777" w:rsidR="0097680B" w:rsidRPr="00AE378A"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bookmarkStart w:id="0" w:name="_Hlk232620264"/>
      <w:r w:rsidRPr="00AE378A">
        <w:rPr>
          <w:rFonts w:ascii="Times New Roman" w:eastAsia="Times New Roman" w:hAnsi="Times New Roman" w:cs="Times New Roman"/>
          <w:b/>
          <w:bCs/>
          <w:kern w:val="0"/>
          <w14:ligatures w14:val="none"/>
        </w:rPr>
        <w:t xml:space="preserve">Figure 9. </w:t>
      </w:r>
      <w:r w:rsidRPr="00AE378A">
        <w:rPr>
          <w:rFonts w:ascii="Times New Roman" w:eastAsia="Times New Roman" w:hAnsi="Times New Roman" w:cs="Times New Roman"/>
          <w:kern w:val="0"/>
          <w14:ligatures w14:val="none"/>
        </w:rPr>
        <w:t>Recurring plan and section patterns derived from rubric-selected school precedents, with transferable lessons for classroom natural-ventilation design.</w:t>
      </w:r>
    </w:p>
    <w:bookmarkEnd w:id="0"/>
    <w:p w14:paraId="15670436" w14:textId="77777777" w:rsidR="0097680B" w:rsidRPr="00CF2888" w:rsidRDefault="0097680B" w:rsidP="0097680B">
      <w:pPr>
        <w:spacing w:before="100" w:beforeAutospacing="1" w:after="100" w:afterAutospacing="1" w:line="240" w:lineRule="auto"/>
        <w:jc w:val="both"/>
        <w:rPr>
          <w:rFonts w:ascii="Times New Roman" w:eastAsia="Times New Roman" w:hAnsi="Times New Roman" w:cs="Times New Roman"/>
          <w:kern w:val="0"/>
          <w14:ligatures w14:val="none"/>
        </w:rPr>
      </w:pPr>
      <w:r w:rsidRPr="00CF2888">
        <w:rPr>
          <w:rFonts w:ascii="Times New Roman" w:eastAsia="Times New Roman" w:hAnsi="Times New Roman" w:cs="Times New Roman"/>
          <w:b/>
          <w:bCs/>
          <w:kern w:val="0"/>
          <w14:ligatures w14:val="none"/>
        </w:rPr>
        <w:t>Figure 10.</w:t>
      </w:r>
      <w:r w:rsidRPr="00CF2888">
        <w:rPr>
          <w:rFonts w:ascii="Times New Roman" w:eastAsia="Times New Roman" w:hAnsi="Times New Roman" w:cs="Times New Roman"/>
          <w:kern w:val="0"/>
          <w14:ligatures w14:val="none"/>
        </w:rPr>
        <w:t xml:space="preserve"> Multi-scale architectural decision framework for classroom natural ventilation.</w:t>
      </w:r>
    </w:p>
    <w:p w14:paraId="21A35525" w14:textId="77777777" w:rsidR="0097680B" w:rsidRPr="0097680B" w:rsidRDefault="0097680B" w:rsidP="0097680B"/>
    <w:sectPr w:rsidR="0097680B" w:rsidRPr="0097680B" w:rsidSect="00AB0F4B">
      <w:footerReference w:type="default" r:id="rId23"/>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52B56" w14:textId="77777777" w:rsidR="00026CA8" w:rsidRDefault="00026CA8" w:rsidP="00AB0F4B">
      <w:pPr>
        <w:spacing w:after="0" w:line="240" w:lineRule="auto"/>
      </w:pPr>
      <w:r>
        <w:separator/>
      </w:r>
    </w:p>
  </w:endnote>
  <w:endnote w:type="continuationSeparator" w:id="0">
    <w:p w14:paraId="17ADFEF6" w14:textId="77777777" w:rsidR="00026CA8" w:rsidRDefault="00026CA8" w:rsidP="00AB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0457395"/>
      <w:docPartObj>
        <w:docPartGallery w:val="Page Numbers (Bottom of Page)"/>
        <w:docPartUnique/>
      </w:docPartObj>
    </w:sdtPr>
    <w:sdtEndPr>
      <w:rPr>
        <w:noProof/>
      </w:rPr>
    </w:sdtEndPr>
    <w:sdtContent>
      <w:p w14:paraId="63479B9F" w14:textId="5F286D7A" w:rsidR="00AB0F4B" w:rsidRDefault="00AB0F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CBC03B" w14:textId="77777777" w:rsidR="00AB0F4B" w:rsidRDefault="00AB0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E4554" w14:textId="77777777" w:rsidR="00026CA8" w:rsidRDefault="00026CA8" w:rsidP="00AB0F4B">
      <w:pPr>
        <w:spacing w:after="0" w:line="240" w:lineRule="auto"/>
      </w:pPr>
      <w:r>
        <w:separator/>
      </w:r>
    </w:p>
  </w:footnote>
  <w:footnote w:type="continuationSeparator" w:id="0">
    <w:p w14:paraId="4B226FBC" w14:textId="77777777" w:rsidR="00026CA8" w:rsidRDefault="00026CA8" w:rsidP="00AB0F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72FE"/>
    <w:multiLevelType w:val="multilevel"/>
    <w:tmpl w:val="7CC4D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20F5A"/>
    <w:multiLevelType w:val="multilevel"/>
    <w:tmpl w:val="6888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0334B7"/>
    <w:multiLevelType w:val="multilevel"/>
    <w:tmpl w:val="0434B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C2523"/>
    <w:multiLevelType w:val="multilevel"/>
    <w:tmpl w:val="E7B4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0296E"/>
    <w:multiLevelType w:val="multilevel"/>
    <w:tmpl w:val="588EBF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D2FE8"/>
    <w:multiLevelType w:val="multilevel"/>
    <w:tmpl w:val="4A68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B31F99"/>
    <w:multiLevelType w:val="multilevel"/>
    <w:tmpl w:val="C978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A7C6A"/>
    <w:multiLevelType w:val="multilevel"/>
    <w:tmpl w:val="79505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0637B"/>
    <w:multiLevelType w:val="hybridMultilevel"/>
    <w:tmpl w:val="52D4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F42A1"/>
    <w:multiLevelType w:val="multilevel"/>
    <w:tmpl w:val="D50A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3D5440"/>
    <w:multiLevelType w:val="hybridMultilevel"/>
    <w:tmpl w:val="CC9AAE34"/>
    <w:lvl w:ilvl="0" w:tplc="040CB774">
      <w:numFmt w:val="bullet"/>
      <w:lvlText w:val="-"/>
      <w:lvlJc w:val="left"/>
      <w:pPr>
        <w:ind w:left="720" w:hanging="360"/>
      </w:pPr>
      <w:rPr>
        <w:rFonts w:asciiTheme="majorBidi" w:eastAsiaTheme="minorHAnsi" w:hAnsiTheme="majorBid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56554"/>
    <w:multiLevelType w:val="multilevel"/>
    <w:tmpl w:val="27182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126FB"/>
    <w:multiLevelType w:val="multilevel"/>
    <w:tmpl w:val="4CC8F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042008"/>
    <w:multiLevelType w:val="multilevel"/>
    <w:tmpl w:val="0E6E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1110B6"/>
    <w:multiLevelType w:val="multilevel"/>
    <w:tmpl w:val="B6EA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72839"/>
    <w:multiLevelType w:val="hybridMultilevel"/>
    <w:tmpl w:val="948EA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0F2BE9"/>
    <w:multiLevelType w:val="multilevel"/>
    <w:tmpl w:val="90A4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BD6E8E"/>
    <w:multiLevelType w:val="multilevel"/>
    <w:tmpl w:val="036C8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821807"/>
    <w:multiLevelType w:val="multilevel"/>
    <w:tmpl w:val="E78C8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4945F4"/>
    <w:multiLevelType w:val="multilevel"/>
    <w:tmpl w:val="BDC0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5D55D1"/>
    <w:multiLevelType w:val="multilevel"/>
    <w:tmpl w:val="17183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8316C9"/>
    <w:multiLevelType w:val="multilevel"/>
    <w:tmpl w:val="B40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B6041"/>
    <w:multiLevelType w:val="multilevel"/>
    <w:tmpl w:val="DF6C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A110F"/>
    <w:multiLevelType w:val="multilevel"/>
    <w:tmpl w:val="1AF0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747BC6"/>
    <w:multiLevelType w:val="multilevel"/>
    <w:tmpl w:val="D31A4278"/>
    <w:lvl w:ilvl="0">
      <w:start w:val="1"/>
      <w:numFmt w:val="decimal"/>
      <w:lvlText w:val="%1."/>
      <w:lvlJc w:val="left"/>
      <w:pPr>
        <w:ind w:left="720" w:hanging="360"/>
      </w:pPr>
    </w:lvl>
    <w:lvl w:ilvl="1">
      <w:start w:val="4"/>
      <w:numFmt w:val="decimal"/>
      <w:isLgl/>
      <w:lvlText w:val="%1.%2."/>
      <w:lvlJc w:val="left"/>
      <w:pPr>
        <w:ind w:left="951" w:hanging="591"/>
      </w:pPr>
      <w:rPr>
        <w:rFonts w:eastAsiaTheme="majorEastAsia" w:hint="default"/>
        <w:b/>
      </w:rPr>
    </w:lvl>
    <w:lvl w:ilvl="2">
      <w:start w:val="3"/>
      <w:numFmt w:val="decimal"/>
      <w:isLgl/>
      <w:lvlText w:val="%1.%2.%3."/>
      <w:lvlJc w:val="left"/>
      <w:pPr>
        <w:ind w:left="1080" w:hanging="720"/>
      </w:pPr>
      <w:rPr>
        <w:rFonts w:eastAsiaTheme="majorEastAsia" w:hint="default"/>
        <w:b/>
      </w:rPr>
    </w:lvl>
    <w:lvl w:ilvl="3">
      <w:start w:val="1"/>
      <w:numFmt w:val="decimal"/>
      <w:isLgl/>
      <w:lvlText w:val="%1.%2.%3.%4."/>
      <w:lvlJc w:val="left"/>
      <w:pPr>
        <w:ind w:left="1080" w:hanging="720"/>
      </w:pPr>
      <w:rPr>
        <w:rFonts w:eastAsiaTheme="majorEastAsia" w:hint="default"/>
        <w:b/>
      </w:rPr>
    </w:lvl>
    <w:lvl w:ilvl="4">
      <w:start w:val="1"/>
      <w:numFmt w:val="decimal"/>
      <w:isLgl/>
      <w:lvlText w:val="%1.%2.%3.%4.%5."/>
      <w:lvlJc w:val="left"/>
      <w:pPr>
        <w:ind w:left="1440" w:hanging="1080"/>
      </w:pPr>
      <w:rPr>
        <w:rFonts w:eastAsiaTheme="majorEastAsia" w:hint="default"/>
        <w:b/>
      </w:rPr>
    </w:lvl>
    <w:lvl w:ilvl="5">
      <w:start w:val="1"/>
      <w:numFmt w:val="decimal"/>
      <w:isLgl/>
      <w:lvlText w:val="%1.%2.%3.%4.%5.%6."/>
      <w:lvlJc w:val="left"/>
      <w:pPr>
        <w:ind w:left="1440" w:hanging="1080"/>
      </w:pPr>
      <w:rPr>
        <w:rFonts w:eastAsiaTheme="majorEastAsia" w:hint="default"/>
        <w:b/>
      </w:rPr>
    </w:lvl>
    <w:lvl w:ilvl="6">
      <w:start w:val="1"/>
      <w:numFmt w:val="decimal"/>
      <w:isLgl/>
      <w:lvlText w:val="%1.%2.%3.%4.%5.%6.%7."/>
      <w:lvlJc w:val="left"/>
      <w:pPr>
        <w:ind w:left="1800" w:hanging="1440"/>
      </w:pPr>
      <w:rPr>
        <w:rFonts w:eastAsiaTheme="majorEastAsia" w:hint="default"/>
        <w:b/>
      </w:rPr>
    </w:lvl>
    <w:lvl w:ilvl="7">
      <w:start w:val="1"/>
      <w:numFmt w:val="decimal"/>
      <w:isLgl/>
      <w:lvlText w:val="%1.%2.%3.%4.%5.%6.%7.%8."/>
      <w:lvlJc w:val="left"/>
      <w:pPr>
        <w:ind w:left="1800" w:hanging="1440"/>
      </w:pPr>
      <w:rPr>
        <w:rFonts w:eastAsiaTheme="majorEastAsia" w:hint="default"/>
        <w:b/>
      </w:rPr>
    </w:lvl>
    <w:lvl w:ilvl="8">
      <w:start w:val="1"/>
      <w:numFmt w:val="decimal"/>
      <w:isLgl/>
      <w:lvlText w:val="%1.%2.%3.%4.%5.%6.%7.%8.%9."/>
      <w:lvlJc w:val="left"/>
      <w:pPr>
        <w:ind w:left="2160" w:hanging="1800"/>
      </w:pPr>
      <w:rPr>
        <w:rFonts w:eastAsiaTheme="majorEastAsia" w:hint="default"/>
        <w:b/>
      </w:rPr>
    </w:lvl>
  </w:abstractNum>
  <w:abstractNum w:abstractNumId="25" w15:restartNumberingAfterBreak="0">
    <w:nsid w:val="708A2DFA"/>
    <w:multiLevelType w:val="multilevel"/>
    <w:tmpl w:val="FC10A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96066F"/>
    <w:multiLevelType w:val="multilevel"/>
    <w:tmpl w:val="207CB5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470B8B"/>
    <w:multiLevelType w:val="multilevel"/>
    <w:tmpl w:val="F1446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6A6BF4"/>
    <w:multiLevelType w:val="hybridMultilevel"/>
    <w:tmpl w:val="6CF0BE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106968"/>
    <w:multiLevelType w:val="multilevel"/>
    <w:tmpl w:val="01AEC4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7"/>
  </w:num>
  <w:num w:numId="3">
    <w:abstractNumId w:val="5"/>
  </w:num>
  <w:num w:numId="4">
    <w:abstractNumId w:val="16"/>
  </w:num>
  <w:num w:numId="5">
    <w:abstractNumId w:val="1"/>
  </w:num>
  <w:num w:numId="6">
    <w:abstractNumId w:val="2"/>
  </w:num>
  <w:num w:numId="7">
    <w:abstractNumId w:val="9"/>
  </w:num>
  <w:num w:numId="8">
    <w:abstractNumId w:val="19"/>
  </w:num>
  <w:num w:numId="9">
    <w:abstractNumId w:val="13"/>
  </w:num>
  <w:num w:numId="10">
    <w:abstractNumId w:val="23"/>
  </w:num>
  <w:num w:numId="11">
    <w:abstractNumId w:val="0"/>
  </w:num>
  <w:num w:numId="12">
    <w:abstractNumId w:val="6"/>
  </w:num>
  <w:num w:numId="13">
    <w:abstractNumId w:val="11"/>
  </w:num>
  <w:num w:numId="14">
    <w:abstractNumId w:val="20"/>
  </w:num>
  <w:num w:numId="15">
    <w:abstractNumId w:val="25"/>
  </w:num>
  <w:num w:numId="16">
    <w:abstractNumId w:val="18"/>
  </w:num>
  <w:num w:numId="17">
    <w:abstractNumId w:val="22"/>
  </w:num>
  <w:num w:numId="18">
    <w:abstractNumId w:val="21"/>
  </w:num>
  <w:num w:numId="19">
    <w:abstractNumId w:val="7"/>
  </w:num>
  <w:num w:numId="20">
    <w:abstractNumId w:val="27"/>
  </w:num>
  <w:num w:numId="21">
    <w:abstractNumId w:val="12"/>
  </w:num>
  <w:num w:numId="22">
    <w:abstractNumId w:val="10"/>
  </w:num>
  <w:num w:numId="23">
    <w:abstractNumId w:val="24"/>
  </w:num>
  <w:num w:numId="24">
    <w:abstractNumId w:val="8"/>
  </w:num>
  <w:num w:numId="25">
    <w:abstractNumId w:val="28"/>
  </w:num>
  <w:num w:numId="26">
    <w:abstractNumId w:val="14"/>
  </w:num>
  <w:num w:numId="27">
    <w:abstractNumId w:val="15"/>
  </w:num>
  <w:num w:numId="28">
    <w:abstractNumId w:val="26"/>
  </w:num>
  <w:num w:numId="29">
    <w:abstractNumId w:val="2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F4B"/>
    <w:rsid w:val="00026CA8"/>
    <w:rsid w:val="000439A5"/>
    <w:rsid w:val="00061DE4"/>
    <w:rsid w:val="00067039"/>
    <w:rsid w:val="000953CA"/>
    <w:rsid w:val="000B6318"/>
    <w:rsid w:val="001103A6"/>
    <w:rsid w:val="00135500"/>
    <w:rsid w:val="00152D2E"/>
    <w:rsid w:val="0017093F"/>
    <w:rsid w:val="001D662C"/>
    <w:rsid w:val="001E2FBB"/>
    <w:rsid w:val="00214409"/>
    <w:rsid w:val="00270926"/>
    <w:rsid w:val="00297B35"/>
    <w:rsid w:val="002A20AF"/>
    <w:rsid w:val="002E6165"/>
    <w:rsid w:val="002F4DDD"/>
    <w:rsid w:val="003174D6"/>
    <w:rsid w:val="00324DF1"/>
    <w:rsid w:val="00333A8A"/>
    <w:rsid w:val="00333D39"/>
    <w:rsid w:val="003416BB"/>
    <w:rsid w:val="00355863"/>
    <w:rsid w:val="00365E44"/>
    <w:rsid w:val="0037305D"/>
    <w:rsid w:val="00382415"/>
    <w:rsid w:val="003A03CA"/>
    <w:rsid w:val="003C1244"/>
    <w:rsid w:val="003D75CF"/>
    <w:rsid w:val="003E7710"/>
    <w:rsid w:val="004524C4"/>
    <w:rsid w:val="0045340F"/>
    <w:rsid w:val="00455495"/>
    <w:rsid w:val="00474DF4"/>
    <w:rsid w:val="00494D04"/>
    <w:rsid w:val="00496DAE"/>
    <w:rsid w:val="004A145E"/>
    <w:rsid w:val="004B6631"/>
    <w:rsid w:val="004C6393"/>
    <w:rsid w:val="00506E5C"/>
    <w:rsid w:val="00537D74"/>
    <w:rsid w:val="00592A65"/>
    <w:rsid w:val="005A7456"/>
    <w:rsid w:val="005B06DA"/>
    <w:rsid w:val="005B1B61"/>
    <w:rsid w:val="005B40FD"/>
    <w:rsid w:val="005B6C1D"/>
    <w:rsid w:val="005C6071"/>
    <w:rsid w:val="005E5896"/>
    <w:rsid w:val="005F03DF"/>
    <w:rsid w:val="005F320C"/>
    <w:rsid w:val="00600EF9"/>
    <w:rsid w:val="00625BC2"/>
    <w:rsid w:val="00666FC9"/>
    <w:rsid w:val="0067494E"/>
    <w:rsid w:val="006A6257"/>
    <w:rsid w:val="006C13DC"/>
    <w:rsid w:val="006C18EC"/>
    <w:rsid w:val="006C69EA"/>
    <w:rsid w:val="006D6BC2"/>
    <w:rsid w:val="00706C81"/>
    <w:rsid w:val="00744A3E"/>
    <w:rsid w:val="00775BCD"/>
    <w:rsid w:val="00784F49"/>
    <w:rsid w:val="007A57D1"/>
    <w:rsid w:val="007E3304"/>
    <w:rsid w:val="007E5739"/>
    <w:rsid w:val="00807DFF"/>
    <w:rsid w:val="008211DD"/>
    <w:rsid w:val="00825E31"/>
    <w:rsid w:val="00865B6E"/>
    <w:rsid w:val="0087764B"/>
    <w:rsid w:val="008971A7"/>
    <w:rsid w:val="008B7130"/>
    <w:rsid w:val="008D5AA5"/>
    <w:rsid w:val="008D648D"/>
    <w:rsid w:val="008E6C5C"/>
    <w:rsid w:val="008F4BA5"/>
    <w:rsid w:val="00922445"/>
    <w:rsid w:val="00924B48"/>
    <w:rsid w:val="00925B10"/>
    <w:rsid w:val="00931058"/>
    <w:rsid w:val="00937166"/>
    <w:rsid w:val="00940718"/>
    <w:rsid w:val="00956551"/>
    <w:rsid w:val="0097680B"/>
    <w:rsid w:val="00976FDD"/>
    <w:rsid w:val="009A3F61"/>
    <w:rsid w:val="009C5949"/>
    <w:rsid w:val="009F408D"/>
    <w:rsid w:val="00A0235A"/>
    <w:rsid w:val="00A044F9"/>
    <w:rsid w:val="00A20086"/>
    <w:rsid w:val="00A26E33"/>
    <w:rsid w:val="00A56DD6"/>
    <w:rsid w:val="00A64723"/>
    <w:rsid w:val="00A950C6"/>
    <w:rsid w:val="00AB0F4B"/>
    <w:rsid w:val="00AB5977"/>
    <w:rsid w:val="00AE34CF"/>
    <w:rsid w:val="00AF403B"/>
    <w:rsid w:val="00B05D50"/>
    <w:rsid w:val="00B3723D"/>
    <w:rsid w:val="00B46C1E"/>
    <w:rsid w:val="00B50052"/>
    <w:rsid w:val="00B555F9"/>
    <w:rsid w:val="00B93DBD"/>
    <w:rsid w:val="00BD0504"/>
    <w:rsid w:val="00BD07C4"/>
    <w:rsid w:val="00BF09D3"/>
    <w:rsid w:val="00C06DEC"/>
    <w:rsid w:val="00C15E3F"/>
    <w:rsid w:val="00C26E94"/>
    <w:rsid w:val="00C32DC4"/>
    <w:rsid w:val="00C33BAD"/>
    <w:rsid w:val="00C33C56"/>
    <w:rsid w:val="00C458C5"/>
    <w:rsid w:val="00C651A4"/>
    <w:rsid w:val="00C70E3C"/>
    <w:rsid w:val="00C947D3"/>
    <w:rsid w:val="00CB63DC"/>
    <w:rsid w:val="00CC45F3"/>
    <w:rsid w:val="00CE09BF"/>
    <w:rsid w:val="00D06EE6"/>
    <w:rsid w:val="00D16A59"/>
    <w:rsid w:val="00D346B8"/>
    <w:rsid w:val="00D5109F"/>
    <w:rsid w:val="00D71398"/>
    <w:rsid w:val="00D9169A"/>
    <w:rsid w:val="00DA752B"/>
    <w:rsid w:val="00DC2295"/>
    <w:rsid w:val="00E10866"/>
    <w:rsid w:val="00E32A97"/>
    <w:rsid w:val="00E36375"/>
    <w:rsid w:val="00E46260"/>
    <w:rsid w:val="00E513DA"/>
    <w:rsid w:val="00E6594C"/>
    <w:rsid w:val="00E677A3"/>
    <w:rsid w:val="00E86ACD"/>
    <w:rsid w:val="00EB316C"/>
    <w:rsid w:val="00EB4396"/>
    <w:rsid w:val="00EC0D33"/>
    <w:rsid w:val="00F33F81"/>
    <w:rsid w:val="00F45034"/>
    <w:rsid w:val="00F55B8C"/>
    <w:rsid w:val="00F56C18"/>
    <w:rsid w:val="00F6111C"/>
    <w:rsid w:val="00F77A88"/>
    <w:rsid w:val="00FB3412"/>
    <w:rsid w:val="00FD42E6"/>
    <w:rsid w:val="00FD5892"/>
    <w:rsid w:val="00FD6CB6"/>
    <w:rsid w:val="00FD6F96"/>
    <w:rsid w:val="00FE02AC"/>
    <w:rsid w:val="00FE5189"/>
    <w:rsid w:val="00FF265D"/>
    <w:rsid w:val="00FF50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3BA7"/>
  <w15:chartTrackingRefBased/>
  <w15:docId w15:val="{DFA86154-933C-45C4-90FA-23E87D7F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B0F4B"/>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next w:val="Normal"/>
    <w:link w:val="Heading3Char"/>
    <w:uiPriority w:val="9"/>
    <w:unhideWhenUsed/>
    <w:qFormat/>
    <w:rsid w:val="00AB0F4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92A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0F4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AB0F4B"/>
    <w:rPr>
      <w:b/>
      <w:bCs/>
    </w:rPr>
  </w:style>
  <w:style w:type="character" w:customStyle="1" w:styleId="Heading2Char">
    <w:name w:val="Heading 2 Char"/>
    <w:basedOn w:val="DefaultParagraphFont"/>
    <w:link w:val="Heading2"/>
    <w:uiPriority w:val="9"/>
    <w:rsid w:val="00AB0F4B"/>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AB0F4B"/>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AB0F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F4B"/>
  </w:style>
  <w:style w:type="paragraph" w:styleId="Footer">
    <w:name w:val="footer"/>
    <w:basedOn w:val="Normal"/>
    <w:link w:val="FooterChar"/>
    <w:uiPriority w:val="99"/>
    <w:unhideWhenUsed/>
    <w:rsid w:val="00AB0F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F4B"/>
  </w:style>
  <w:style w:type="character" w:customStyle="1" w:styleId="Heading4Char">
    <w:name w:val="Heading 4 Char"/>
    <w:basedOn w:val="DefaultParagraphFont"/>
    <w:link w:val="Heading4"/>
    <w:uiPriority w:val="9"/>
    <w:semiHidden/>
    <w:rsid w:val="00592A65"/>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592A65"/>
    <w:rPr>
      <w:i/>
      <w:iCs/>
    </w:rPr>
  </w:style>
  <w:style w:type="table" w:styleId="GridTable1Light">
    <w:name w:val="Grid Table 1 Light"/>
    <w:basedOn w:val="TableNormal"/>
    <w:uiPriority w:val="46"/>
    <w:rsid w:val="00E659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E6594C"/>
    <w:pPr>
      <w:spacing w:after="200" w:line="240" w:lineRule="auto"/>
    </w:pPr>
    <w:rPr>
      <w:i/>
      <w:iCs/>
      <w:color w:val="44546A" w:themeColor="text2"/>
      <w:sz w:val="18"/>
      <w:szCs w:val="18"/>
    </w:rPr>
  </w:style>
  <w:style w:type="character" w:styleId="Hyperlink">
    <w:name w:val="Hyperlink"/>
    <w:basedOn w:val="DefaultParagraphFont"/>
    <w:uiPriority w:val="99"/>
    <w:unhideWhenUsed/>
    <w:rsid w:val="009A3F61"/>
    <w:rPr>
      <w:color w:val="0000FF"/>
      <w:u w:val="single"/>
    </w:rPr>
  </w:style>
  <w:style w:type="paragraph" w:styleId="Bibliography">
    <w:name w:val="Bibliography"/>
    <w:basedOn w:val="Normal"/>
    <w:next w:val="Normal"/>
    <w:uiPriority w:val="37"/>
    <w:unhideWhenUsed/>
    <w:rsid w:val="00F77A88"/>
    <w:pPr>
      <w:bidi/>
      <w:spacing w:after="0" w:line="480" w:lineRule="auto"/>
      <w:ind w:left="720" w:hanging="720"/>
      <w:jc w:val="lowKashida"/>
    </w:pPr>
    <w:rPr>
      <w:rFonts w:ascii="Times New Roman" w:hAnsi="Times New Roman" w:cs="B Mitra"/>
      <w:kern w:val="0"/>
      <w:szCs w:val="26"/>
      <w:lang w:bidi="fa-IR"/>
      <w14:ligatures w14:val="none"/>
    </w:rPr>
  </w:style>
  <w:style w:type="character" w:styleId="UnresolvedMention">
    <w:name w:val="Unresolved Mention"/>
    <w:basedOn w:val="DefaultParagraphFont"/>
    <w:uiPriority w:val="99"/>
    <w:semiHidden/>
    <w:unhideWhenUsed/>
    <w:rsid w:val="003A03CA"/>
    <w:rPr>
      <w:color w:val="605E5C"/>
      <w:shd w:val="clear" w:color="auto" w:fill="E1DFDD"/>
    </w:rPr>
  </w:style>
  <w:style w:type="character" w:customStyle="1" w:styleId="text">
    <w:name w:val="text"/>
    <w:basedOn w:val="DefaultParagraphFont"/>
    <w:rsid w:val="00D346B8"/>
  </w:style>
  <w:style w:type="character" w:customStyle="1" w:styleId="thesis-title-all">
    <w:name w:val="thesis-title-all"/>
    <w:basedOn w:val="DefaultParagraphFont"/>
    <w:rsid w:val="00FD5892"/>
  </w:style>
  <w:style w:type="character" w:styleId="FollowedHyperlink">
    <w:name w:val="FollowedHyperlink"/>
    <w:basedOn w:val="DefaultParagraphFont"/>
    <w:uiPriority w:val="99"/>
    <w:semiHidden/>
    <w:unhideWhenUsed/>
    <w:rsid w:val="00A20086"/>
    <w:rPr>
      <w:color w:val="954F72" w:themeColor="followedHyperlink"/>
      <w:u w:val="single"/>
    </w:rPr>
  </w:style>
  <w:style w:type="paragraph" w:styleId="ListParagraph">
    <w:name w:val="List Paragraph"/>
    <w:basedOn w:val="Normal"/>
    <w:uiPriority w:val="34"/>
    <w:qFormat/>
    <w:rsid w:val="00C06DEC"/>
    <w:pPr>
      <w:ind w:left="720"/>
      <w:contextualSpacing/>
    </w:pPr>
  </w:style>
  <w:style w:type="table" w:styleId="TableGrid">
    <w:name w:val="Table Grid"/>
    <w:basedOn w:val="TableNormal"/>
    <w:uiPriority w:val="59"/>
    <w:rsid w:val="0097680B"/>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9283">
      <w:bodyDiv w:val="1"/>
      <w:marLeft w:val="0"/>
      <w:marRight w:val="0"/>
      <w:marTop w:val="0"/>
      <w:marBottom w:val="0"/>
      <w:divBdr>
        <w:top w:val="none" w:sz="0" w:space="0" w:color="auto"/>
        <w:left w:val="none" w:sz="0" w:space="0" w:color="auto"/>
        <w:bottom w:val="none" w:sz="0" w:space="0" w:color="auto"/>
        <w:right w:val="none" w:sz="0" w:space="0" w:color="auto"/>
      </w:divBdr>
    </w:div>
    <w:div w:id="97071592">
      <w:bodyDiv w:val="1"/>
      <w:marLeft w:val="0"/>
      <w:marRight w:val="0"/>
      <w:marTop w:val="0"/>
      <w:marBottom w:val="0"/>
      <w:divBdr>
        <w:top w:val="none" w:sz="0" w:space="0" w:color="auto"/>
        <w:left w:val="none" w:sz="0" w:space="0" w:color="auto"/>
        <w:bottom w:val="none" w:sz="0" w:space="0" w:color="auto"/>
        <w:right w:val="none" w:sz="0" w:space="0" w:color="auto"/>
      </w:divBdr>
      <w:divsChild>
        <w:div w:id="1365012738">
          <w:marLeft w:val="0"/>
          <w:marRight w:val="0"/>
          <w:marTop w:val="0"/>
          <w:marBottom w:val="0"/>
          <w:divBdr>
            <w:top w:val="none" w:sz="0" w:space="0" w:color="auto"/>
            <w:left w:val="none" w:sz="0" w:space="0" w:color="auto"/>
            <w:bottom w:val="none" w:sz="0" w:space="0" w:color="auto"/>
            <w:right w:val="none" w:sz="0" w:space="0" w:color="auto"/>
          </w:divBdr>
        </w:div>
      </w:divsChild>
    </w:div>
    <w:div w:id="174656056">
      <w:bodyDiv w:val="1"/>
      <w:marLeft w:val="0"/>
      <w:marRight w:val="0"/>
      <w:marTop w:val="0"/>
      <w:marBottom w:val="0"/>
      <w:divBdr>
        <w:top w:val="none" w:sz="0" w:space="0" w:color="auto"/>
        <w:left w:val="none" w:sz="0" w:space="0" w:color="auto"/>
        <w:bottom w:val="none" w:sz="0" w:space="0" w:color="auto"/>
        <w:right w:val="none" w:sz="0" w:space="0" w:color="auto"/>
      </w:divBdr>
    </w:div>
    <w:div w:id="223299797">
      <w:bodyDiv w:val="1"/>
      <w:marLeft w:val="0"/>
      <w:marRight w:val="0"/>
      <w:marTop w:val="0"/>
      <w:marBottom w:val="0"/>
      <w:divBdr>
        <w:top w:val="none" w:sz="0" w:space="0" w:color="auto"/>
        <w:left w:val="none" w:sz="0" w:space="0" w:color="auto"/>
        <w:bottom w:val="none" w:sz="0" w:space="0" w:color="auto"/>
        <w:right w:val="none" w:sz="0" w:space="0" w:color="auto"/>
      </w:divBdr>
    </w:div>
    <w:div w:id="329912350">
      <w:bodyDiv w:val="1"/>
      <w:marLeft w:val="0"/>
      <w:marRight w:val="0"/>
      <w:marTop w:val="0"/>
      <w:marBottom w:val="0"/>
      <w:divBdr>
        <w:top w:val="none" w:sz="0" w:space="0" w:color="auto"/>
        <w:left w:val="none" w:sz="0" w:space="0" w:color="auto"/>
        <w:bottom w:val="none" w:sz="0" w:space="0" w:color="auto"/>
        <w:right w:val="none" w:sz="0" w:space="0" w:color="auto"/>
      </w:divBdr>
    </w:div>
    <w:div w:id="474220605">
      <w:bodyDiv w:val="1"/>
      <w:marLeft w:val="0"/>
      <w:marRight w:val="0"/>
      <w:marTop w:val="0"/>
      <w:marBottom w:val="0"/>
      <w:divBdr>
        <w:top w:val="none" w:sz="0" w:space="0" w:color="auto"/>
        <w:left w:val="none" w:sz="0" w:space="0" w:color="auto"/>
        <w:bottom w:val="none" w:sz="0" w:space="0" w:color="auto"/>
        <w:right w:val="none" w:sz="0" w:space="0" w:color="auto"/>
      </w:divBdr>
    </w:div>
    <w:div w:id="514923207">
      <w:bodyDiv w:val="1"/>
      <w:marLeft w:val="0"/>
      <w:marRight w:val="0"/>
      <w:marTop w:val="0"/>
      <w:marBottom w:val="0"/>
      <w:divBdr>
        <w:top w:val="none" w:sz="0" w:space="0" w:color="auto"/>
        <w:left w:val="none" w:sz="0" w:space="0" w:color="auto"/>
        <w:bottom w:val="none" w:sz="0" w:space="0" w:color="auto"/>
        <w:right w:val="none" w:sz="0" w:space="0" w:color="auto"/>
      </w:divBdr>
    </w:div>
    <w:div w:id="534856376">
      <w:bodyDiv w:val="1"/>
      <w:marLeft w:val="0"/>
      <w:marRight w:val="0"/>
      <w:marTop w:val="0"/>
      <w:marBottom w:val="0"/>
      <w:divBdr>
        <w:top w:val="none" w:sz="0" w:space="0" w:color="auto"/>
        <w:left w:val="none" w:sz="0" w:space="0" w:color="auto"/>
        <w:bottom w:val="none" w:sz="0" w:space="0" w:color="auto"/>
        <w:right w:val="none" w:sz="0" w:space="0" w:color="auto"/>
      </w:divBdr>
    </w:div>
    <w:div w:id="575474876">
      <w:bodyDiv w:val="1"/>
      <w:marLeft w:val="0"/>
      <w:marRight w:val="0"/>
      <w:marTop w:val="0"/>
      <w:marBottom w:val="0"/>
      <w:divBdr>
        <w:top w:val="none" w:sz="0" w:space="0" w:color="auto"/>
        <w:left w:val="none" w:sz="0" w:space="0" w:color="auto"/>
        <w:bottom w:val="none" w:sz="0" w:space="0" w:color="auto"/>
        <w:right w:val="none" w:sz="0" w:space="0" w:color="auto"/>
      </w:divBdr>
    </w:div>
    <w:div w:id="651906465">
      <w:bodyDiv w:val="1"/>
      <w:marLeft w:val="0"/>
      <w:marRight w:val="0"/>
      <w:marTop w:val="0"/>
      <w:marBottom w:val="0"/>
      <w:divBdr>
        <w:top w:val="none" w:sz="0" w:space="0" w:color="auto"/>
        <w:left w:val="none" w:sz="0" w:space="0" w:color="auto"/>
        <w:bottom w:val="none" w:sz="0" w:space="0" w:color="auto"/>
        <w:right w:val="none" w:sz="0" w:space="0" w:color="auto"/>
      </w:divBdr>
      <w:divsChild>
        <w:div w:id="2069375065">
          <w:blockQuote w:val="1"/>
          <w:marLeft w:val="720"/>
          <w:marRight w:val="720"/>
          <w:marTop w:val="100"/>
          <w:marBottom w:val="100"/>
          <w:divBdr>
            <w:top w:val="none" w:sz="0" w:space="0" w:color="auto"/>
            <w:left w:val="none" w:sz="0" w:space="0" w:color="auto"/>
            <w:bottom w:val="none" w:sz="0" w:space="0" w:color="auto"/>
            <w:right w:val="none" w:sz="0" w:space="0" w:color="auto"/>
          </w:divBdr>
        </w:div>
        <w:div w:id="567230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54">
      <w:bodyDiv w:val="1"/>
      <w:marLeft w:val="0"/>
      <w:marRight w:val="0"/>
      <w:marTop w:val="0"/>
      <w:marBottom w:val="0"/>
      <w:divBdr>
        <w:top w:val="none" w:sz="0" w:space="0" w:color="auto"/>
        <w:left w:val="none" w:sz="0" w:space="0" w:color="auto"/>
        <w:bottom w:val="none" w:sz="0" w:space="0" w:color="auto"/>
        <w:right w:val="none" w:sz="0" w:space="0" w:color="auto"/>
      </w:divBdr>
    </w:div>
    <w:div w:id="684983326">
      <w:bodyDiv w:val="1"/>
      <w:marLeft w:val="0"/>
      <w:marRight w:val="0"/>
      <w:marTop w:val="0"/>
      <w:marBottom w:val="0"/>
      <w:divBdr>
        <w:top w:val="none" w:sz="0" w:space="0" w:color="auto"/>
        <w:left w:val="none" w:sz="0" w:space="0" w:color="auto"/>
        <w:bottom w:val="none" w:sz="0" w:space="0" w:color="auto"/>
        <w:right w:val="none" w:sz="0" w:space="0" w:color="auto"/>
      </w:divBdr>
    </w:div>
    <w:div w:id="767041252">
      <w:bodyDiv w:val="1"/>
      <w:marLeft w:val="0"/>
      <w:marRight w:val="0"/>
      <w:marTop w:val="0"/>
      <w:marBottom w:val="0"/>
      <w:divBdr>
        <w:top w:val="none" w:sz="0" w:space="0" w:color="auto"/>
        <w:left w:val="none" w:sz="0" w:space="0" w:color="auto"/>
        <w:bottom w:val="none" w:sz="0" w:space="0" w:color="auto"/>
        <w:right w:val="none" w:sz="0" w:space="0" w:color="auto"/>
      </w:divBdr>
    </w:div>
    <w:div w:id="794253262">
      <w:bodyDiv w:val="1"/>
      <w:marLeft w:val="0"/>
      <w:marRight w:val="0"/>
      <w:marTop w:val="0"/>
      <w:marBottom w:val="0"/>
      <w:divBdr>
        <w:top w:val="none" w:sz="0" w:space="0" w:color="auto"/>
        <w:left w:val="none" w:sz="0" w:space="0" w:color="auto"/>
        <w:bottom w:val="none" w:sz="0" w:space="0" w:color="auto"/>
        <w:right w:val="none" w:sz="0" w:space="0" w:color="auto"/>
      </w:divBdr>
    </w:div>
    <w:div w:id="845094835">
      <w:bodyDiv w:val="1"/>
      <w:marLeft w:val="0"/>
      <w:marRight w:val="0"/>
      <w:marTop w:val="0"/>
      <w:marBottom w:val="0"/>
      <w:divBdr>
        <w:top w:val="none" w:sz="0" w:space="0" w:color="auto"/>
        <w:left w:val="none" w:sz="0" w:space="0" w:color="auto"/>
        <w:bottom w:val="none" w:sz="0" w:space="0" w:color="auto"/>
        <w:right w:val="none" w:sz="0" w:space="0" w:color="auto"/>
      </w:divBdr>
    </w:div>
    <w:div w:id="852845325">
      <w:bodyDiv w:val="1"/>
      <w:marLeft w:val="0"/>
      <w:marRight w:val="0"/>
      <w:marTop w:val="0"/>
      <w:marBottom w:val="0"/>
      <w:divBdr>
        <w:top w:val="none" w:sz="0" w:space="0" w:color="auto"/>
        <w:left w:val="none" w:sz="0" w:space="0" w:color="auto"/>
        <w:bottom w:val="none" w:sz="0" w:space="0" w:color="auto"/>
        <w:right w:val="none" w:sz="0" w:space="0" w:color="auto"/>
      </w:divBdr>
    </w:div>
    <w:div w:id="867253250">
      <w:bodyDiv w:val="1"/>
      <w:marLeft w:val="0"/>
      <w:marRight w:val="0"/>
      <w:marTop w:val="0"/>
      <w:marBottom w:val="0"/>
      <w:divBdr>
        <w:top w:val="none" w:sz="0" w:space="0" w:color="auto"/>
        <w:left w:val="none" w:sz="0" w:space="0" w:color="auto"/>
        <w:bottom w:val="none" w:sz="0" w:space="0" w:color="auto"/>
        <w:right w:val="none" w:sz="0" w:space="0" w:color="auto"/>
      </w:divBdr>
      <w:divsChild>
        <w:div w:id="356540924">
          <w:marLeft w:val="0"/>
          <w:marRight w:val="0"/>
          <w:marTop w:val="0"/>
          <w:marBottom w:val="0"/>
          <w:divBdr>
            <w:top w:val="none" w:sz="0" w:space="0" w:color="auto"/>
            <w:left w:val="none" w:sz="0" w:space="0" w:color="auto"/>
            <w:bottom w:val="none" w:sz="0" w:space="0" w:color="auto"/>
            <w:right w:val="none" w:sz="0" w:space="0" w:color="auto"/>
          </w:divBdr>
        </w:div>
      </w:divsChild>
    </w:div>
    <w:div w:id="875580728">
      <w:bodyDiv w:val="1"/>
      <w:marLeft w:val="0"/>
      <w:marRight w:val="0"/>
      <w:marTop w:val="0"/>
      <w:marBottom w:val="0"/>
      <w:divBdr>
        <w:top w:val="none" w:sz="0" w:space="0" w:color="auto"/>
        <w:left w:val="none" w:sz="0" w:space="0" w:color="auto"/>
        <w:bottom w:val="none" w:sz="0" w:space="0" w:color="auto"/>
        <w:right w:val="none" w:sz="0" w:space="0" w:color="auto"/>
      </w:divBdr>
    </w:div>
    <w:div w:id="892037659">
      <w:bodyDiv w:val="1"/>
      <w:marLeft w:val="0"/>
      <w:marRight w:val="0"/>
      <w:marTop w:val="0"/>
      <w:marBottom w:val="0"/>
      <w:divBdr>
        <w:top w:val="none" w:sz="0" w:space="0" w:color="auto"/>
        <w:left w:val="none" w:sz="0" w:space="0" w:color="auto"/>
        <w:bottom w:val="none" w:sz="0" w:space="0" w:color="auto"/>
        <w:right w:val="none" w:sz="0" w:space="0" w:color="auto"/>
      </w:divBdr>
    </w:div>
    <w:div w:id="1015112514">
      <w:bodyDiv w:val="1"/>
      <w:marLeft w:val="0"/>
      <w:marRight w:val="0"/>
      <w:marTop w:val="0"/>
      <w:marBottom w:val="0"/>
      <w:divBdr>
        <w:top w:val="none" w:sz="0" w:space="0" w:color="auto"/>
        <w:left w:val="none" w:sz="0" w:space="0" w:color="auto"/>
        <w:bottom w:val="none" w:sz="0" w:space="0" w:color="auto"/>
        <w:right w:val="none" w:sz="0" w:space="0" w:color="auto"/>
      </w:divBdr>
    </w:div>
    <w:div w:id="1054502267">
      <w:bodyDiv w:val="1"/>
      <w:marLeft w:val="0"/>
      <w:marRight w:val="0"/>
      <w:marTop w:val="0"/>
      <w:marBottom w:val="0"/>
      <w:divBdr>
        <w:top w:val="none" w:sz="0" w:space="0" w:color="auto"/>
        <w:left w:val="none" w:sz="0" w:space="0" w:color="auto"/>
        <w:bottom w:val="none" w:sz="0" w:space="0" w:color="auto"/>
        <w:right w:val="none" w:sz="0" w:space="0" w:color="auto"/>
      </w:divBdr>
    </w:div>
    <w:div w:id="1375891526">
      <w:bodyDiv w:val="1"/>
      <w:marLeft w:val="0"/>
      <w:marRight w:val="0"/>
      <w:marTop w:val="0"/>
      <w:marBottom w:val="0"/>
      <w:divBdr>
        <w:top w:val="none" w:sz="0" w:space="0" w:color="auto"/>
        <w:left w:val="none" w:sz="0" w:space="0" w:color="auto"/>
        <w:bottom w:val="none" w:sz="0" w:space="0" w:color="auto"/>
        <w:right w:val="none" w:sz="0" w:space="0" w:color="auto"/>
      </w:divBdr>
    </w:div>
    <w:div w:id="1391344040">
      <w:bodyDiv w:val="1"/>
      <w:marLeft w:val="0"/>
      <w:marRight w:val="0"/>
      <w:marTop w:val="0"/>
      <w:marBottom w:val="0"/>
      <w:divBdr>
        <w:top w:val="none" w:sz="0" w:space="0" w:color="auto"/>
        <w:left w:val="none" w:sz="0" w:space="0" w:color="auto"/>
        <w:bottom w:val="none" w:sz="0" w:space="0" w:color="auto"/>
        <w:right w:val="none" w:sz="0" w:space="0" w:color="auto"/>
      </w:divBdr>
    </w:div>
    <w:div w:id="1442339888">
      <w:bodyDiv w:val="1"/>
      <w:marLeft w:val="0"/>
      <w:marRight w:val="0"/>
      <w:marTop w:val="0"/>
      <w:marBottom w:val="0"/>
      <w:divBdr>
        <w:top w:val="none" w:sz="0" w:space="0" w:color="auto"/>
        <w:left w:val="none" w:sz="0" w:space="0" w:color="auto"/>
        <w:bottom w:val="none" w:sz="0" w:space="0" w:color="auto"/>
        <w:right w:val="none" w:sz="0" w:space="0" w:color="auto"/>
      </w:divBdr>
    </w:div>
    <w:div w:id="1455640435">
      <w:bodyDiv w:val="1"/>
      <w:marLeft w:val="0"/>
      <w:marRight w:val="0"/>
      <w:marTop w:val="0"/>
      <w:marBottom w:val="0"/>
      <w:divBdr>
        <w:top w:val="none" w:sz="0" w:space="0" w:color="auto"/>
        <w:left w:val="none" w:sz="0" w:space="0" w:color="auto"/>
        <w:bottom w:val="none" w:sz="0" w:space="0" w:color="auto"/>
        <w:right w:val="none" w:sz="0" w:space="0" w:color="auto"/>
      </w:divBdr>
    </w:div>
    <w:div w:id="1597595471">
      <w:bodyDiv w:val="1"/>
      <w:marLeft w:val="0"/>
      <w:marRight w:val="0"/>
      <w:marTop w:val="0"/>
      <w:marBottom w:val="0"/>
      <w:divBdr>
        <w:top w:val="none" w:sz="0" w:space="0" w:color="auto"/>
        <w:left w:val="none" w:sz="0" w:space="0" w:color="auto"/>
        <w:bottom w:val="none" w:sz="0" w:space="0" w:color="auto"/>
        <w:right w:val="none" w:sz="0" w:space="0" w:color="auto"/>
      </w:divBdr>
      <w:divsChild>
        <w:div w:id="1020163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0367167">
      <w:bodyDiv w:val="1"/>
      <w:marLeft w:val="0"/>
      <w:marRight w:val="0"/>
      <w:marTop w:val="0"/>
      <w:marBottom w:val="0"/>
      <w:divBdr>
        <w:top w:val="none" w:sz="0" w:space="0" w:color="auto"/>
        <w:left w:val="none" w:sz="0" w:space="0" w:color="auto"/>
        <w:bottom w:val="none" w:sz="0" w:space="0" w:color="auto"/>
        <w:right w:val="none" w:sz="0" w:space="0" w:color="auto"/>
      </w:divBdr>
    </w:div>
    <w:div w:id="1818062447">
      <w:bodyDiv w:val="1"/>
      <w:marLeft w:val="0"/>
      <w:marRight w:val="0"/>
      <w:marTop w:val="0"/>
      <w:marBottom w:val="0"/>
      <w:divBdr>
        <w:top w:val="none" w:sz="0" w:space="0" w:color="auto"/>
        <w:left w:val="none" w:sz="0" w:space="0" w:color="auto"/>
        <w:bottom w:val="none" w:sz="0" w:space="0" w:color="auto"/>
        <w:right w:val="none" w:sz="0" w:space="0" w:color="auto"/>
      </w:divBdr>
      <w:divsChild>
        <w:div w:id="1373073065">
          <w:marLeft w:val="0"/>
          <w:marRight w:val="0"/>
          <w:marTop w:val="0"/>
          <w:marBottom w:val="0"/>
          <w:divBdr>
            <w:top w:val="none" w:sz="0" w:space="0" w:color="auto"/>
            <w:left w:val="none" w:sz="0" w:space="0" w:color="auto"/>
            <w:bottom w:val="none" w:sz="0" w:space="0" w:color="auto"/>
            <w:right w:val="none" w:sz="0" w:space="0" w:color="auto"/>
          </w:divBdr>
        </w:div>
      </w:divsChild>
    </w:div>
    <w:div w:id="1824661881">
      <w:bodyDiv w:val="1"/>
      <w:marLeft w:val="0"/>
      <w:marRight w:val="0"/>
      <w:marTop w:val="0"/>
      <w:marBottom w:val="0"/>
      <w:divBdr>
        <w:top w:val="none" w:sz="0" w:space="0" w:color="auto"/>
        <w:left w:val="none" w:sz="0" w:space="0" w:color="auto"/>
        <w:bottom w:val="none" w:sz="0" w:space="0" w:color="auto"/>
        <w:right w:val="none" w:sz="0" w:space="0" w:color="auto"/>
      </w:divBdr>
    </w:div>
    <w:div w:id="1858426609">
      <w:bodyDiv w:val="1"/>
      <w:marLeft w:val="0"/>
      <w:marRight w:val="0"/>
      <w:marTop w:val="0"/>
      <w:marBottom w:val="0"/>
      <w:divBdr>
        <w:top w:val="none" w:sz="0" w:space="0" w:color="auto"/>
        <w:left w:val="none" w:sz="0" w:space="0" w:color="auto"/>
        <w:bottom w:val="none" w:sz="0" w:space="0" w:color="auto"/>
        <w:right w:val="none" w:sz="0" w:space="0" w:color="auto"/>
      </w:divBdr>
    </w:div>
    <w:div w:id="2020963854">
      <w:bodyDiv w:val="1"/>
      <w:marLeft w:val="0"/>
      <w:marRight w:val="0"/>
      <w:marTop w:val="0"/>
      <w:marBottom w:val="0"/>
      <w:divBdr>
        <w:top w:val="none" w:sz="0" w:space="0" w:color="auto"/>
        <w:left w:val="none" w:sz="0" w:space="0" w:color="auto"/>
        <w:bottom w:val="none" w:sz="0" w:space="0" w:color="auto"/>
        <w:right w:val="none" w:sz="0" w:space="0" w:color="auto"/>
      </w:divBdr>
    </w:div>
    <w:div w:id="2033412421">
      <w:bodyDiv w:val="1"/>
      <w:marLeft w:val="0"/>
      <w:marRight w:val="0"/>
      <w:marTop w:val="0"/>
      <w:marBottom w:val="0"/>
      <w:divBdr>
        <w:top w:val="none" w:sz="0" w:space="0" w:color="auto"/>
        <w:left w:val="none" w:sz="0" w:space="0" w:color="auto"/>
        <w:bottom w:val="none" w:sz="0" w:space="0" w:color="auto"/>
        <w:right w:val="none" w:sz="0" w:space="0" w:color="auto"/>
      </w:divBdr>
      <w:divsChild>
        <w:div w:id="198859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uildenv.2023.110942" TargetMode="External"/><Relationship Id="rId13" Type="http://schemas.openxmlformats.org/officeDocument/2006/relationships/hyperlink" Target="http://jhsw.tums.ac.ir/article-1-7213-fa.html"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doi.org/10.1155/2021/6668031" TargetMode="External"/><Relationship Id="rId12" Type="http://schemas.openxmlformats.org/officeDocument/2006/relationships/hyperlink" Target="https://doi.org/10.1016/j.buildenv.2025.113329"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6040/pawon.v7i2.7018"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id.ir/paper/386912/en" TargetMode="External"/><Relationship Id="rId23" Type="http://schemas.openxmlformats.org/officeDocument/2006/relationships/footer" Target="footer1.xml"/><Relationship Id="rId10" Type="http://schemas.openxmlformats.org/officeDocument/2006/relationships/hyperlink" Target="https://doi.org/10.1080/23744731.2018.1432938"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doi.org/10.3390/app142411705" TargetMode="External"/><Relationship Id="rId14" Type="http://schemas.openxmlformats.org/officeDocument/2006/relationships/hyperlink" Target="https://doi.org/10.4324/9780203583470"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14413</Words>
  <Characters>82157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G634JZR</dc:creator>
  <cp:keywords/>
  <dc:description/>
  <cp:lastModifiedBy>G634JZR</cp:lastModifiedBy>
  <cp:revision>4</cp:revision>
  <dcterms:created xsi:type="dcterms:W3CDTF">2026-06-17T21:17:00Z</dcterms:created>
  <dcterms:modified xsi:type="dcterms:W3CDTF">2026-06-17T21:29:00Z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id="d6mg6038"/&gt;&lt;style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