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718C" w14:textId="07C1244C" w:rsidR="006104F0" w:rsidRDefault="006104F0" w:rsidP="00D40A1F">
      <w:pPr>
        <w:spacing w:after="0" w:line="240" w:lineRule="auto"/>
        <w:contextualSpacing/>
        <w:jc w:val="center"/>
        <w:rPr>
          <w:rFonts w:asciiTheme="majorBidi" w:hAnsiTheme="majorBidi" w:cstheme="majorBidi"/>
          <w:b/>
          <w:bCs/>
          <w:sz w:val="28"/>
          <w:szCs w:val="28"/>
        </w:rPr>
      </w:pPr>
      <w:r w:rsidRPr="006104F0">
        <w:rPr>
          <w:rFonts w:asciiTheme="majorBidi" w:hAnsiTheme="majorBidi" w:cstheme="majorBidi"/>
          <w:b/>
          <w:bCs/>
          <w:sz w:val="28"/>
          <w:szCs w:val="28"/>
        </w:rPr>
        <w:t>Identifying Drivers of Affordable Housing Supply</w:t>
      </w:r>
    </w:p>
    <w:p w14:paraId="0DB868FD" w14:textId="1166BD78" w:rsidR="006104F0" w:rsidRDefault="006104F0" w:rsidP="00D40A1F">
      <w:pPr>
        <w:spacing w:after="0" w:line="240" w:lineRule="auto"/>
        <w:contextualSpacing/>
        <w:jc w:val="center"/>
        <w:rPr>
          <w:rFonts w:asciiTheme="majorBidi" w:hAnsiTheme="majorBidi" w:cstheme="majorBidi"/>
          <w:b/>
          <w:bCs/>
          <w:sz w:val="28"/>
          <w:szCs w:val="28"/>
        </w:rPr>
      </w:pPr>
      <w:r w:rsidRPr="006104F0">
        <w:rPr>
          <w:rFonts w:asciiTheme="majorBidi" w:hAnsiTheme="majorBidi" w:cstheme="majorBidi"/>
          <w:b/>
          <w:bCs/>
          <w:sz w:val="28"/>
          <w:szCs w:val="28"/>
        </w:rPr>
        <w:t>Based on Socio-Cultural Patterns in Iran</w:t>
      </w:r>
    </w:p>
    <w:p w14:paraId="79B78B45" w14:textId="16FA91DD" w:rsidR="006104F0" w:rsidRDefault="006104F0" w:rsidP="006104F0">
      <w:pPr>
        <w:spacing w:after="0" w:line="240" w:lineRule="auto"/>
        <w:contextualSpacing/>
        <w:jc w:val="both"/>
        <w:rPr>
          <w:rFonts w:asciiTheme="majorBidi" w:hAnsiTheme="majorBidi" w:cstheme="majorBidi"/>
          <w:sz w:val="28"/>
          <w:szCs w:val="28"/>
        </w:rPr>
      </w:pPr>
    </w:p>
    <w:p w14:paraId="25BA7685" w14:textId="77777777" w:rsidR="006104F0" w:rsidRPr="006104F0" w:rsidRDefault="006104F0" w:rsidP="006104F0">
      <w:pPr>
        <w:spacing w:after="0" w:line="240" w:lineRule="auto"/>
        <w:contextualSpacing/>
        <w:jc w:val="both"/>
        <w:rPr>
          <w:rFonts w:asciiTheme="majorBidi" w:hAnsiTheme="majorBidi" w:cstheme="majorBidi"/>
          <w:sz w:val="28"/>
          <w:szCs w:val="28"/>
        </w:rPr>
      </w:pPr>
    </w:p>
    <w:p w14:paraId="33B96EAB" w14:textId="179A3401" w:rsidR="006104F0" w:rsidRDefault="006104F0" w:rsidP="006104F0">
      <w:pPr>
        <w:tabs>
          <w:tab w:val="num" w:pos="720"/>
        </w:tabs>
        <w:spacing w:after="0" w:line="240" w:lineRule="auto"/>
        <w:contextualSpacing/>
        <w:jc w:val="both"/>
        <w:rPr>
          <w:rFonts w:asciiTheme="majorBidi" w:hAnsiTheme="majorBidi" w:cstheme="majorBidi"/>
        </w:rPr>
      </w:pPr>
      <w:r w:rsidRPr="006104F0">
        <w:rPr>
          <w:rFonts w:asciiTheme="majorBidi" w:hAnsiTheme="majorBidi" w:cstheme="majorBidi"/>
          <w:b/>
          <w:bCs/>
        </w:rPr>
        <w:t>Abstract:</w:t>
      </w:r>
      <w:r w:rsidRPr="006104F0">
        <w:rPr>
          <w:rFonts w:asciiTheme="majorBidi" w:hAnsiTheme="majorBidi" w:cstheme="majorBidi"/>
        </w:rPr>
        <w:br/>
        <w:t>The aim of this research is to identify the effective drivers of affordable housing supply based on the socio-cultural patterns of Iran. To achieve this goal, a mixed-method approach was employed. The statistical population of this study includes all experts, managers, and elites familiar with the subject. In the initial stages, 33 credible articles were selected and analyzed using the meta-synthesis method, a qualitative approach, combined with interviews with five experts to identify the drivers. Subsequently, through a sample of 273 experts, elites, and specialists, and using confirmatory factor analysis, localized drivers for Iran were extracted.</w:t>
      </w:r>
      <w:r>
        <w:rPr>
          <w:rFonts w:asciiTheme="majorBidi" w:hAnsiTheme="majorBidi" w:cstheme="majorBidi"/>
        </w:rPr>
        <w:t xml:space="preserve"> </w:t>
      </w:r>
      <w:r w:rsidRPr="006104F0">
        <w:rPr>
          <w:rFonts w:asciiTheme="majorBidi" w:hAnsiTheme="majorBidi" w:cstheme="majorBidi"/>
        </w:rPr>
        <w:t>The key drivers identified include:</w:t>
      </w:r>
      <w:r>
        <w:rPr>
          <w:rFonts w:asciiTheme="majorBidi" w:hAnsiTheme="majorBidi" w:cstheme="majorBidi"/>
        </w:rPr>
        <w:t xml:space="preserve"> </w:t>
      </w:r>
      <w:r w:rsidRPr="006104F0">
        <w:rPr>
          <w:rFonts w:asciiTheme="majorBidi" w:hAnsiTheme="majorBidi" w:cstheme="majorBidi"/>
        </w:rPr>
        <w:t>Standardization and modularization of design and construction,</w:t>
      </w:r>
      <w:r>
        <w:rPr>
          <w:rFonts w:asciiTheme="majorBidi" w:hAnsiTheme="majorBidi" w:cstheme="majorBidi"/>
        </w:rPr>
        <w:t xml:space="preserve"> </w:t>
      </w:r>
      <w:r w:rsidRPr="006104F0">
        <w:rPr>
          <w:rFonts w:asciiTheme="majorBidi" w:hAnsiTheme="majorBidi" w:cstheme="majorBidi"/>
        </w:rPr>
        <w:t>Use of passive ventilation and climate-responsive strategies,</w:t>
      </w:r>
      <w:r>
        <w:rPr>
          <w:rFonts w:asciiTheme="majorBidi" w:hAnsiTheme="majorBidi" w:cstheme="majorBidi"/>
        </w:rPr>
        <w:t xml:space="preserve"> </w:t>
      </w:r>
      <w:r w:rsidRPr="006104F0">
        <w:rPr>
          <w:rFonts w:asciiTheme="majorBidi" w:hAnsiTheme="majorBidi" w:cstheme="majorBidi"/>
        </w:rPr>
        <w:t>Adoption of modern technologies in construction and design,</w:t>
      </w:r>
      <w:r>
        <w:rPr>
          <w:rFonts w:asciiTheme="majorBidi" w:hAnsiTheme="majorBidi" w:cstheme="majorBidi"/>
        </w:rPr>
        <w:t xml:space="preserve"> </w:t>
      </w:r>
      <w:r w:rsidRPr="006104F0">
        <w:rPr>
          <w:rFonts w:asciiTheme="majorBidi" w:hAnsiTheme="majorBidi" w:cstheme="majorBidi"/>
        </w:rPr>
        <w:t>Utilization of sustainable and recyclable materials,</w:t>
      </w:r>
      <w:r>
        <w:rPr>
          <w:rFonts w:asciiTheme="majorBidi" w:hAnsiTheme="majorBidi" w:cstheme="majorBidi"/>
        </w:rPr>
        <w:t xml:space="preserve"> </w:t>
      </w:r>
      <w:r w:rsidRPr="006104F0">
        <w:rPr>
          <w:rFonts w:asciiTheme="majorBidi" w:hAnsiTheme="majorBidi" w:cstheme="majorBidi"/>
        </w:rPr>
        <w:t>Increasing speed and productivity in production and execution processes,</w:t>
      </w:r>
      <w:r>
        <w:rPr>
          <w:rFonts w:asciiTheme="majorBidi" w:hAnsiTheme="majorBidi" w:cstheme="majorBidi"/>
        </w:rPr>
        <w:t xml:space="preserve"> </w:t>
      </w:r>
      <w:r w:rsidRPr="006104F0">
        <w:rPr>
          <w:rFonts w:asciiTheme="majorBidi" w:hAnsiTheme="majorBidi" w:cstheme="majorBidi"/>
        </w:rPr>
        <w:t>Adaptability to user and family needs,</w:t>
      </w:r>
      <w:r>
        <w:rPr>
          <w:rFonts w:asciiTheme="majorBidi" w:hAnsiTheme="majorBidi" w:cstheme="majorBidi"/>
        </w:rPr>
        <w:t xml:space="preserve"> </w:t>
      </w:r>
      <w:r w:rsidRPr="006104F0">
        <w:rPr>
          <w:rFonts w:asciiTheme="majorBidi" w:hAnsiTheme="majorBidi" w:cstheme="majorBidi"/>
        </w:rPr>
        <w:t>Flexibility in design and spatial variability,</w:t>
      </w:r>
      <w:r>
        <w:rPr>
          <w:rFonts w:asciiTheme="majorBidi" w:hAnsiTheme="majorBidi" w:cstheme="majorBidi"/>
        </w:rPr>
        <w:t xml:space="preserve"> </w:t>
      </w:r>
      <w:r w:rsidRPr="006104F0">
        <w:rPr>
          <w:rFonts w:asciiTheme="majorBidi" w:hAnsiTheme="majorBidi" w:cstheme="majorBidi"/>
        </w:rPr>
        <w:t>Building safety and resilience,</w:t>
      </w:r>
      <w:r>
        <w:rPr>
          <w:rFonts w:asciiTheme="majorBidi" w:hAnsiTheme="majorBidi" w:cstheme="majorBidi"/>
        </w:rPr>
        <w:t xml:space="preserve"> </w:t>
      </w:r>
      <w:r w:rsidRPr="006104F0">
        <w:rPr>
          <w:rFonts w:asciiTheme="majorBidi" w:hAnsiTheme="majorBidi" w:cstheme="majorBidi"/>
        </w:rPr>
        <w:t>Optimization of energy consumption and reduction of environmental impacts,</w:t>
      </w:r>
      <w:r>
        <w:rPr>
          <w:rFonts w:asciiTheme="majorBidi" w:hAnsiTheme="majorBidi" w:cstheme="majorBidi"/>
        </w:rPr>
        <w:t xml:space="preserve"> </w:t>
      </w:r>
      <w:r w:rsidRPr="006104F0">
        <w:rPr>
          <w:rFonts w:asciiTheme="majorBidi" w:hAnsiTheme="majorBidi" w:cstheme="majorBidi"/>
        </w:rPr>
        <w:t>Optimization of energy costs and ventilation systems,</w:t>
      </w:r>
      <w:r>
        <w:rPr>
          <w:rFonts w:asciiTheme="majorBidi" w:hAnsiTheme="majorBidi" w:cstheme="majorBidi"/>
        </w:rPr>
        <w:t xml:space="preserve"> </w:t>
      </w:r>
      <w:r w:rsidRPr="006104F0">
        <w:rPr>
          <w:rFonts w:asciiTheme="majorBidi" w:hAnsiTheme="majorBidi" w:cstheme="majorBidi"/>
        </w:rPr>
        <w:t>Provision of psychological comfort and prevention of environmental stress,</w:t>
      </w:r>
      <w:r>
        <w:rPr>
          <w:rFonts w:asciiTheme="majorBidi" w:hAnsiTheme="majorBidi" w:cstheme="majorBidi"/>
        </w:rPr>
        <w:t xml:space="preserve"> </w:t>
      </w:r>
      <w:r w:rsidRPr="006104F0">
        <w:rPr>
          <w:rFonts w:asciiTheme="majorBidi" w:hAnsiTheme="majorBidi" w:cstheme="majorBidi"/>
        </w:rPr>
        <w:t>Provision of natural light and optimal use of sunlight,</w:t>
      </w:r>
      <w:r>
        <w:rPr>
          <w:rFonts w:asciiTheme="majorBidi" w:hAnsiTheme="majorBidi" w:cstheme="majorBidi"/>
        </w:rPr>
        <w:t xml:space="preserve"> </w:t>
      </w:r>
      <w:r w:rsidRPr="006104F0">
        <w:rPr>
          <w:rFonts w:asciiTheme="majorBidi" w:hAnsiTheme="majorBidi" w:cstheme="majorBidi"/>
        </w:rPr>
        <w:t>Strengthening neighborhood relationships and social interaction,</w:t>
      </w:r>
      <w:r>
        <w:rPr>
          <w:rFonts w:asciiTheme="majorBidi" w:hAnsiTheme="majorBidi" w:cstheme="majorBidi"/>
        </w:rPr>
        <w:t xml:space="preserve"> </w:t>
      </w:r>
      <w:r w:rsidRPr="006104F0">
        <w:rPr>
          <w:rFonts w:asciiTheme="majorBidi" w:hAnsiTheme="majorBidi" w:cstheme="majorBidi"/>
        </w:rPr>
        <w:t>Aesthetic considerations and preservation of architectural identity,</w:t>
      </w:r>
      <w:r>
        <w:rPr>
          <w:rFonts w:asciiTheme="majorBidi" w:hAnsiTheme="majorBidi" w:cstheme="majorBidi"/>
        </w:rPr>
        <w:t xml:space="preserve"> </w:t>
      </w:r>
      <w:r w:rsidRPr="006104F0">
        <w:rPr>
          <w:rFonts w:asciiTheme="majorBidi" w:hAnsiTheme="majorBidi" w:cstheme="majorBidi"/>
        </w:rPr>
        <w:t>Cost savings in construction and maintenance,</w:t>
      </w:r>
      <w:r>
        <w:rPr>
          <w:rFonts w:asciiTheme="majorBidi" w:hAnsiTheme="majorBidi" w:cstheme="majorBidi"/>
        </w:rPr>
        <w:t xml:space="preserve"> </w:t>
      </w:r>
      <w:r w:rsidRPr="006104F0">
        <w:rPr>
          <w:rFonts w:asciiTheme="majorBidi" w:hAnsiTheme="majorBidi" w:cstheme="majorBidi"/>
        </w:rPr>
        <w:t>Future-oriented design and expandability,</w:t>
      </w:r>
      <w:r>
        <w:rPr>
          <w:rFonts w:asciiTheme="majorBidi" w:hAnsiTheme="majorBidi" w:cstheme="majorBidi"/>
        </w:rPr>
        <w:t xml:space="preserve"> </w:t>
      </w:r>
      <w:r w:rsidRPr="006104F0">
        <w:rPr>
          <w:rFonts w:asciiTheme="majorBidi" w:hAnsiTheme="majorBidi" w:cstheme="majorBidi"/>
        </w:rPr>
        <w:t>Design of multipurpose and flexible spaces,</w:t>
      </w:r>
      <w:r>
        <w:rPr>
          <w:rFonts w:asciiTheme="majorBidi" w:hAnsiTheme="majorBidi" w:cstheme="majorBidi"/>
        </w:rPr>
        <w:t xml:space="preserve"> </w:t>
      </w:r>
      <w:r w:rsidRPr="006104F0">
        <w:rPr>
          <w:rFonts w:asciiTheme="majorBidi" w:hAnsiTheme="majorBidi" w:cstheme="majorBidi"/>
        </w:rPr>
        <w:t>Coordination between structural and mechanical systems,</w:t>
      </w:r>
      <w:r>
        <w:rPr>
          <w:rFonts w:asciiTheme="majorBidi" w:hAnsiTheme="majorBidi" w:cstheme="majorBidi"/>
        </w:rPr>
        <w:t xml:space="preserve"> </w:t>
      </w:r>
      <w:r w:rsidRPr="006104F0">
        <w:rPr>
          <w:rFonts w:asciiTheme="majorBidi" w:hAnsiTheme="majorBidi" w:cstheme="majorBidi"/>
        </w:rPr>
        <w:t>Reduction of environmental impacts during construction and operation,</w:t>
      </w:r>
      <w:r>
        <w:rPr>
          <w:rFonts w:asciiTheme="majorBidi" w:hAnsiTheme="majorBidi" w:cstheme="majorBidi"/>
        </w:rPr>
        <w:t xml:space="preserve"> </w:t>
      </w:r>
      <w:r w:rsidRPr="006104F0">
        <w:rPr>
          <w:rFonts w:asciiTheme="majorBidi" w:hAnsiTheme="majorBidi" w:cstheme="majorBidi"/>
        </w:rPr>
        <w:t>Reduction of construction waste and waste management,</w:t>
      </w:r>
      <w:r>
        <w:rPr>
          <w:rFonts w:asciiTheme="majorBidi" w:hAnsiTheme="majorBidi" w:cstheme="majorBidi"/>
        </w:rPr>
        <w:t xml:space="preserve"> </w:t>
      </w:r>
      <w:r w:rsidRPr="006104F0">
        <w:rPr>
          <w:rFonts w:asciiTheme="majorBidi" w:hAnsiTheme="majorBidi" w:cstheme="majorBidi"/>
        </w:rPr>
        <w:t>Decreased reliance on human labor,</w:t>
      </w:r>
      <w:r>
        <w:rPr>
          <w:rFonts w:asciiTheme="majorBidi" w:hAnsiTheme="majorBidi" w:cstheme="majorBidi"/>
        </w:rPr>
        <w:t xml:space="preserve"> </w:t>
      </w:r>
      <w:r w:rsidRPr="006104F0">
        <w:rPr>
          <w:rFonts w:asciiTheme="majorBidi" w:hAnsiTheme="majorBidi" w:cstheme="majorBidi"/>
        </w:rPr>
        <w:t>High-quality residential spaces and provision of occupant comfort.</w:t>
      </w:r>
      <w:r>
        <w:rPr>
          <w:rFonts w:asciiTheme="majorBidi" w:hAnsiTheme="majorBidi" w:cstheme="majorBidi"/>
        </w:rPr>
        <w:t xml:space="preserve"> </w:t>
      </w:r>
      <w:r w:rsidRPr="006104F0">
        <w:rPr>
          <w:rFonts w:asciiTheme="majorBidi" w:hAnsiTheme="majorBidi" w:cstheme="majorBidi"/>
        </w:rPr>
        <w:t>These are the main and significant drivers that must be considered in this endeavor. Finally, it was suggested that by providing special facilities, education and guidance, creating shared and social spaces, improving construction standards, offering customization options, and promoting collaborative lifestyles and spaces, affordable housing can be brought closer to the socio-cultural patterns of Iran.</w:t>
      </w:r>
    </w:p>
    <w:p w14:paraId="11C9CD47" w14:textId="77777777" w:rsidR="00D40A1F" w:rsidRPr="006104F0" w:rsidRDefault="00D40A1F" w:rsidP="006104F0">
      <w:pPr>
        <w:tabs>
          <w:tab w:val="num" w:pos="720"/>
        </w:tabs>
        <w:spacing w:after="0" w:line="240" w:lineRule="auto"/>
        <w:contextualSpacing/>
        <w:jc w:val="both"/>
        <w:rPr>
          <w:rFonts w:asciiTheme="majorBidi" w:hAnsiTheme="majorBidi" w:cstheme="majorBidi"/>
        </w:rPr>
      </w:pPr>
    </w:p>
    <w:p w14:paraId="6BD755BC" w14:textId="013B7943" w:rsidR="006104F0" w:rsidRPr="006104F0" w:rsidRDefault="006104F0" w:rsidP="006104F0">
      <w:pPr>
        <w:spacing w:after="0" w:line="240" w:lineRule="auto"/>
        <w:contextualSpacing/>
        <w:jc w:val="both"/>
        <w:rPr>
          <w:rFonts w:asciiTheme="majorBidi" w:hAnsiTheme="majorBidi" w:cstheme="majorBidi"/>
        </w:rPr>
      </w:pPr>
      <w:r w:rsidRPr="006104F0">
        <w:rPr>
          <w:rFonts w:asciiTheme="majorBidi" w:hAnsiTheme="majorBidi" w:cstheme="majorBidi"/>
          <w:b/>
          <w:bCs/>
        </w:rPr>
        <w:t>Keywords:</w:t>
      </w:r>
      <w:r w:rsidRPr="006104F0">
        <w:rPr>
          <w:rFonts w:asciiTheme="majorBidi" w:hAnsiTheme="majorBidi" w:cstheme="majorBidi"/>
        </w:rPr>
        <w:t> </w:t>
      </w:r>
      <w:r>
        <w:rPr>
          <w:rFonts w:asciiTheme="majorBidi" w:hAnsiTheme="majorBidi" w:cstheme="majorBidi"/>
        </w:rPr>
        <w:t>A</w:t>
      </w:r>
      <w:r w:rsidRPr="006104F0">
        <w:rPr>
          <w:rFonts w:asciiTheme="majorBidi" w:hAnsiTheme="majorBidi" w:cstheme="majorBidi"/>
        </w:rPr>
        <w:t xml:space="preserve">ffordable </w:t>
      </w:r>
      <w:r>
        <w:rPr>
          <w:rFonts w:asciiTheme="majorBidi" w:hAnsiTheme="majorBidi" w:cstheme="majorBidi"/>
        </w:rPr>
        <w:t>H</w:t>
      </w:r>
      <w:r w:rsidRPr="006104F0">
        <w:rPr>
          <w:rFonts w:asciiTheme="majorBidi" w:hAnsiTheme="majorBidi" w:cstheme="majorBidi"/>
        </w:rPr>
        <w:t>ousing</w:t>
      </w:r>
      <w:r>
        <w:rPr>
          <w:rFonts w:asciiTheme="majorBidi" w:hAnsiTheme="majorBidi" w:cstheme="majorBidi"/>
        </w:rPr>
        <w:t>,</w:t>
      </w:r>
      <w:r w:rsidRPr="006104F0">
        <w:rPr>
          <w:rFonts w:asciiTheme="majorBidi" w:hAnsiTheme="majorBidi" w:cstheme="majorBidi"/>
        </w:rPr>
        <w:t xml:space="preserve"> </w:t>
      </w:r>
      <w:r>
        <w:rPr>
          <w:rFonts w:asciiTheme="majorBidi" w:hAnsiTheme="majorBidi" w:cstheme="majorBidi"/>
        </w:rPr>
        <w:t>D</w:t>
      </w:r>
      <w:r w:rsidRPr="006104F0">
        <w:rPr>
          <w:rFonts w:asciiTheme="majorBidi" w:hAnsiTheme="majorBidi" w:cstheme="majorBidi"/>
        </w:rPr>
        <w:t>rivers,</w:t>
      </w:r>
      <w:r>
        <w:rPr>
          <w:rFonts w:asciiTheme="majorBidi" w:hAnsiTheme="majorBidi" w:cstheme="majorBidi"/>
        </w:rPr>
        <w:t xml:space="preserve"> </w:t>
      </w:r>
      <w:r w:rsidRPr="006104F0">
        <w:rPr>
          <w:rFonts w:asciiTheme="majorBidi" w:hAnsiTheme="majorBidi" w:cstheme="majorBidi"/>
        </w:rPr>
        <w:t>Socio-cultural patterns.</w:t>
      </w:r>
    </w:p>
    <w:p w14:paraId="1798C95D" w14:textId="4012267D" w:rsidR="006104F0" w:rsidRDefault="006104F0" w:rsidP="006104F0">
      <w:pPr>
        <w:spacing w:after="0" w:line="240" w:lineRule="auto"/>
        <w:contextualSpacing/>
        <w:jc w:val="both"/>
        <w:rPr>
          <w:rFonts w:asciiTheme="majorBidi" w:hAnsiTheme="majorBidi" w:cstheme="majorBidi"/>
        </w:rPr>
      </w:pPr>
      <w:r>
        <w:rPr>
          <w:rFonts w:asciiTheme="majorBidi" w:hAnsiTheme="majorBidi" w:cstheme="majorBidi"/>
        </w:rPr>
        <w:br w:type="page"/>
      </w:r>
    </w:p>
    <w:p w14:paraId="08D4F05D" w14:textId="54F4E3F4" w:rsidR="006104F0" w:rsidRPr="006104F0" w:rsidRDefault="006104F0" w:rsidP="006104F0">
      <w:pPr>
        <w:spacing w:after="0" w:line="240" w:lineRule="auto"/>
        <w:contextualSpacing/>
        <w:jc w:val="both"/>
        <w:rPr>
          <w:rFonts w:asciiTheme="majorBidi" w:hAnsiTheme="majorBidi" w:cstheme="majorBidi"/>
          <w:b/>
          <w:bCs/>
          <w:sz w:val="24"/>
          <w:szCs w:val="24"/>
        </w:rPr>
      </w:pPr>
      <w:r w:rsidRPr="006104F0">
        <w:rPr>
          <w:rFonts w:asciiTheme="majorBidi" w:hAnsiTheme="majorBidi" w:cstheme="majorBidi"/>
          <w:b/>
          <w:bCs/>
          <w:sz w:val="24"/>
          <w:szCs w:val="24"/>
        </w:rPr>
        <w:lastRenderedPageBreak/>
        <w:t xml:space="preserve">Introduction  </w:t>
      </w:r>
    </w:p>
    <w:p w14:paraId="6C15DBF3" w14:textId="77777777" w:rsidR="006104F0" w:rsidRPr="006104F0" w:rsidRDefault="006104F0" w:rsidP="006104F0">
      <w:pPr>
        <w:spacing w:after="0" w:line="240" w:lineRule="auto"/>
        <w:contextualSpacing/>
        <w:jc w:val="both"/>
        <w:rPr>
          <w:rFonts w:asciiTheme="majorBidi" w:hAnsiTheme="majorBidi" w:cstheme="majorBidi"/>
        </w:rPr>
      </w:pPr>
      <w:r w:rsidRPr="006104F0">
        <w:rPr>
          <w:rFonts w:asciiTheme="majorBidi" w:hAnsiTheme="majorBidi" w:cstheme="majorBidi"/>
        </w:rPr>
        <w:t xml:space="preserve">Architecture and culture, two delicate elements in defining the identity of a society and representing the grandeur of a nation's civilization, have now been disrupted due to the challenges of providing housing and ensuring the welfare of citizens. The symbols once used to reflect the cultural and social values of a society have been forgotten. Architecture is one of the subtle elements that reflects the identity of communities. The choice of location for housing construction, its external form and internal structure, the materials used, and the symbols incorporated into housing design all convey the culture, civilization, and values upheld by that society.  </w:t>
      </w:r>
    </w:p>
    <w:p w14:paraId="35D4DEF2" w14:textId="0BAE2F33" w:rsidR="006104F0" w:rsidRPr="006104F0" w:rsidRDefault="006104F0" w:rsidP="006104F0">
      <w:pPr>
        <w:spacing w:after="0" w:line="240" w:lineRule="auto"/>
        <w:contextualSpacing/>
        <w:jc w:val="both"/>
        <w:rPr>
          <w:rFonts w:asciiTheme="majorBidi" w:hAnsiTheme="majorBidi" w:cstheme="majorBidi"/>
        </w:rPr>
      </w:pPr>
      <w:r w:rsidRPr="006104F0">
        <w:rPr>
          <w:rFonts w:asciiTheme="majorBidi" w:hAnsiTheme="majorBidi" w:cstheme="majorBidi"/>
        </w:rPr>
        <w:t>The concept of affordable housing emerged in the 19th century in response to the problem of housing shortages, slums, and inadequate housing conditions. Affordable housing can lead to the provision of suitable housing, which improves human health, work efficiency, and overall social and economic development (</w:t>
      </w:r>
      <w:proofErr w:type="spellStart"/>
      <w:r w:rsidRPr="006104F0">
        <w:rPr>
          <w:rFonts w:asciiTheme="majorBidi" w:hAnsiTheme="majorBidi" w:cstheme="majorBidi"/>
        </w:rPr>
        <w:t>Hulchanski</w:t>
      </w:r>
      <w:proofErr w:type="spellEnd"/>
      <w:r w:rsidRPr="006104F0">
        <w:rPr>
          <w:rFonts w:asciiTheme="majorBidi" w:hAnsiTheme="majorBidi" w:cstheme="majorBidi"/>
        </w:rPr>
        <w:t xml:space="preserve">, 1995). The increasing crisis in housing demand, particularly for the weaker sections of society, has led policymakers to intensify their efforts to establish building standards and regulations to address this issue. However, this has resulted in challenges where traditional and modern spaces have merged without considering social and cultural norms, leading not only to visual chaos and the loss of the original identity of communities but also to overcrowding and the proliferation of high-density residential blocks in small areas. This has caused dissatisfaction among residents and the erosion of human values.  </w:t>
      </w:r>
    </w:p>
    <w:p w14:paraId="557427FB" w14:textId="77777777" w:rsidR="006104F0" w:rsidRPr="006104F0" w:rsidRDefault="006104F0" w:rsidP="006104F0">
      <w:pPr>
        <w:spacing w:after="0" w:line="240" w:lineRule="auto"/>
        <w:contextualSpacing/>
        <w:jc w:val="both"/>
        <w:rPr>
          <w:rFonts w:asciiTheme="majorBidi" w:hAnsiTheme="majorBidi" w:cstheme="majorBidi"/>
        </w:rPr>
      </w:pPr>
      <w:r w:rsidRPr="006104F0">
        <w:rPr>
          <w:rFonts w:asciiTheme="majorBidi" w:hAnsiTheme="majorBidi" w:cstheme="majorBidi"/>
        </w:rPr>
        <w:t xml:space="preserve">For example, population growth is an undeniable factor in this issue. It is projected that the urban population of the world will reach 6.3 billion by 2050, with 94% of this growth occurring in developing countries, exacerbating the situation (Gan et al., 2017). Consequently, housing the weaker sections of society is a significant challenge for developing countries in the process of urbanization. The importance of this issue is such that it has been placed on the agenda of governments, with significant efforts being made to improve the living conditions of low-income households (Lin et al., 2015).  </w:t>
      </w:r>
    </w:p>
    <w:p w14:paraId="6E12DA71" w14:textId="77777777" w:rsidR="006104F0" w:rsidRPr="006104F0" w:rsidRDefault="006104F0" w:rsidP="006104F0">
      <w:pPr>
        <w:spacing w:after="0" w:line="240" w:lineRule="auto"/>
        <w:contextualSpacing/>
        <w:jc w:val="both"/>
        <w:rPr>
          <w:rFonts w:asciiTheme="majorBidi" w:hAnsiTheme="majorBidi" w:cstheme="majorBidi"/>
        </w:rPr>
      </w:pPr>
      <w:r w:rsidRPr="006104F0">
        <w:rPr>
          <w:rFonts w:asciiTheme="majorBidi" w:hAnsiTheme="majorBidi" w:cstheme="majorBidi"/>
        </w:rPr>
        <w:t>On one hand, since this type of housing is often built for the weaker sections of society, achieving an appropriate final price has led to the selection of peripheral urban areas for construction, resulting in the use of conventional materials and architecture without considering the identity of the community. On the other hand, the affordable prices of these buildings have attracted speculators, leading to increased housing demand, a rise in vacant residential units, and ultimately, abnormally high prices for these units (</w:t>
      </w:r>
      <w:proofErr w:type="spellStart"/>
      <w:r w:rsidRPr="006104F0">
        <w:rPr>
          <w:rFonts w:asciiTheme="majorBidi" w:hAnsiTheme="majorBidi" w:cstheme="majorBidi"/>
        </w:rPr>
        <w:t>Maghidi</w:t>
      </w:r>
      <w:proofErr w:type="spellEnd"/>
      <w:r w:rsidRPr="006104F0">
        <w:rPr>
          <w:rFonts w:asciiTheme="majorBidi" w:hAnsiTheme="majorBidi" w:cstheme="majorBidi"/>
        </w:rPr>
        <w:t xml:space="preserve"> et al., 2021).  </w:t>
      </w:r>
    </w:p>
    <w:p w14:paraId="6191CA91" w14:textId="77777777" w:rsidR="006104F0" w:rsidRPr="006104F0" w:rsidRDefault="006104F0" w:rsidP="006104F0">
      <w:pPr>
        <w:spacing w:after="0" w:line="240" w:lineRule="auto"/>
        <w:contextualSpacing/>
        <w:jc w:val="both"/>
        <w:rPr>
          <w:rFonts w:asciiTheme="majorBidi" w:hAnsiTheme="majorBidi" w:cstheme="majorBidi"/>
        </w:rPr>
      </w:pPr>
      <w:r w:rsidRPr="006104F0">
        <w:rPr>
          <w:rFonts w:asciiTheme="majorBidi" w:hAnsiTheme="majorBidi" w:cstheme="majorBidi"/>
        </w:rPr>
        <w:t xml:space="preserve">Moreover, if in past decades the sole focus was on providing affordable housing, today the construction of affordable housing that is environmentally sustainable, energy-efficient, and preferably renewable is also a fundamental issue (Yeganeh et al., 2021). In other words, the primary issue today is not just the shortage of affordable housing and its misalignment with cultural and social values, but also the scarcity of energy resources and the compatibility of these buildings with environmental infrastructure.  </w:t>
      </w:r>
    </w:p>
    <w:p w14:paraId="0E727E69" w14:textId="77777777" w:rsidR="006104F0" w:rsidRPr="006104F0" w:rsidRDefault="006104F0" w:rsidP="006104F0">
      <w:pPr>
        <w:spacing w:after="0" w:line="240" w:lineRule="auto"/>
        <w:contextualSpacing/>
        <w:jc w:val="both"/>
        <w:rPr>
          <w:rFonts w:asciiTheme="majorBidi" w:hAnsiTheme="majorBidi" w:cstheme="majorBidi"/>
        </w:rPr>
      </w:pPr>
      <w:r w:rsidRPr="006104F0">
        <w:rPr>
          <w:rFonts w:asciiTheme="majorBidi" w:hAnsiTheme="majorBidi" w:cstheme="majorBidi"/>
        </w:rPr>
        <w:t xml:space="preserve">In this context, pandemics such as COVID-19 have created conditions where individuals move less due to health concerns, placing additional financial pressure on them. This pandemic, which has led to increased homelessness and unemployment for many, has significantly highlighted the importance of affordable housing (Riley et al., 2021). The disease spread more rapidly due to homelessness and communal living, exacerbating the health crisis. Unemployment also increases the demand for affordable housing, as individuals have fewer resources to cover living expenses.  </w:t>
      </w:r>
    </w:p>
    <w:p w14:paraId="0E1A43B9" w14:textId="77777777" w:rsidR="006104F0" w:rsidRPr="006104F0" w:rsidRDefault="006104F0" w:rsidP="006104F0">
      <w:pPr>
        <w:spacing w:after="0" w:line="240" w:lineRule="auto"/>
        <w:contextualSpacing/>
        <w:jc w:val="both"/>
        <w:rPr>
          <w:rFonts w:asciiTheme="majorBidi" w:hAnsiTheme="majorBidi" w:cstheme="majorBidi"/>
        </w:rPr>
      </w:pPr>
      <w:r w:rsidRPr="006104F0">
        <w:rPr>
          <w:rFonts w:asciiTheme="majorBidi" w:hAnsiTheme="majorBidi" w:cstheme="majorBidi"/>
        </w:rPr>
        <w:t xml:space="preserve">Interestingly, despite policies targeting affordable housing for low-income families, in practice, the target group often shifts to middle-income families, and the claim that the housing needs of low-income individuals are being met is largely exaggerated and contrary to reality (Zhang, 2020). This means that at all levels of government policymaking, the relationship between social policy and financial markets is influenced by the prevailing ideology, and the extent and pattern of its manifestation vary.  </w:t>
      </w:r>
    </w:p>
    <w:p w14:paraId="6A6A13F6" w14:textId="77777777" w:rsidR="006104F0" w:rsidRPr="006104F0" w:rsidRDefault="006104F0" w:rsidP="006104F0">
      <w:pPr>
        <w:spacing w:after="0" w:line="240" w:lineRule="auto"/>
        <w:contextualSpacing/>
        <w:jc w:val="both"/>
        <w:rPr>
          <w:rFonts w:asciiTheme="majorBidi" w:hAnsiTheme="majorBidi" w:cstheme="majorBidi"/>
        </w:rPr>
      </w:pPr>
      <w:r w:rsidRPr="006104F0">
        <w:rPr>
          <w:rFonts w:asciiTheme="majorBidi" w:hAnsiTheme="majorBidi" w:cstheme="majorBidi"/>
        </w:rPr>
        <w:t xml:space="preserve">Policymakers worldwide are seeking solutions to improve affordable housing. They use policy tools such as rent control, zoning, and similar measures to manage this situation. However, despite numerous efforts in this area, there is no empirically or theoretically balanced general model that can assess the impact of these policies on citizen welfare and urban development. In fact, housing prices (both ownership and rental), the spatial distribution of housing and households, commuting patterns, work incentives, income and wealth </w:t>
      </w:r>
      <w:r w:rsidRPr="006104F0">
        <w:rPr>
          <w:rFonts w:asciiTheme="majorBidi" w:hAnsiTheme="majorBidi" w:cstheme="majorBidi"/>
        </w:rPr>
        <w:lastRenderedPageBreak/>
        <w:t>inequality in local contexts, intra- and inter-urban migration, and even migration between urban regions are all challenges that must be considered in planning for citizen housing (</w:t>
      </w:r>
      <w:proofErr w:type="spellStart"/>
      <w:r w:rsidRPr="006104F0">
        <w:rPr>
          <w:rFonts w:asciiTheme="majorBidi" w:hAnsiTheme="majorBidi" w:cstheme="majorBidi"/>
        </w:rPr>
        <w:t>Favilukis</w:t>
      </w:r>
      <w:proofErr w:type="spellEnd"/>
      <w:r w:rsidRPr="006104F0">
        <w:rPr>
          <w:rFonts w:asciiTheme="majorBidi" w:hAnsiTheme="majorBidi" w:cstheme="majorBidi"/>
        </w:rPr>
        <w:t xml:space="preserve"> et al., 2019).  </w:t>
      </w:r>
    </w:p>
    <w:p w14:paraId="6BABDA3D" w14:textId="77777777" w:rsidR="006104F0" w:rsidRPr="006104F0" w:rsidRDefault="006104F0" w:rsidP="006104F0">
      <w:pPr>
        <w:spacing w:after="0" w:line="240" w:lineRule="auto"/>
        <w:contextualSpacing/>
        <w:jc w:val="both"/>
        <w:rPr>
          <w:rFonts w:asciiTheme="majorBidi" w:hAnsiTheme="majorBidi" w:cstheme="majorBidi"/>
        </w:rPr>
      </w:pPr>
      <w:r w:rsidRPr="006104F0">
        <w:rPr>
          <w:rFonts w:asciiTheme="majorBidi" w:hAnsiTheme="majorBidi" w:cstheme="majorBidi"/>
        </w:rPr>
        <w:t xml:space="preserve">In Iran, according to Article 31 of the Constitution of the Islamic Republic, housing is a right for every Iranian family. However, rapid population growth, especially among migrants, ethnic diversity (due to historical changes and generational wars in this land), the imbalance between housing demand and supply (due to the entry of speculators into these markets), inflation, international sanctions, increased economic pressure on families, the COVID-19 pandemic, and the inability of families to cover living expenses have all directed policymakers toward affordable housing. However, the lack of proper and precise planning and implementation mechanisms has led to the failure of these efforts. Inappropriate location selection, uniform construction without adhering to fundamental urban infrastructure, and the disregard for the social and historical identity of the community have challenged the strategies for public and affordable housing for low-income groups.  </w:t>
      </w:r>
    </w:p>
    <w:p w14:paraId="46D1EAE9" w14:textId="77777777" w:rsidR="006104F0" w:rsidRPr="006104F0" w:rsidRDefault="006104F0" w:rsidP="006104F0">
      <w:pPr>
        <w:spacing w:after="0" w:line="240" w:lineRule="auto"/>
        <w:contextualSpacing/>
        <w:jc w:val="both"/>
        <w:rPr>
          <w:rFonts w:asciiTheme="majorBidi" w:hAnsiTheme="majorBidi" w:cstheme="majorBidi"/>
        </w:rPr>
      </w:pPr>
      <w:r w:rsidRPr="006104F0">
        <w:rPr>
          <w:rFonts w:asciiTheme="majorBidi" w:hAnsiTheme="majorBidi" w:cstheme="majorBidi"/>
        </w:rPr>
        <w:t xml:space="preserve">The performance of large-scale housing projects such as </w:t>
      </w:r>
      <w:proofErr w:type="spellStart"/>
      <w:r w:rsidRPr="006104F0">
        <w:rPr>
          <w:rFonts w:asciiTheme="majorBidi" w:hAnsiTheme="majorBidi" w:cstheme="majorBidi"/>
        </w:rPr>
        <w:t>Mehr</w:t>
      </w:r>
      <w:proofErr w:type="spellEnd"/>
      <w:r w:rsidRPr="006104F0">
        <w:rPr>
          <w:rFonts w:asciiTheme="majorBidi" w:hAnsiTheme="majorBidi" w:cstheme="majorBidi"/>
        </w:rPr>
        <w:t xml:space="preserve"> Housing, National Housing, and similar projects like </w:t>
      </w:r>
      <w:proofErr w:type="spellStart"/>
      <w:r w:rsidRPr="006104F0">
        <w:rPr>
          <w:rFonts w:asciiTheme="majorBidi" w:hAnsiTheme="majorBidi" w:cstheme="majorBidi"/>
        </w:rPr>
        <w:t>Pardis</w:t>
      </w:r>
      <w:proofErr w:type="spellEnd"/>
      <w:r w:rsidRPr="006104F0">
        <w:rPr>
          <w:rFonts w:asciiTheme="majorBidi" w:hAnsiTheme="majorBidi" w:cstheme="majorBidi"/>
        </w:rPr>
        <w:t xml:space="preserve"> and </w:t>
      </w:r>
      <w:proofErr w:type="spellStart"/>
      <w:r w:rsidRPr="006104F0">
        <w:rPr>
          <w:rFonts w:asciiTheme="majorBidi" w:hAnsiTheme="majorBidi" w:cstheme="majorBidi"/>
        </w:rPr>
        <w:t>Hashtgerd</w:t>
      </w:r>
      <w:proofErr w:type="spellEnd"/>
      <w:r w:rsidRPr="006104F0">
        <w:rPr>
          <w:rFonts w:asciiTheme="majorBidi" w:hAnsiTheme="majorBidi" w:cstheme="majorBidi"/>
        </w:rPr>
        <w:t xml:space="preserve"> has not achieved the desired results. This issue is evident not only in cities but also in rural areas, where policies and guidelines have often failed.  </w:t>
      </w:r>
    </w:p>
    <w:p w14:paraId="3FAB179F" w14:textId="77777777" w:rsidR="006104F0" w:rsidRPr="006104F0" w:rsidRDefault="006104F0" w:rsidP="006104F0">
      <w:pPr>
        <w:spacing w:after="0" w:line="240" w:lineRule="auto"/>
        <w:contextualSpacing/>
        <w:jc w:val="both"/>
        <w:rPr>
          <w:rFonts w:asciiTheme="majorBidi" w:hAnsiTheme="majorBidi" w:cstheme="majorBidi"/>
        </w:rPr>
      </w:pPr>
      <w:r w:rsidRPr="006104F0">
        <w:rPr>
          <w:rFonts w:asciiTheme="majorBidi" w:hAnsiTheme="majorBidi" w:cstheme="majorBidi"/>
        </w:rPr>
        <w:t xml:space="preserve">Given the widespread impacts of this type of housing across various dimensions—demographic, health, economic, identity, cultural and social, environmental, political, and energy management—which also affect future generations, it is necessary to consider these effects with a long-term and comprehensive perspective. The policies adopted so far have been one-dimensional, often focusing solely on the economic aspects of the livelihood of low-income individuals, and even the prevailing discourse has failed to assist these individuals. Therefore, it is essential to examine this issue comprehensively and propose diverse strategies and solutions.  </w:t>
      </w:r>
    </w:p>
    <w:p w14:paraId="135B52FE" w14:textId="115D0A48" w:rsidR="008655BD" w:rsidRDefault="006104F0" w:rsidP="006104F0">
      <w:pPr>
        <w:spacing w:after="0" w:line="240" w:lineRule="auto"/>
        <w:contextualSpacing/>
        <w:jc w:val="both"/>
        <w:rPr>
          <w:rFonts w:asciiTheme="majorBidi" w:hAnsiTheme="majorBidi" w:cstheme="majorBidi"/>
        </w:rPr>
      </w:pPr>
      <w:r w:rsidRPr="006104F0">
        <w:rPr>
          <w:rFonts w:asciiTheme="majorBidi" w:hAnsiTheme="majorBidi" w:cstheme="majorBidi"/>
        </w:rPr>
        <w:t>Thus, this research addresses the fundamental question: What are the factors influencing the provision of affordable housing based on socio-cultural patterns in Iran? The findings of this research can contribute to planning for addressing existing challenges and achieving goals simultaneously.</w:t>
      </w:r>
    </w:p>
    <w:p w14:paraId="396014B1" w14:textId="3606AE68" w:rsidR="001341EE" w:rsidRDefault="001341EE" w:rsidP="006104F0">
      <w:pPr>
        <w:spacing w:after="0" w:line="240" w:lineRule="auto"/>
        <w:contextualSpacing/>
        <w:jc w:val="both"/>
        <w:rPr>
          <w:rFonts w:asciiTheme="majorBidi" w:hAnsiTheme="majorBidi" w:cstheme="majorBidi"/>
        </w:rPr>
      </w:pPr>
    </w:p>
    <w:p w14:paraId="1D673590" w14:textId="77777777" w:rsidR="001341EE" w:rsidRDefault="001341EE" w:rsidP="001341EE">
      <w:pPr>
        <w:spacing w:after="0" w:line="240" w:lineRule="auto"/>
        <w:contextualSpacing/>
        <w:jc w:val="both"/>
        <w:rPr>
          <w:rFonts w:asciiTheme="majorBidi" w:hAnsiTheme="majorBidi" w:cstheme="majorBidi"/>
          <w:b/>
          <w:bCs/>
        </w:rPr>
      </w:pPr>
      <w:r w:rsidRPr="001341EE">
        <w:rPr>
          <w:rFonts w:asciiTheme="majorBidi" w:hAnsiTheme="majorBidi" w:cstheme="majorBidi"/>
          <w:b/>
          <w:bCs/>
        </w:rPr>
        <w:t>Theoretical Foundations and Background</w:t>
      </w:r>
    </w:p>
    <w:p w14:paraId="41A16C8B" w14:textId="7CE38410" w:rsidR="001341EE" w:rsidRPr="001341EE" w:rsidRDefault="001341EE" w:rsidP="001341EE">
      <w:pPr>
        <w:spacing w:after="0" w:line="240" w:lineRule="auto"/>
        <w:contextualSpacing/>
        <w:jc w:val="both"/>
        <w:rPr>
          <w:rFonts w:asciiTheme="majorBidi" w:hAnsiTheme="majorBidi" w:cstheme="majorBidi"/>
        </w:rPr>
      </w:pPr>
      <w:r w:rsidRPr="001341EE">
        <w:rPr>
          <w:rFonts w:asciiTheme="majorBidi" w:hAnsiTheme="majorBidi" w:cstheme="majorBidi"/>
        </w:rPr>
        <w:t xml:space="preserve">The term "housing" is used in both the process and the final product (Reeves, 2014). Housing can be considered a commodity or a service with value, which can be both essential and luxurious (Reeves, 2014). Economic literature has paid special attention to the concept of "housing," although there is no common definition. Researchers have defined the concept of "housing" in various ways. For example, Smith (1776) viewed housing as a commodity, Ricardo (1917) as a tangible asset with potential returns, </w:t>
      </w:r>
      <w:r w:rsidR="00BF1010" w:rsidRPr="00BF1010">
        <w:rPr>
          <w:rFonts w:asciiTheme="majorBidi" w:hAnsiTheme="majorBidi" w:cstheme="majorBidi"/>
        </w:rPr>
        <w:t>Jevons</w:t>
      </w:r>
      <w:r w:rsidR="00BF1010" w:rsidRPr="00BF1010">
        <w:rPr>
          <w:rFonts w:asciiTheme="majorBidi" w:hAnsiTheme="majorBidi" w:cstheme="majorBidi"/>
        </w:rPr>
        <w:t xml:space="preserve"> </w:t>
      </w:r>
      <w:r w:rsidRPr="001341EE">
        <w:rPr>
          <w:rFonts w:asciiTheme="majorBidi" w:hAnsiTheme="majorBidi" w:cstheme="majorBidi"/>
        </w:rPr>
        <w:t>(1871) as a fixed asset regardless of ownership or rental, and Marshall (1890) as capital similar to a vehicle if worked upon, otherwise considered as a commodity. Researchers such as Grimes and Orville (1976) explained that in the past, the concept of housing was associated with physical phenomena, and national policies for its provision were largely related to construction costs, which could vary significantly depending on building materials, housing standards, and construction quality.</w:t>
      </w:r>
    </w:p>
    <w:p w14:paraId="68CDE4CA" w14:textId="77777777" w:rsidR="001341EE" w:rsidRPr="001341EE" w:rsidRDefault="001341EE" w:rsidP="001341EE">
      <w:pPr>
        <w:spacing w:after="0" w:line="240" w:lineRule="auto"/>
        <w:contextualSpacing/>
        <w:jc w:val="both"/>
        <w:rPr>
          <w:rFonts w:asciiTheme="majorBidi" w:hAnsiTheme="majorBidi" w:cstheme="majorBidi"/>
        </w:rPr>
      </w:pPr>
      <w:r w:rsidRPr="001341EE">
        <w:rPr>
          <w:rFonts w:asciiTheme="majorBidi" w:hAnsiTheme="majorBidi" w:cstheme="majorBidi"/>
        </w:rPr>
        <w:t>Within the framework of housing policies, Torgersen (1987) explains that the concept of "housing" is a shaky pillar in the welfare system of governments because, unlike health and education, the state does not consider it a core service.</w:t>
      </w:r>
    </w:p>
    <w:p w14:paraId="3DCF007C" w14:textId="77777777" w:rsidR="001341EE" w:rsidRPr="001341EE" w:rsidRDefault="001341EE" w:rsidP="001341EE">
      <w:pPr>
        <w:spacing w:after="0" w:line="240" w:lineRule="auto"/>
        <w:contextualSpacing/>
        <w:jc w:val="both"/>
        <w:rPr>
          <w:rFonts w:asciiTheme="majorBidi" w:hAnsiTheme="majorBidi" w:cstheme="majorBidi"/>
        </w:rPr>
      </w:pPr>
      <w:r w:rsidRPr="001341EE">
        <w:rPr>
          <w:rFonts w:asciiTheme="majorBidi" w:hAnsiTheme="majorBidi" w:cstheme="majorBidi"/>
        </w:rPr>
        <w:t>Over time, different approaches to "housing" have emerged, influenced by changes in economic policies and other fields. Webster's Dictionary defines "housing" as "houses provided for people." The Business Dictionary defines housing as a building or structure that complies with legal and regulatory requirements and serves as a place for individuals to live with their families. A similar definition is found in the Macmillan Dictionary, which describes housing as buildings where people live.</w:t>
      </w:r>
    </w:p>
    <w:p w14:paraId="49526C7D" w14:textId="77777777" w:rsidR="001341EE" w:rsidRPr="001341EE" w:rsidRDefault="001341EE" w:rsidP="001341EE">
      <w:pPr>
        <w:spacing w:after="0" w:line="240" w:lineRule="auto"/>
        <w:contextualSpacing/>
        <w:jc w:val="both"/>
        <w:rPr>
          <w:rFonts w:asciiTheme="majorBidi" w:hAnsiTheme="majorBidi" w:cstheme="majorBidi"/>
        </w:rPr>
      </w:pPr>
      <w:r w:rsidRPr="001341EE">
        <w:rPr>
          <w:rFonts w:asciiTheme="majorBidi" w:hAnsiTheme="majorBidi" w:cstheme="majorBidi"/>
        </w:rPr>
        <w:t xml:space="preserve">The concept of "housing" is similar to that of "home," which </w:t>
      </w:r>
      <w:proofErr w:type="spellStart"/>
      <w:r w:rsidRPr="001341EE">
        <w:rPr>
          <w:rFonts w:asciiTheme="majorBidi" w:hAnsiTheme="majorBidi" w:cstheme="majorBidi"/>
        </w:rPr>
        <w:t>Melnikas</w:t>
      </w:r>
      <w:proofErr w:type="spellEnd"/>
      <w:r w:rsidRPr="001341EE">
        <w:rPr>
          <w:rFonts w:asciiTheme="majorBidi" w:hAnsiTheme="majorBidi" w:cstheme="majorBidi"/>
        </w:rPr>
        <w:t xml:space="preserve"> (1998) defines as a specific and relatively limited physical space where individuals and groups can engage in social life by receiving services, performing household tasks, and other activities.</w:t>
      </w:r>
    </w:p>
    <w:p w14:paraId="7A18D046" w14:textId="61E1B7EA" w:rsidR="001341EE" w:rsidRPr="001341EE" w:rsidRDefault="00BF1010" w:rsidP="001341EE">
      <w:pPr>
        <w:spacing w:after="0" w:line="240" w:lineRule="auto"/>
        <w:contextualSpacing/>
        <w:jc w:val="both"/>
        <w:rPr>
          <w:rFonts w:asciiTheme="majorBidi" w:hAnsiTheme="majorBidi" w:cstheme="majorBidi"/>
        </w:rPr>
      </w:pPr>
      <w:proofErr w:type="spellStart"/>
      <w:r w:rsidRPr="00BF1010">
        <w:rPr>
          <w:rFonts w:asciiTheme="majorBidi" w:hAnsiTheme="majorBidi" w:cstheme="majorBidi"/>
        </w:rPr>
        <w:t>Henilane</w:t>
      </w:r>
      <w:proofErr w:type="spellEnd"/>
      <w:r w:rsidRPr="00BF1010">
        <w:rPr>
          <w:rFonts w:asciiTheme="majorBidi" w:hAnsiTheme="majorBidi" w:cstheme="majorBidi"/>
        </w:rPr>
        <w:t xml:space="preserve"> </w:t>
      </w:r>
      <w:r w:rsidR="001341EE" w:rsidRPr="001341EE">
        <w:rPr>
          <w:rFonts w:asciiTheme="majorBidi" w:hAnsiTheme="majorBidi" w:cstheme="majorBidi"/>
        </w:rPr>
        <w:t xml:space="preserve">(2016) believes that today's focus on housing is more on the benefits and costs of housing. This means that having a comfortable, suitable, and dignified home is considered, but at the same time, energy </w:t>
      </w:r>
      <w:r w:rsidR="001341EE" w:rsidRPr="001341EE">
        <w:rPr>
          <w:rFonts w:asciiTheme="majorBidi" w:hAnsiTheme="majorBidi" w:cstheme="majorBidi"/>
        </w:rPr>
        <w:lastRenderedPageBreak/>
        <w:t>efficiency, affordable purchase costs, and maintenance costs proportional to the benefits received from owning the home are also key criteria in housing selection.</w:t>
      </w:r>
    </w:p>
    <w:p w14:paraId="24FAF79B" w14:textId="77777777" w:rsidR="001341EE" w:rsidRPr="001341EE" w:rsidRDefault="001341EE" w:rsidP="001341EE">
      <w:pPr>
        <w:spacing w:after="0" w:line="240" w:lineRule="auto"/>
        <w:contextualSpacing/>
        <w:jc w:val="both"/>
        <w:rPr>
          <w:rFonts w:asciiTheme="majorBidi" w:hAnsiTheme="majorBidi" w:cstheme="majorBidi"/>
        </w:rPr>
      </w:pPr>
      <w:proofErr w:type="spellStart"/>
      <w:r w:rsidRPr="001341EE">
        <w:rPr>
          <w:rFonts w:asciiTheme="majorBidi" w:hAnsiTheme="majorBidi" w:cstheme="majorBidi"/>
        </w:rPr>
        <w:t>Sidelska</w:t>
      </w:r>
      <w:proofErr w:type="spellEnd"/>
      <w:r w:rsidRPr="001341EE">
        <w:rPr>
          <w:rFonts w:asciiTheme="majorBidi" w:hAnsiTheme="majorBidi" w:cstheme="majorBidi"/>
        </w:rPr>
        <w:t xml:space="preserve"> (2014), in the context of the housing market as an element of regional socio-economic development, refers to housing as real estate or part of a non-residential building that has been used for residential purposes for years. In Donner's (2000) research on housing policies in 15 European Union countries, where the theoretical and practical aspects of housing policies were examined, the concept of housing is defined with various similar and interrelated terms, such as low-cost housing, social housing, subsidized housing, and substandard housing. Housing is classified based on type, size, facilities, location, the demographic group residing in it, ownership type, construction period, building materials used, and energy efficiency indicators. Developed classifications of housing based on various characteristics are only part of the main housing classification and can be supplemented with other categories. Table 1 briefly illustrates this classification.</w:t>
      </w:r>
    </w:p>
    <w:p w14:paraId="395D9908" w14:textId="46BC16B9" w:rsidR="001341EE" w:rsidRDefault="001341EE" w:rsidP="006104F0">
      <w:pPr>
        <w:spacing w:after="0" w:line="240" w:lineRule="auto"/>
        <w:contextualSpacing/>
        <w:jc w:val="both"/>
        <w:rPr>
          <w:rFonts w:asciiTheme="majorBidi" w:hAnsiTheme="majorBidi" w:cstheme="majorBidi"/>
        </w:rPr>
      </w:pPr>
    </w:p>
    <w:p w14:paraId="77E4BE5D" w14:textId="77777777" w:rsidR="00BF1010" w:rsidRPr="00BF1010" w:rsidRDefault="00BF1010" w:rsidP="00186732">
      <w:pPr>
        <w:spacing w:after="0" w:line="240" w:lineRule="auto"/>
        <w:contextualSpacing/>
        <w:jc w:val="center"/>
        <w:rPr>
          <w:rFonts w:asciiTheme="majorBidi" w:hAnsiTheme="majorBidi" w:cstheme="majorBidi"/>
          <w:sz w:val="20"/>
          <w:szCs w:val="20"/>
        </w:rPr>
      </w:pPr>
      <w:r w:rsidRPr="00BF1010">
        <w:rPr>
          <w:rFonts w:asciiTheme="majorBidi" w:hAnsiTheme="majorBidi" w:cstheme="majorBidi"/>
          <w:b/>
          <w:bCs/>
          <w:sz w:val="20"/>
          <w:szCs w:val="20"/>
        </w:rPr>
        <w:t xml:space="preserve">Table (1): Housing Classification (Source: </w:t>
      </w:r>
      <w:proofErr w:type="spellStart"/>
      <w:r w:rsidRPr="00BF1010">
        <w:rPr>
          <w:rFonts w:asciiTheme="majorBidi" w:hAnsiTheme="majorBidi" w:cstheme="majorBidi"/>
          <w:b/>
          <w:bCs/>
          <w:sz w:val="20"/>
          <w:szCs w:val="20"/>
        </w:rPr>
        <w:t>Henilan</w:t>
      </w:r>
      <w:proofErr w:type="spellEnd"/>
      <w:r w:rsidRPr="00BF1010">
        <w:rPr>
          <w:rFonts w:asciiTheme="majorBidi" w:hAnsiTheme="majorBidi" w:cstheme="majorBidi"/>
          <w:b/>
          <w:bCs/>
          <w:sz w:val="20"/>
          <w:szCs w:val="20"/>
        </w:rPr>
        <w:t>, 2016)</w:t>
      </w:r>
    </w:p>
    <w:tbl>
      <w:tblP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319"/>
        <w:gridCol w:w="7041"/>
      </w:tblGrid>
      <w:tr w:rsidR="00BF1010" w:rsidRPr="00BF1010" w14:paraId="02DFA19A" w14:textId="77777777" w:rsidTr="00BF1010">
        <w:trPr>
          <w:tblHeader/>
          <w:jc w:val="center"/>
        </w:trPr>
        <w:tc>
          <w:tcPr>
            <w:tcW w:w="0" w:type="auto"/>
            <w:tcMar>
              <w:top w:w="15" w:type="dxa"/>
              <w:left w:w="0" w:type="dxa"/>
              <w:bottom w:w="15" w:type="dxa"/>
              <w:right w:w="15" w:type="dxa"/>
            </w:tcMar>
            <w:vAlign w:val="center"/>
            <w:hideMark/>
          </w:tcPr>
          <w:p w14:paraId="1D67E2A9" w14:textId="77777777" w:rsidR="00BF1010" w:rsidRPr="00BF1010" w:rsidRDefault="00BF1010" w:rsidP="00BF1010">
            <w:pPr>
              <w:spacing w:after="0" w:line="240" w:lineRule="auto"/>
              <w:contextualSpacing/>
              <w:rPr>
                <w:rFonts w:asciiTheme="majorBidi" w:hAnsiTheme="majorBidi" w:cstheme="majorBidi"/>
                <w:b/>
                <w:bCs/>
                <w:sz w:val="20"/>
                <w:szCs w:val="20"/>
              </w:rPr>
            </w:pPr>
            <w:r w:rsidRPr="00BF1010">
              <w:rPr>
                <w:rFonts w:asciiTheme="majorBidi" w:hAnsiTheme="majorBidi" w:cstheme="majorBidi"/>
                <w:b/>
                <w:bCs/>
                <w:sz w:val="20"/>
                <w:szCs w:val="20"/>
              </w:rPr>
              <w:t>Types of Housing Classification</w:t>
            </w:r>
          </w:p>
        </w:tc>
        <w:tc>
          <w:tcPr>
            <w:tcW w:w="0" w:type="auto"/>
            <w:vAlign w:val="center"/>
            <w:hideMark/>
          </w:tcPr>
          <w:p w14:paraId="356F1E06" w14:textId="77777777" w:rsidR="00BF1010" w:rsidRPr="00BF1010" w:rsidRDefault="00BF1010" w:rsidP="00BF1010">
            <w:pPr>
              <w:spacing w:after="0" w:line="240" w:lineRule="auto"/>
              <w:contextualSpacing/>
              <w:jc w:val="both"/>
              <w:rPr>
                <w:rFonts w:asciiTheme="majorBidi" w:hAnsiTheme="majorBidi" w:cstheme="majorBidi"/>
                <w:b/>
                <w:bCs/>
                <w:sz w:val="20"/>
                <w:szCs w:val="20"/>
              </w:rPr>
            </w:pPr>
            <w:r w:rsidRPr="00BF1010">
              <w:rPr>
                <w:rFonts w:asciiTheme="majorBidi" w:hAnsiTheme="majorBidi" w:cstheme="majorBidi"/>
                <w:b/>
                <w:bCs/>
                <w:sz w:val="20"/>
                <w:szCs w:val="20"/>
              </w:rPr>
              <w:t>Characteristics</w:t>
            </w:r>
          </w:p>
        </w:tc>
      </w:tr>
      <w:tr w:rsidR="00BF1010" w:rsidRPr="00BF1010" w14:paraId="6DC7FCBC" w14:textId="77777777" w:rsidTr="00BF1010">
        <w:trPr>
          <w:jc w:val="center"/>
        </w:trPr>
        <w:tc>
          <w:tcPr>
            <w:tcW w:w="0" w:type="auto"/>
            <w:tcMar>
              <w:top w:w="15" w:type="dxa"/>
              <w:left w:w="0" w:type="dxa"/>
              <w:bottom w:w="15" w:type="dxa"/>
              <w:right w:w="15" w:type="dxa"/>
            </w:tcMar>
            <w:vAlign w:val="center"/>
            <w:hideMark/>
          </w:tcPr>
          <w:p w14:paraId="5847471E" w14:textId="77777777" w:rsidR="00BF1010" w:rsidRPr="00BF1010" w:rsidRDefault="00BF1010" w:rsidP="00BF1010">
            <w:pPr>
              <w:spacing w:after="0" w:line="240" w:lineRule="auto"/>
              <w:contextualSpacing/>
              <w:rPr>
                <w:rFonts w:asciiTheme="majorBidi" w:hAnsiTheme="majorBidi" w:cstheme="majorBidi"/>
                <w:sz w:val="20"/>
                <w:szCs w:val="20"/>
              </w:rPr>
            </w:pPr>
            <w:r w:rsidRPr="00BF1010">
              <w:rPr>
                <w:rFonts w:asciiTheme="majorBidi" w:hAnsiTheme="majorBidi" w:cstheme="majorBidi"/>
                <w:b/>
                <w:bCs/>
                <w:sz w:val="20"/>
                <w:szCs w:val="20"/>
              </w:rPr>
              <w:t>Type of Residence</w:t>
            </w:r>
          </w:p>
        </w:tc>
        <w:tc>
          <w:tcPr>
            <w:tcW w:w="0" w:type="auto"/>
            <w:vAlign w:val="center"/>
            <w:hideMark/>
          </w:tcPr>
          <w:p w14:paraId="41803041" w14:textId="77777777" w:rsidR="00BF1010" w:rsidRPr="00BF1010" w:rsidRDefault="00BF1010" w:rsidP="00BF1010">
            <w:pPr>
              <w:spacing w:after="0" w:line="240" w:lineRule="auto"/>
              <w:contextualSpacing/>
              <w:jc w:val="both"/>
              <w:rPr>
                <w:rFonts w:asciiTheme="majorBidi" w:hAnsiTheme="majorBidi" w:cstheme="majorBidi"/>
                <w:sz w:val="20"/>
                <w:szCs w:val="20"/>
              </w:rPr>
            </w:pPr>
            <w:r w:rsidRPr="00BF1010">
              <w:rPr>
                <w:rFonts w:asciiTheme="majorBidi" w:hAnsiTheme="majorBidi" w:cstheme="majorBidi"/>
                <w:sz w:val="20"/>
                <w:szCs w:val="20"/>
              </w:rPr>
              <w:t>Living in an apartment/Apartment within a building of apartments/Residential complex buildings (multi-apartment)/Relatives' house/Other</w:t>
            </w:r>
          </w:p>
        </w:tc>
      </w:tr>
      <w:tr w:rsidR="00BF1010" w:rsidRPr="00BF1010" w14:paraId="7DE613BD" w14:textId="77777777" w:rsidTr="00BF1010">
        <w:trPr>
          <w:jc w:val="center"/>
        </w:trPr>
        <w:tc>
          <w:tcPr>
            <w:tcW w:w="0" w:type="auto"/>
            <w:tcMar>
              <w:top w:w="15" w:type="dxa"/>
              <w:left w:w="0" w:type="dxa"/>
              <w:bottom w:w="15" w:type="dxa"/>
              <w:right w:w="15" w:type="dxa"/>
            </w:tcMar>
            <w:vAlign w:val="center"/>
            <w:hideMark/>
          </w:tcPr>
          <w:p w14:paraId="2C37B14F" w14:textId="77777777" w:rsidR="00BF1010" w:rsidRPr="00BF1010" w:rsidRDefault="00BF1010" w:rsidP="00BF1010">
            <w:pPr>
              <w:spacing w:after="0" w:line="240" w:lineRule="auto"/>
              <w:contextualSpacing/>
              <w:rPr>
                <w:rFonts w:asciiTheme="majorBidi" w:hAnsiTheme="majorBidi" w:cstheme="majorBidi"/>
                <w:sz w:val="20"/>
                <w:szCs w:val="20"/>
              </w:rPr>
            </w:pPr>
            <w:r w:rsidRPr="00BF1010">
              <w:rPr>
                <w:rFonts w:asciiTheme="majorBidi" w:hAnsiTheme="majorBidi" w:cstheme="majorBidi"/>
                <w:b/>
                <w:bCs/>
                <w:sz w:val="20"/>
                <w:szCs w:val="20"/>
              </w:rPr>
              <w:t>Size of House</w:t>
            </w:r>
          </w:p>
        </w:tc>
        <w:tc>
          <w:tcPr>
            <w:tcW w:w="0" w:type="auto"/>
            <w:vAlign w:val="center"/>
            <w:hideMark/>
          </w:tcPr>
          <w:p w14:paraId="6F99E4A9" w14:textId="77777777" w:rsidR="00BF1010" w:rsidRPr="00BF1010" w:rsidRDefault="00BF1010" w:rsidP="00BF1010">
            <w:pPr>
              <w:spacing w:after="0" w:line="240" w:lineRule="auto"/>
              <w:contextualSpacing/>
              <w:jc w:val="both"/>
              <w:rPr>
                <w:rFonts w:asciiTheme="majorBidi" w:hAnsiTheme="majorBidi" w:cstheme="majorBidi"/>
                <w:sz w:val="20"/>
                <w:szCs w:val="20"/>
              </w:rPr>
            </w:pPr>
            <w:r w:rsidRPr="00BF1010">
              <w:rPr>
                <w:rFonts w:asciiTheme="majorBidi" w:hAnsiTheme="majorBidi" w:cstheme="majorBidi"/>
                <w:sz w:val="20"/>
                <w:szCs w:val="20"/>
              </w:rPr>
              <w:t>One-room/One-room apartment/Two-room apartment/Three-room apartment and larger/Relatives' house/Other</w:t>
            </w:r>
          </w:p>
        </w:tc>
      </w:tr>
      <w:tr w:rsidR="00BF1010" w:rsidRPr="00BF1010" w14:paraId="5C473795" w14:textId="77777777" w:rsidTr="00BF1010">
        <w:trPr>
          <w:jc w:val="center"/>
        </w:trPr>
        <w:tc>
          <w:tcPr>
            <w:tcW w:w="0" w:type="auto"/>
            <w:tcMar>
              <w:top w:w="15" w:type="dxa"/>
              <w:left w:w="0" w:type="dxa"/>
              <w:bottom w:w="15" w:type="dxa"/>
              <w:right w:w="15" w:type="dxa"/>
            </w:tcMar>
            <w:vAlign w:val="center"/>
            <w:hideMark/>
          </w:tcPr>
          <w:p w14:paraId="7E902CAC" w14:textId="77777777" w:rsidR="00BF1010" w:rsidRPr="00BF1010" w:rsidRDefault="00BF1010" w:rsidP="00BF1010">
            <w:pPr>
              <w:spacing w:after="0" w:line="240" w:lineRule="auto"/>
              <w:contextualSpacing/>
              <w:rPr>
                <w:rFonts w:asciiTheme="majorBidi" w:hAnsiTheme="majorBidi" w:cstheme="majorBidi"/>
                <w:sz w:val="20"/>
                <w:szCs w:val="20"/>
              </w:rPr>
            </w:pPr>
            <w:r w:rsidRPr="00BF1010">
              <w:rPr>
                <w:rFonts w:asciiTheme="majorBidi" w:hAnsiTheme="majorBidi" w:cstheme="majorBidi"/>
                <w:b/>
                <w:bCs/>
                <w:sz w:val="20"/>
                <w:szCs w:val="20"/>
              </w:rPr>
              <w:t>Amenities</w:t>
            </w:r>
          </w:p>
        </w:tc>
        <w:tc>
          <w:tcPr>
            <w:tcW w:w="0" w:type="auto"/>
            <w:vAlign w:val="center"/>
            <w:hideMark/>
          </w:tcPr>
          <w:p w14:paraId="7C0EBBCA" w14:textId="77777777" w:rsidR="00BF1010" w:rsidRPr="00BF1010" w:rsidRDefault="00BF1010" w:rsidP="00BF1010">
            <w:pPr>
              <w:spacing w:after="0" w:line="240" w:lineRule="auto"/>
              <w:contextualSpacing/>
              <w:jc w:val="both"/>
              <w:rPr>
                <w:rFonts w:asciiTheme="majorBidi" w:hAnsiTheme="majorBidi" w:cstheme="majorBidi"/>
                <w:sz w:val="20"/>
                <w:szCs w:val="20"/>
              </w:rPr>
            </w:pPr>
            <w:r w:rsidRPr="00BF1010">
              <w:rPr>
                <w:rFonts w:asciiTheme="majorBidi" w:hAnsiTheme="majorBidi" w:cstheme="majorBidi"/>
                <w:sz w:val="20"/>
                <w:szCs w:val="20"/>
              </w:rPr>
              <w:t>With all amenities/Partially equipped with amenities/Without amenities</w:t>
            </w:r>
          </w:p>
        </w:tc>
      </w:tr>
      <w:tr w:rsidR="00BF1010" w:rsidRPr="00BF1010" w14:paraId="167B6489" w14:textId="77777777" w:rsidTr="00BF1010">
        <w:trPr>
          <w:jc w:val="center"/>
        </w:trPr>
        <w:tc>
          <w:tcPr>
            <w:tcW w:w="0" w:type="auto"/>
            <w:tcMar>
              <w:top w:w="15" w:type="dxa"/>
              <w:left w:w="0" w:type="dxa"/>
              <w:bottom w:w="15" w:type="dxa"/>
              <w:right w:w="15" w:type="dxa"/>
            </w:tcMar>
            <w:vAlign w:val="center"/>
            <w:hideMark/>
          </w:tcPr>
          <w:p w14:paraId="332C2B11" w14:textId="77777777" w:rsidR="00BF1010" w:rsidRPr="00BF1010" w:rsidRDefault="00BF1010" w:rsidP="00BF1010">
            <w:pPr>
              <w:spacing w:after="0" w:line="240" w:lineRule="auto"/>
              <w:contextualSpacing/>
              <w:rPr>
                <w:rFonts w:asciiTheme="majorBidi" w:hAnsiTheme="majorBidi" w:cstheme="majorBidi"/>
                <w:sz w:val="20"/>
                <w:szCs w:val="20"/>
              </w:rPr>
            </w:pPr>
            <w:r w:rsidRPr="00BF1010">
              <w:rPr>
                <w:rFonts w:asciiTheme="majorBidi" w:hAnsiTheme="majorBidi" w:cstheme="majorBidi"/>
                <w:b/>
                <w:bCs/>
                <w:sz w:val="20"/>
                <w:szCs w:val="20"/>
              </w:rPr>
              <w:t>Location of House</w:t>
            </w:r>
          </w:p>
        </w:tc>
        <w:tc>
          <w:tcPr>
            <w:tcW w:w="0" w:type="auto"/>
            <w:vAlign w:val="center"/>
            <w:hideMark/>
          </w:tcPr>
          <w:p w14:paraId="407D0025" w14:textId="77777777" w:rsidR="00BF1010" w:rsidRPr="00BF1010" w:rsidRDefault="00BF1010" w:rsidP="00BF1010">
            <w:pPr>
              <w:spacing w:after="0" w:line="240" w:lineRule="auto"/>
              <w:contextualSpacing/>
              <w:jc w:val="both"/>
              <w:rPr>
                <w:rFonts w:asciiTheme="majorBidi" w:hAnsiTheme="majorBidi" w:cstheme="majorBidi"/>
                <w:sz w:val="20"/>
                <w:szCs w:val="20"/>
              </w:rPr>
            </w:pPr>
            <w:r w:rsidRPr="00BF1010">
              <w:rPr>
                <w:rFonts w:asciiTheme="majorBidi" w:hAnsiTheme="majorBidi" w:cstheme="majorBidi"/>
                <w:sz w:val="20"/>
                <w:szCs w:val="20"/>
              </w:rPr>
              <w:t>In the city/In rural areas</w:t>
            </w:r>
          </w:p>
        </w:tc>
      </w:tr>
      <w:tr w:rsidR="00BF1010" w:rsidRPr="00BF1010" w14:paraId="671353FA" w14:textId="77777777" w:rsidTr="00BF1010">
        <w:trPr>
          <w:jc w:val="center"/>
        </w:trPr>
        <w:tc>
          <w:tcPr>
            <w:tcW w:w="0" w:type="auto"/>
            <w:tcMar>
              <w:top w:w="15" w:type="dxa"/>
              <w:left w:w="0" w:type="dxa"/>
              <w:bottom w:w="15" w:type="dxa"/>
              <w:right w:w="15" w:type="dxa"/>
            </w:tcMar>
            <w:vAlign w:val="center"/>
            <w:hideMark/>
          </w:tcPr>
          <w:p w14:paraId="16CC8E20" w14:textId="77777777" w:rsidR="00BF1010" w:rsidRPr="00BF1010" w:rsidRDefault="00BF1010" w:rsidP="00BF1010">
            <w:pPr>
              <w:spacing w:after="0" w:line="240" w:lineRule="auto"/>
              <w:contextualSpacing/>
              <w:rPr>
                <w:rFonts w:asciiTheme="majorBidi" w:hAnsiTheme="majorBidi" w:cstheme="majorBidi"/>
                <w:sz w:val="20"/>
                <w:szCs w:val="20"/>
              </w:rPr>
            </w:pPr>
            <w:r w:rsidRPr="00BF1010">
              <w:rPr>
                <w:rFonts w:asciiTheme="majorBidi" w:hAnsiTheme="majorBidi" w:cstheme="majorBidi"/>
                <w:b/>
                <w:bCs/>
                <w:sz w:val="20"/>
                <w:szCs w:val="20"/>
              </w:rPr>
              <w:t>Demographic Group Residing in the House</w:t>
            </w:r>
          </w:p>
        </w:tc>
        <w:tc>
          <w:tcPr>
            <w:tcW w:w="0" w:type="auto"/>
            <w:vAlign w:val="center"/>
            <w:hideMark/>
          </w:tcPr>
          <w:p w14:paraId="40751780" w14:textId="77777777" w:rsidR="00BF1010" w:rsidRPr="00BF1010" w:rsidRDefault="00BF1010" w:rsidP="00BF1010">
            <w:pPr>
              <w:spacing w:after="0" w:line="240" w:lineRule="auto"/>
              <w:contextualSpacing/>
              <w:jc w:val="both"/>
              <w:rPr>
                <w:rFonts w:asciiTheme="majorBidi" w:hAnsiTheme="majorBidi" w:cstheme="majorBidi"/>
                <w:sz w:val="20"/>
                <w:szCs w:val="20"/>
              </w:rPr>
            </w:pPr>
            <w:r w:rsidRPr="00BF1010">
              <w:rPr>
                <w:rFonts w:asciiTheme="majorBidi" w:hAnsiTheme="majorBidi" w:cstheme="majorBidi"/>
                <w:sz w:val="20"/>
                <w:szCs w:val="20"/>
              </w:rPr>
              <w:t>Any type of residents/Low-income individuals or high-risk social groups</w:t>
            </w:r>
          </w:p>
        </w:tc>
      </w:tr>
      <w:tr w:rsidR="00BF1010" w:rsidRPr="00BF1010" w14:paraId="4FC2EABB" w14:textId="77777777" w:rsidTr="00BF1010">
        <w:trPr>
          <w:jc w:val="center"/>
        </w:trPr>
        <w:tc>
          <w:tcPr>
            <w:tcW w:w="0" w:type="auto"/>
            <w:tcMar>
              <w:top w:w="15" w:type="dxa"/>
              <w:left w:w="0" w:type="dxa"/>
              <w:bottom w:w="15" w:type="dxa"/>
              <w:right w:w="15" w:type="dxa"/>
            </w:tcMar>
            <w:vAlign w:val="center"/>
            <w:hideMark/>
          </w:tcPr>
          <w:p w14:paraId="6B898CC9" w14:textId="77777777" w:rsidR="00BF1010" w:rsidRPr="00BF1010" w:rsidRDefault="00BF1010" w:rsidP="00BF1010">
            <w:pPr>
              <w:spacing w:after="0" w:line="240" w:lineRule="auto"/>
              <w:contextualSpacing/>
              <w:rPr>
                <w:rFonts w:asciiTheme="majorBidi" w:hAnsiTheme="majorBidi" w:cstheme="majorBidi"/>
                <w:sz w:val="20"/>
                <w:szCs w:val="20"/>
              </w:rPr>
            </w:pPr>
            <w:r w:rsidRPr="00BF1010">
              <w:rPr>
                <w:rFonts w:asciiTheme="majorBidi" w:hAnsiTheme="majorBidi" w:cstheme="majorBidi"/>
                <w:b/>
                <w:bCs/>
                <w:sz w:val="20"/>
                <w:szCs w:val="20"/>
              </w:rPr>
              <w:t>Ownership Rights</w:t>
            </w:r>
          </w:p>
        </w:tc>
        <w:tc>
          <w:tcPr>
            <w:tcW w:w="0" w:type="auto"/>
            <w:vAlign w:val="center"/>
            <w:hideMark/>
          </w:tcPr>
          <w:p w14:paraId="16EAFB99" w14:textId="77777777" w:rsidR="00BF1010" w:rsidRPr="00BF1010" w:rsidRDefault="00BF1010" w:rsidP="00BF1010">
            <w:pPr>
              <w:spacing w:after="0" w:line="240" w:lineRule="auto"/>
              <w:contextualSpacing/>
              <w:jc w:val="both"/>
              <w:rPr>
                <w:rFonts w:asciiTheme="majorBidi" w:hAnsiTheme="majorBidi" w:cstheme="majorBidi"/>
                <w:sz w:val="20"/>
                <w:szCs w:val="20"/>
              </w:rPr>
            </w:pPr>
            <w:r w:rsidRPr="00BF1010">
              <w:rPr>
                <w:rFonts w:asciiTheme="majorBidi" w:hAnsiTheme="majorBidi" w:cstheme="majorBidi"/>
                <w:sz w:val="20"/>
                <w:szCs w:val="20"/>
              </w:rPr>
              <w:t>State-owned housing/Municipality-owned housing/Privately owned housing/Corporate-owned housing/Other</w:t>
            </w:r>
          </w:p>
        </w:tc>
      </w:tr>
      <w:tr w:rsidR="00BF1010" w:rsidRPr="00BF1010" w14:paraId="5E038C14" w14:textId="77777777" w:rsidTr="00BF1010">
        <w:trPr>
          <w:jc w:val="center"/>
        </w:trPr>
        <w:tc>
          <w:tcPr>
            <w:tcW w:w="0" w:type="auto"/>
            <w:tcMar>
              <w:top w:w="15" w:type="dxa"/>
              <w:left w:w="0" w:type="dxa"/>
              <w:bottom w:w="15" w:type="dxa"/>
              <w:right w:w="15" w:type="dxa"/>
            </w:tcMar>
            <w:vAlign w:val="center"/>
            <w:hideMark/>
          </w:tcPr>
          <w:p w14:paraId="03B3F316" w14:textId="77777777" w:rsidR="00BF1010" w:rsidRPr="00BF1010" w:rsidRDefault="00BF1010" w:rsidP="00BF1010">
            <w:pPr>
              <w:spacing w:after="0" w:line="240" w:lineRule="auto"/>
              <w:contextualSpacing/>
              <w:rPr>
                <w:rFonts w:asciiTheme="majorBidi" w:hAnsiTheme="majorBidi" w:cstheme="majorBidi"/>
                <w:sz w:val="20"/>
                <w:szCs w:val="20"/>
              </w:rPr>
            </w:pPr>
            <w:r w:rsidRPr="00BF1010">
              <w:rPr>
                <w:rFonts w:asciiTheme="majorBidi" w:hAnsiTheme="majorBidi" w:cstheme="majorBidi"/>
                <w:b/>
                <w:bCs/>
                <w:sz w:val="20"/>
                <w:szCs w:val="20"/>
              </w:rPr>
              <w:t>Construction Period</w:t>
            </w:r>
          </w:p>
        </w:tc>
        <w:tc>
          <w:tcPr>
            <w:tcW w:w="0" w:type="auto"/>
            <w:vAlign w:val="center"/>
            <w:hideMark/>
          </w:tcPr>
          <w:p w14:paraId="29813CBB" w14:textId="77777777" w:rsidR="00BF1010" w:rsidRPr="00BF1010" w:rsidRDefault="00BF1010" w:rsidP="00BF1010">
            <w:pPr>
              <w:spacing w:after="0" w:line="240" w:lineRule="auto"/>
              <w:contextualSpacing/>
              <w:jc w:val="both"/>
              <w:rPr>
                <w:rFonts w:asciiTheme="majorBidi" w:hAnsiTheme="majorBidi" w:cstheme="majorBidi"/>
                <w:sz w:val="20"/>
                <w:szCs w:val="20"/>
              </w:rPr>
            </w:pPr>
            <w:r w:rsidRPr="00BF1010">
              <w:rPr>
                <w:rFonts w:asciiTheme="majorBidi" w:hAnsiTheme="majorBidi" w:cstheme="majorBidi"/>
                <w:sz w:val="20"/>
                <w:szCs w:val="20"/>
              </w:rPr>
              <w:t>Houses built before World War II/Houses built between 1945 and 1990/Houses built from 1990 to present</w:t>
            </w:r>
          </w:p>
        </w:tc>
      </w:tr>
      <w:tr w:rsidR="00BF1010" w:rsidRPr="00BF1010" w14:paraId="738BC0B2" w14:textId="77777777" w:rsidTr="00BF1010">
        <w:trPr>
          <w:jc w:val="center"/>
        </w:trPr>
        <w:tc>
          <w:tcPr>
            <w:tcW w:w="0" w:type="auto"/>
            <w:tcMar>
              <w:top w:w="15" w:type="dxa"/>
              <w:left w:w="0" w:type="dxa"/>
              <w:bottom w:w="15" w:type="dxa"/>
              <w:right w:w="15" w:type="dxa"/>
            </w:tcMar>
            <w:vAlign w:val="center"/>
            <w:hideMark/>
          </w:tcPr>
          <w:p w14:paraId="4921B34E" w14:textId="77777777" w:rsidR="00BF1010" w:rsidRPr="00BF1010" w:rsidRDefault="00BF1010" w:rsidP="00BF1010">
            <w:pPr>
              <w:spacing w:after="0" w:line="240" w:lineRule="auto"/>
              <w:contextualSpacing/>
              <w:rPr>
                <w:rFonts w:asciiTheme="majorBidi" w:hAnsiTheme="majorBidi" w:cstheme="majorBidi"/>
                <w:sz w:val="20"/>
                <w:szCs w:val="20"/>
              </w:rPr>
            </w:pPr>
            <w:r w:rsidRPr="00BF1010">
              <w:rPr>
                <w:rFonts w:asciiTheme="majorBidi" w:hAnsiTheme="majorBidi" w:cstheme="majorBidi"/>
                <w:b/>
                <w:bCs/>
                <w:sz w:val="20"/>
                <w:szCs w:val="20"/>
              </w:rPr>
              <w:t>Energy Efficiency Indicators</w:t>
            </w:r>
          </w:p>
        </w:tc>
        <w:tc>
          <w:tcPr>
            <w:tcW w:w="0" w:type="auto"/>
            <w:vAlign w:val="center"/>
            <w:hideMark/>
          </w:tcPr>
          <w:p w14:paraId="2CE8A196" w14:textId="77777777" w:rsidR="00BF1010" w:rsidRPr="00BF1010" w:rsidRDefault="00BF1010" w:rsidP="00BF1010">
            <w:pPr>
              <w:spacing w:after="0" w:line="240" w:lineRule="auto"/>
              <w:contextualSpacing/>
              <w:jc w:val="both"/>
              <w:rPr>
                <w:rFonts w:asciiTheme="majorBidi" w:hAnsiTheme="majorBidi" w:cstheme="majorBidi"/>
                <w:sz w:val="20"/>
                <w:szCs w:val="20"/>
              </w:rPr>
            </w:pPr>
            <w:r w:rsidRPr="00BF1010">
              <w:rPr>
                <w:rFonts w:asciiTheme="majorBidi" w:hAnsiTheme="majorBidi" w:cstheme="majorBidi"/>
                <w:sz w:val="20"/>
                <w:szCs w:val="20"/>
              </w:rPr>
              <w:t>Minimum allowable energy performance level for new buildings/Minimum allowable energy performance level for renovated buildings/Nearly zero-energy housing/Other</w:t>
            </w:r>
          </w:p>
        </w:tc>
      </w:tr>
      <w:tr w:rsidR="00BF1010" w:rsidRPr="00BF1010" w14:paraId="7C542D3E" w14:textId="77777777" w:rsidTr="00BF1010">
        <w:trPr>
          <w:jc w:val="center"/>
        </w:trPr>
        <w:tc>
          <w:tcPr>
            <w:tcW w:w="0" w:type="auto"/>
            <w:tcMar>
              <w:top w:w="15" w:type="dxa"/>
              <w:left w:w="0" w:type="dxa"/>
              <w:bottom w:w="15" w:type="dxa"/>
              <w:right w:w="15" w:type="dxa"/>
            </w:tcMar>
            <w:vAlign w:val="center"/>
            <w:hideMark/>
          </w:tcPr>
          <w:p w14:paraId="536C5843" w14:textId="77777777" w:rsidR="00BF1010" w:rsidRPr="00BF1010" w:rsidRDefault="00BF1010" w:rsidP="00BF1010">
            <w:pPr>
              <w:spacing w:after="0" w:line="240" w:lineRule="auto"/>
              <w:contextualSpacing/>
              <w:rPr>
                <w:rFonts w:asciiTheme="majorBidi" w:hAnsiTheme="majorBidi" w:cstheme="majorBidi"/>
                <w:sz w:val="20"/>
                <w:szCs w:val="20"/>
              </w:rPr>
            </w:pPr>
            <w:r w:rsidRPr="00BF1010">
              <w:rPr>
                <w:rFonts w:asciiTheme="majorBidi" w:hAnsiTheme="majorBidi" w:cstheme="majorBidi"/>
                <w:b/>
                <w:bCs/>
                <w:sz w:val="20"/>
                <w:szCs w:val="20"/>
              </w:rPr>
              <w:t>Based on Building Materials Used in the Exterior</w:t>
            </w:r>
          </w:p>
        </w:tc>
        <w:tc>
          <w:tcPr>
            <w:tcW w:w="0" w:type="auto"/>
            <w:vAlign w:val="center"/>
            <w:hideMark/>
          </w:tcPr>
          <w:p w14:paraId="7E82D5E2" w14:textId="77777777" w:rsidR="00BF1010" w:rsidRPr="00BF1010" w:rsidRDefault="00BF1010" w:rsidP="00BF1010">
            <w:pPr>
              <w:spacing w:after="0" w:line="240" w:lineRule="auto"/>
              <w:contextualSpacing/>
              <w:jc w:val="both"/>
              <w:rPr>
                <w:rFonts w:asciiTheme="majorBidi" w:hAnsiTheme="majorBidi" w:cstheme="majorBidi"/>
                <w:sz w:val="20"/>
                <w:szCs w:val="20"/>
              </w:rPr>
            </w:pPr>
            <w:r w:rsidRPr="00BF1010">
              <w:rPr>
                <w:rFonts w:asciiTheme="majorBidi" w:hAnsiTheme="majorBidi" w:cstheme="majorBidi"/>
                <w:sz w:val="20"/>
                <w:szCs w:val="20"/>
              </w:rPr>
              <w:t>Brick walls/Wood/Brick/Panels/Reinforced concrete/Concrete/Lightweight concrete/Wood/Masonry/Other</w:t>
            </w:r>
          </w:p>
        </w:tc>
      </w:tr>
    </w:tbl>
    <w:p w14:paraId="4D9373BD" w14:textId="77777777" w:rsidR="0035024D" w:rsidRDefault="0035024D" w:rsidP="0035024D">
      <w:pPr>
        <w:spacing w:after="0" w:line="240" w:lineRule="auto"/>
        <w:contextualSpacing/>
        <w:jc w:val="both"/>
        <w:rPr>
          <w:rFonts w:asciiTheme="majorBidi" w:hAnsiTheme="majorBidi" w:cstheme="majorBidi"/>
        </w:rPr>
      </w:pPr>
    </w:p>
    <w:p w14:paraId="3529F674" w14:textId="290F5DEF" w:rsidR="0035024D" w:rsidRPr="0035024D" w:rsidRDefault="00BF1010" w:rsidP="0035024D">
      <w:pPr>
        <w:spacing w:after="0" w:line="240" w:lineRule="auto"/>
        <w:contextualSpacing/>
        <w:jc w:val="both"/>
        <w:rPr>
          <w:rFonts w:asciiTheme="majorBidi" w:hAnsiTheme="majorBidi" w:cstheme="majorBidi"/>
        </w:rPr>
      </w:pPr>
      <w:r w:rsidRPr="00BF1010">
        <w:rPr>
          <w:rFonts w:asciiTheme="majorBidi" w:hAnsiTheme="majorBidi" w:cstheme="majorBidi"/>
        </w:rPr>
        <w:t>This table illustrates various housing classifications based on different characteristics, which can help in better understanding the types of housing and their associated criteria.</w:t>
      </w:r>
      <w:r w:rsidR="0035024D">
        <w:rPr>
          <w:rFonts w:asciiTheme="majorBidi" w:hAnsiTheme="majorBidi" w:cstheme="majorBidi"/>
        </w:rPr>
        <w:t xml:space="preserve"> </w:t>
      </w:r>
      <w:r w:rsidR="0035024D" w:rsidRPr="0035024D">
        <w:rPr>
          <w:rFonts w:asciiTheme="majorBidi" w:hAnsiTheme="majorBidi" w:cstheme="majorBidi"/>
        </w:rPr>
        <w:t>In the literature, there is no single definition for affordable housing. The Australian Housing, Local Government and Planning Ministers</w:t>
      </w:r>
      <w:r w:rsidR="0035024D" w:rsidRPr="0035024D">
        <w:rPr>
          <w:rFonts w:asciiTheme="majorBidi" w:hAnsiTheme="majorBidi" w:cstheme="majorBidi"/>
        </w:rPr>
        <w:t xml:space="preserve"> </w:t>
      </w:r>
      <w:r w:rsidR="0035024D" w:rsidRPr="0035024D">
        <w:rPr>
          <w:rFonts w:asciiTheme="majorBidi" w:hAnsiTheme="majorBidi" w:cstheme="majorBidi"/>
        </w:rPr>
        <w:t>(2006) defines affordable housing as housing that is suitable for the needs of a range of low- and middle-income households, with prices set in a way that allows households to meet other essential living costs. In other words, this might be the simplest definition of affordable housing, which considers the ratio of housing prices to income.</w:t>
      </w:r>
    </w:p>
    <w:p w14:paraId="25E09ABB" w14:textId="70ED794C" w:rsidR="0035024D" w:rsidRPr="0035024D" w:rsidRDefault="0035024D" w:rsidP="0035024D">
      <w:pPr>
        <w:spacing w:after="0" w:line="240" w:lineRule="auto"/>
        <w:contextualSpacing/>
        <w:jc w:val="both"/>
        <w:rPr>
          <w:rFonts w:asciiTheme="majorBidi" w:hAnsiTheme="majorBidi" w:cstheme="majorBidi"/>
        </w:rPr>
      </w:pPr>
      <w:r w:rsidRPr="0035024D">
        <w:rPr>
          <w:rFonts w:asciiTheme="majorBidi" w:hAnsiTheme="majorBidi" w:cstheme="majorBidi"/>
        </w:rPr>
        <w:t>The UK Office of the Deputy Prime Minister (2005) provides a similar definition but focuses on incomes lower than the threshold considered in Australia. In fact, the affordability of housing is measured relative to housing costs and household income and is estimated using various methods. Marks and Sedgwick (2008) define affordability using the standard measure of housing stress, meaning that if housing costs exceed 30% of a household's income, the household is under stress. This same definition is also considered by the Australian Council of Social Service (ACOSS) and others</w:t>
      </w:r>
      <w:r w:rsidRPr="0035024D">
        <w:rPr>
          <w:rFonts w:asciiTheme="majorBidi" w:hAnsiTheme="majorBidi" w:cstheme="majorBidi"/>
        </w:rPr>
        <w:t xml:space="preserve"> </w:t>
      </w:r>
      <w:r w:rsidRPr="0035024D">
        <w:rPr>
          <w:rFonts w:asciiTheme="majorBidi" w:hAnsiTheme="majorBidi" w:cstheme="majorBidi"/>
        </w:rPr>
        <w:t>(2007). In these definitions, the concepts of housing costs and income must be clarified. For renters, housing costs refer to rent payments, while for homeowners, housing costs include mortgage repayments and interest.</w:t>
      </w:r>
    </w:p>
    <w:p w14:paraId="349CC290" w14:textId="678430F4" w:rsidR="0035024D" w:rsidRPr="0035024D" w:rsidRDefault="0035024D" w:rsidP="0035024D">
      <w:pPr>
        <w:spacing w:after="0" w:line="240" w:lineRule="auto"/>
        <w:contextualSpacing/>
        <w:jc w:val="both"/>
        <w:rPr>
          <w:rFonts w:asciiTheme="majorBidi" w:hAnsiTheme="majorBidi" w:cstheme="majorBidi"/>
        </w:rPr>
      </w:pPr>
      <w:r w:rsidRPr="0035024D">
        <w:rPr>
          <w:rFonts w:asciiTheme="majorBidi" w:hAnsiTheme="majorBidi" w:cstheme="majorBidi"/>
        </w:rPr>
        <w:t xml:space="preserve">Affordable housing refers to the income of its residents and contrasts with specific types of housing such as social housing, public housing, and low-cost housing (UN Habitat, 2011). Affordable housing </w:t>
      </w:r>
      <w:r w:rsidRPr="0035024D">
        <w:rPr>
          <w:rFonts w:asciiTheme="majorBidi" w:hAnsiTheme="majorBidi" w:cstheme="majorBidi"/>
        </w:rPr>
        <w:lastRenderedPageBreak/>
        <w:t>encompasses a range of housing options available at various price points that meet effective demand (</w:t>
      </w:r>
      <w:proofErr w:type="spellStart"/>
      <w:r w:rsidRPr="0035024D">
        <w:rPr>
          <w:rFonts w:asciiTheme="majorBidi" w:hAnsiTheme="majorBidi" w:cstheme="majorBidi"/>
        </w:rPr>
        <w:t>Masseram</w:t>
      </w:r>
      <w:proofErr w:type="spellEnd"/>
      <w:r w:rsidRPr="0035024D">
        <w:rPr>
          <w:rFonts w:asciiTheme="majorBidi" w:hAnsiTheme="majorBidi" w:cstheme="majorBidi"/>
        </w:rPr>
        <w:t xml:space="preserve"> and </w:t>
      </w:r>
      <w:proofErr w:type="spellStart"/>
      <w:r w:rsidRPr="0035024D">
        <w:rPr>
          <w:rFonts w:asciiTheme="majorBidi" w:hAnsiTheme="majorBidi" w:cstheme="majorBidi"/>
        </w:rPr>
        <w:t>Misnan</w:t>
      </w:r>
      <w:proofErr w:type="spellEnd"/>
      <w:r w:rsidRPr="0035024D">
        <w:rPr>
          <w:rFonts w:asciiTheme="majorBidi" w:hAnsiTheme="majorBidi" w:cstheme="majorBidi"/>
        </w:rPr>
        <w:t>, 2019). Effective demand typically refers to households' needs beyond the basic or minimum level of provision, supported by their willingness to pay for housing, considering their ability to pay and purchasing power (</w:t>
      </w:r>
      <w:proofErr w:type="spellStart"/>
      <w:r w:rsidRPr="0035024D">
        <w:rPr>
          <w:rFonts w:asciiTheme="majorBidi" w:hAnsiTheme="majorBidi" w:cstheme="majorBidi"/>
        </w:rPr>
        <w:t>Golland</w:t>
      </w:r>
      <w:proofErr w:type="spellEnd"/>
      <w:r w:rsidRPr="0035024D">
        <w:rPr>
          <w:rFonts w:asciiTheme="majorBidi" w:hAnsiTheme="majorBidi" w:cstheme="majorBidi"/>
        </w:rPr>
        <w:t xml:space="preserve"> and Blake, 2007).</w:t>
      </w:r>
    </w:p>
    <w:p w14:paraId="7CE0E4DA" w14:textId="77777777" w:rsidR="0035024D" w:rsidRPr="0035024D" w:rsidRDefault="0035024D" w:rsidP="0035024D">
      <w:pPr>
        <w:spacing w:after="0" w:line="240" w:lineRule="auto"/>
        <w:contextualSpacing/>
        <w:jc w:val="both"/>
        <w:rPr>
          <w:rFonts w:asciiTheme="majorBidi" w:hAnsiTheme="majorBidi" w:cstheme="majorBidi"/>
        </w:rPr>
      </w:pPr>
      <w:r w:rsidRPr="0035024D">
        <w:rPr>
          <w:rFonts w:asciiTheme="majorBidi" w:hAnsiTheme="majorBidi" w:cstheme="majorBidi"/>
        </w:rPr>
        <w:t xml:space="preserve">When individuals are willing and able to pay for housing, factors such as price, demand conditions, income level, income distribution, household formation, interest rates, replacement costs, government policies, personal preferences, expectations of future price changes, and similar considerations come into play (Harvey and </w:t>
      </w:r>
      <w:proofErr w:type="spellStart"/>
      <w:r w:rsidRPr="0035024D">
        <w:rPr>
          <w:rFonts w:asciiTheme="majorBidi" w:hAnsiTheme="majorBidi" w:cstheme="majorBidi"/>
        </w:rPr>
        <w:t>Jowsey</w:t>
      </w:r>
      <w:proofErr w:type="spellEnd"/>
      <w:r w:rsidRPr="0035024D">
        <w:rPr>
          <w:rFonts w:asciiTheme="majorBidi" w:hAnsiTheme="majorBidi" w:cstheme="majorBidi"/>
        </w:rPr>
        <w:t>, 2004).</w:t>
      </w:r>
    </w:p>
    <w:p w14:paraId="5AB87787" w14:textId="77777777" w:rsidR="0035024D" w:rsidRPr="0035024D" w:rsidRDefault="0035024D" w:rsidP="0035024D">
      <w:pPr>
        <w:spacing w:after="0" w:line="240" w:lineRule="auto"/>
        <w:contextualSpacing/>
        <w:jc w:val="both"/>
        <w:rPr>
          <w:rFonts w:asciiTheme="majorBidi" w:hAnsiTheme="majorBidi" w:cstheme="majorBidi"/>
        </w:rPr>
      </w:pPr>
      <w:r w:rsidRPr="0035024D">
        <w:rPr>
          <w:rFonts w:asciiTheme="majorBidi" w:hAnsiTheme="majorBidi" w:cstheme="majorBidi"/>
        </w:rPr>
        <w:t>Issues related to affordability reflect the need for some form of government intervention to ensure equal access to housing for all segments of the population. Government intervention is crucial for controlling and balancing the housing market, as the private sector plays a major role in housing provision. Left unchecked, the conflicting objectives of the public and private sectors can create problems, particularly for low-income individuals seeking to purchase homes. The increasing focus on densification and the reuse of previously developed land reflects government policies aimed at securing economic, physical, and generational renewal in urban areas and creating sustainable environments for residents more quickly.</w:t>
      </w:r>
    </w:p>
    <w:p w14:paraId="71CE6B74" w14:textId="05D4D824" w:rsidR="0035024D" w:rsidRDefault="0035024D" w:rsidP="0035024D">
      <w:pPr>
        <w:spacing w:after="0" w:line="240" w:lineRule="auto"/>
        <w:contextualSpacing/>
        <w:jc w:val="both"/>
        <w:rPr>
          <w:rFonts w:asciiTheme="majorBidi" w:hAnsiTheme="majorBidi" w:cstheme="majorBidi"/>
        </w:rPr>
      </w:pPr>
      <w:r w:rsidRPr="0035024D">
        <w:rPr>
          <w:rFonts w:asciiTheme="majorBidi" w:hAnsiTheme="majorBidi" w:cstheme="majorBidi"/>
        </w:rPr>
        <w:t>The OECD (2021) has prepared a report on affordable housing policies to build a better future. This report addresses all dimensions and measurable aspects of affordable housing. Table (2) comprehensively presents these factors.</w:t>
      </w:r>
    </w:p>
    <w:p w14:paraId="51748B29" w14:textId="7F0B7291" w:rsidR="00D40A1F" w:rsidRDefault="00D40A1F" w:rsidP="0035024D">
      <w:pPr>
        <w:spacing w:after="0" w:line="240" w:lineRule="auto"/>
        <w:contextualSpacing/>
        <w:jc w:val="both"/>
        <w:rPr>
          <w:rFonts w:asciiTheme="majorBidi" w:hAnsiTheme="majorBidi" w:cstheme="majorBidi"/>
        </w:rPr>
      </w:pPr>
    </w:p>
    <w:p w14:paraId="4ECCFBDB" w14:textId="77777777" w:rsidR="00545E9C" w:rsidRPr="00545E9C" w:rsidRDefault="00545E9C" w:rsidP="00545E9C">
      <w:pPr>
        <w:spacing w:after="0" w:line="240" w:lineRule="auto"/>
        <w:contextualSpacing/>
        <w:jc w:val="center"/>
        <w:rPr>
          <w:rFonts w:asciiTheme="majorBidi" w:hAnsiTheme="majorBidi" w:cstheme="majorBidi"/>
          <w:sz w:val="20"/>
          <w:szCs w:val="20"/>
        </w:rPr>
      </w:pPr>
      <w:r w:rsidRPr="00545E9C">
        <w:rPr>
          <w:rFonts w:asciiTheme="majorBidi" w:hAnsiTheme="majorBidi" w:cstheme="majorBidi"/>
          <w:b/>
          <w:bCs/>
          <w:sz w:val="20"/>
          <w:szCs w:val="20"/>
        </w:rPr>
        <w:t>Table (2): Dimensions and Metrics for Evaluating Affordable Housing (OECD, 2021)</w:t>
      </w:r>
    </w:p>
    <w:tbl>
      <w:tblPr>
        <w:tblW w:w="0" w:type="auto"/>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605"/>
        <w:gridCol w:w="1905"/>
        <w:gridCol w:w="2880"/>
        <w:gridCol w:w="2970"/>
      </w:tblGrid>
      <w:tr w:rsidR="00545E9C" w:rsidRPr="00545E9C" w14:paraId="0BA08E49" w14:textId="77777777" w:rsidTr="00545E9C">
        <w:trPr>
          <w:tblHeader/>
        </w:trPr>
        <w:tc>
          <w:tcPr>
            <w:tcW w:w="0" w:type="auto"/>
            <w:tcMar>
              <w:top w:w="15" w:type="dxa"/>
              <w:left w:w="0" w:type="dxa"/>
              <w:bottom w:w="15" w:type="dxa"/>
              <w:right w:w="15" w:type="dxa"/>
            </w:tcMar>
            <w:vAlign w:val="center"/>
            <w:hideMark/>
          </w:tcPr>
          <w:p w14:paraId="28E6E7A9" w14:textId="77777777" w:rsidR="00545E9C" w:rsidRPr="00545E9C" w:rsidRDefault="00545E9C" w:rsidP="00545E9C">
            <w:pPr>
              <w:spacing w:after="0" w:line="240" w:lineRule="auto"/>
              <w:contextualSpacing/>
              <w:jc w:val="center"/>
              <w:rPr>
                <w:rFonts w:asciiTheme="majorBidi" w:hAnsiTheme="majorBidi" w:cstheme="majorBidi"/>
                <w:b/>
                <w:bCs/>
                <w:sz w:val="20"/>
                <w:szCs w:val="20"/>
              </w:rPr>
            </w:pPr>
            <w:r w:rsidRPr="00545E9C">
              <w:rPr>
                <w:rFonts w:asciiTheme="majorBidi" w:hAnsiTheme="majorBidi" w:cstheme="majorBidi"/>
                <w:b/>
                <w:bCs/>
                <w:sz w:val="20"/>
                <w:szCs w:val="20"/>
              </w:rPr>
              <w:t>Type of Evaluation</w:t>
            </w:r>
          </w:p>
        </w:tc>
        <w:tc>
          <w:tcPr>
            <w:tcW w:w="1905" w:type="dxa"/>
            <w:vAlign w:val="center"/>
            <w:hideMark/>
          </w:tcPr>
          <w:p w14:paraId="3D5215D6" w14:textId="77777777" w:rsidR="00545E9C" w:rsidRPr="00545E9C" w:rsidRDefault="00545E9C" w:rsidP="00545E9C">
            <w:pPr>
              <w:spacing w:after="0" w:line="240" w:lineRule="auto"/>
              <w:contextualSpacing/>
              <w:jc w:val="center"/>
              <w:rPr>
                <w:rFonts w:asciiTheme="majorBidi" w:hAnsiTheme="majorBidi" w:cstheme="majorBidi"/>
                <w:b/>
                <w:bCs/>
                <w:sz w:val="20"/>
                <w:szCs w:val="20"/>
              </w:rPr>
            </w:pPr>
            <w:r w:rsidRPr="00545E9C">
              <w:rPr>
                <w:rFonts w:asciiTheme="majorBidi" w:hAnsiTheme="majorBidi" w:cstheme="majorBidi"/>
                <w:b/>
                <w:bCs/>
                <w:sz w:val="20"/>
                <w:szCs w:val="20"/>
              </w:rPr>
              <w:t>Sample Indicators</w:t>
            </w:r>
          </w:p>
        </w:tc>
        <w:tc>
          <w:tcPr>
            <w:tcW w:w="2880" w:type="dxa"/>
            <w:vAlign w:val="center"/>
            <w:hideMark/>
          </w:tcPr>
          <w:p w14:paraId="111C8B9C" w14:textId="77777777" w:rsidR="00545E9C" w:rsidRPr="00545E9C" w:rsidRDefault="00545E9C" w:rsidP="00545E9C">
            <w:pPr>
              <w:spacing w:after="0" w:line="240" w:lineRule="auto"/>
              <w:contextualSpacing/>
              <w:jc w:val="center"/>
              <w:rPr>
                <w:rFonts w:asciiTheme="majorBidi" w:hAnsiTheme="majorBidi" w:cstheme="majorBidi"/>
                <w:b/>
                <w:bCs/>
                <w:sz w:val="20"/>
                <w:szCs w:val="20"/>
              </w:rPr>
            </w:pPr>
            <w:r w:rsidRPr="00545E9C">
              <w:rPr>
                <w:rFonts w:asciiTheme="majorBidi" w:hAnsiTheme="majorBidi" w:cstheme="majorBidi"/>
                <w:b/>
                <w:bCs/>
                <w:sz w:val="20"/>
                <w:szCs w:val="20"/>
              </w:rPr>
              <w:t>Advantages</w:t>
            </w:r>
          </w:p>
        </w:tc>
        <w:tc>
          <w:tcPr>
            <w:tcW w:w="2970" w:type="dxa"/>
            <w:vAlign w:val="center"/>
            <w:hideMark/>
          </w:tcPr>
          <w:p w14:paraId="0F24A37C" w14:textId="77777777" w:rsidR="00545E9C" w:rsidRPr="00545E9C" w:rsidRDefault="00545E9C" w:rsidP="00545E9C">
            <w:pPr>
              <w:spacing w:after="0" w:line="240" w:lineRule="auto"/>
              <w:contextualSpacing/>
              <w:jc w:val="center"/>
              <w:rPr>
                <w:rFonts w:asciiTheme="majorBidi" w:hAnsiTheme="majorBidi" w:cstheme="majorBidi"/>
                <w:b/>
                <w:bCs/>
                <w:sz w:val="20"/>
                <w:szCs w:val="20"/>
              </w:rPr>
            </w:pPr>
            <w:r w:rsidRPr="00545E9C">
              <w:rPr>
                <w:rFonts w:asciiTheme="majorBidi" w:hAnsiTheme="majorBidi" w:cstheme="majorBidi"/>
                <w:b/>
                <w:bCs/>
                <w:sz w:val="20"/>
                <w:szCs w:val="20"/>
              </w:rPr>
              <w:t>Limitations</w:t>
            </w:r>
          </w:p>
        </w:tc>
      </w:tr>
      <w:tr w:rsidR="00545E9C" w:rsidRPr="00545E9C" w14:paraId="685DE8A0" w14:textId="77777777" w:rsidTr="00545E9C">
        <w:tc>
          <w:tcPr>
            <w:tcW w:w="0" w:type="auto"/>
            <w:tcMar>
              <w:top w:w="15" w:type="dxa"/>
              <w:left w:w="0" w:type="dxa"/>
              <w:bottom w:w="15" w:type="dxa"/>
              <w:right w:w="15" w:type="dxa"/>
            </w:tcMar>
            <w:vAlign w:val="center"/>
            <w:hideMark/>
          </w:tcPr>
          <w:p w14:paraId="297F4FE0" w14:textId="77777777" w:rsidR="00545E9C" w:rsidRPr="00545E9C" w:rsidRDefault="00545E9C" w:rsidP="00545E9C">
            <w:pPr>
              <w:spacing w:after="0" w:line="240" w:lineRule="auto"/>
              <w:contextualSpacing/>
              <w:jc w:val="center"/>
              <w:rPr>
                <w:rFonts w:asciiTheme="majorBidi" w:hAnsiTheme="majorBidi" w:cstheme="majorBidi"/>
                <w:sz w:val="20"/>
                <w:szCs w:val="20"/>
              </w:rPr>
            </w:pPr>
            <w:r w:rsidRPr="00545E9C">
              <w:rPr>
                <w:rFonts w:asciiTheme="majorBidi" w:hAnsiTheme="majorBidi" w:cstheme="majorBidi"/>
                <w:b/>
                <w:bCs/>
                <w:sz w:val="20"/>
                <w:szCs w:val="20"/>
              </w:rPr>
              <w:t>Price-to-Income Ratio</w:t>
            </w:r>
          </w:p>
        </w:tc>
        <w:tc>
          <w:tcPr>
            <w:tcW w:w="1905" w:type="dxa"/>
            <w:vAlign w:val="center"/>
            <w:hideMark/>
          </w:tcPr>
          <w:p w14:paraId="1428178C" w14:textId="77777777" w:rsidR="00545E9C" w:rsidRPr="00545E9C" w:rsidRDefault="00545E9C" w:rsidP="00545E9C">
            <w:pPr>
              <w:spacing w:after="0" w:line="240" w:lineRule="auto"/>
              <w:contextualSpacing/>
              <w:jc w:val="center"/>
              <w:rPr>
                <w:rFonts w:asciiTheme="majorBidi" w:hAnsiTheme="majorBidi" w:cstheme="majorBidi"/>
                <w:sz w:val="20"/>
                <w:szCs w:val="20"/>
              </w:rPr>
            </w:pPr>
            <w:r w:rsidRPr="00545E9C">
              <w:rPr>
                <w:rFonts w:asciiTheme="majorBidi" w:hAnsiTheme="majorBidi" w:cstheme="majorBidi"/>
                <w:sz w:val="20"/>
                <w:szCs w:val="20"/>
              </w:rPr>
              <w:t>Housing price-to-income ratio</w:t>
            </w:r>
            <w:r w:rsidRPr="00545E9C">
              <w:rPr>
                <w:rFonts w:asciiTheme="majorBidi" w:hAnsiTheme="majorBidi" w:cstheme="majorBidi"/>
                <w:sz w:val="20"/>
                <w:szCs w:val="20"/>
              </w:rPr>
              <w:br/>
              <w:t>Rent-to-income ratio</w:t>
            </w:r>
          </w:p>
        </w:tc>
        <w:tc>
          <w:tcPr>
            <w:tcW w:w="2880" w:type="dxa"/>
            <w:vAlign w:val="center"/>
            <w:hideMark/>
          </w:tcPr>
          <w:p w14:paraId="611C2129" w14:textId="77777777" w:rsidR="00545E9C" w:rsidRPr="00545E9C" w:rsidRDefault="00545E9C" w:rsidP="00545E9C">
            <w:pPr>
              <w:spacing w:after="0" w:line="240" w:lineRule="auto"/>
              <w:contextualSpacing/>
              <w:jc w:val="both"/>
              <w:rPr>
                <w:rFonts w:asciiTheme="majorBidi" w:hAnsiTheme="majorBidi" w:cstheme="majorBidi"/>
                <w:sz w:val="20"/>
                <w:szCs w:val="20"/>
              </w:rPr>
            </w:pPr>
            <w:r w:rsidRPr="00545E9C">
              <w:rPr>
                <w:rFonts w:asciiTheme="majorBidi" w:hAnsiTheme="majorBidi" w:cstheme="majorBidi"/>
                <w:sz w:val="20"/>
                <w:szCs w:val="20"/>
              </w:rPr>
              <w:t>► Relatively simple and intuitive</w:t>
            </w:r>
            <w:r w:rsidRPr="00545E9C">
              <w:rPr>
                <w:rFonts w:asciiTheme="majorBidi" w:hAnsiTheme="majorBidi" w:cstheme="majorBidi"/>
                <w:sz w:val="20"/>
                <w:szCs w:val="20"/>
              </w:rPr>
              <w:br/>
              <w:t>► Relies on data generally available in most countries</w:t>
            </w:r>
            <w:r w:rsidRPr="00545E9C">
              <w:rPr>
                <w:rFonts w:asciiTheme="majorBidi" w:hAnsiTheme="majorBidi" w:cstheme="majorBidi"/>
                <w:sz w:val="20"/>
                <w:szCs w:val="20"/>
              </w:rPr>
              <w:br/>
              <w:t>► Shows how the relationship between prices and income varies over time and/or across markets (e.g., countries).</w:t>
            </w:r>
          </w:p>
        </w:tc>
        <w:tc>
          <w:tcPr>
            <w:tcW w:w="2970" w:type="dxa"/>
            <w:vAlign w:val="center"/>
            <w:hideMark/>
          </w:tcPr>
          <w:p w14:paraId="0F3110CB" w14:textId="77777777" w:rsidR="00545E9C" w:rsidRPr="00545E9C" w:rsidRDefault="00545E9C" w:rsidP="00545E9C">
            <w:pPr>
              <w:spacing w:after="0" w:line="240" w:lineRule="auto"/>
              <w:contextualSpacing/>
              <w:jc w:val="both"/>
              <w:rPr>
                <w:rFonts w:asciiTheme="majorBidi" w:hAnsiTheme="majorBidi" w:cstheme="majorBidi"/>
                <w:sz w:val="20"/>
                <w:szCs w:val="20"/>
              </w:rPr>
            </w:pPr>
            <w:r w:rsidRPr="00545E9C">
              <w:rPr>
                <w:rFonts w:asciiTheme="majorBidi" w:hAnsiTheme="majorBidi" w:cstheme="majorBidi"/>
                <w:sz w:val="20"/>
                <w:szCs w:val="20"/>
              </w:rPr>
              <w:t>◄ Does not indicate the distribution of housing costs or affordability (e.g., who has access to affordable housing or not)</w:t>
            </w:r>
            <w:r w:rsidRPr="00545E9C">
              <w:rPr>
                <w:rFonts w:asciiTheme="majorBidi" w:hAnsiTheme="majorBidi" w:cstheme="majorBidi"/>
                <w:sz w:val="20"/>
                <w:szCs w:val="20"/>
              </w:rPr>
              <w:br/>
              <w:t>◄ Does not provide insight into housing quality</w:t>
            </w:r>
            <w:r w:rsidRPr="00545E9C">
              <w:rPr>
                <w:rFonts w:asciiTheme="majorBidi" w:hAnsiTheme="majorBidi" w:cstheme="majorBidi"/>
                <w:sz w:val="20"/>
                <w:szCs w:val="20"/>
              </w:rPr>
              <w:br/>
              <w:t>◄ Does not account for borrowing costs.</w:t>
            </w:r>
          </w:p>
        </w:tc>
      </w:tr>
      <w:tr w:rsidR="00545E9C" w:rsidRPr="00545E9C" w14:paraId="14DDB2E7" w14:textId="77777777" w:rsidTr="00545E9C">
        <w:tc>
          <w:tcPr>
            <w:tcW w:w="0" w:type="auto"/>
            <w:tcMar>
              <w:top w:w="15" w:type="dxa"/>
              <w:left w:w="0" w:type="dxa"/>
              <w:bottom w:w="15" w:type="dxa"/>
              <w:right w:w="15" w:type="dxa"/>
            </w:tcMar>
            <w:vAlign w:val="center"/>
            <w:hideMark/>
          </w:tcPr>
          <w:p w14:paraId="75B23AC2" w14:textId="77777777" w:rsidR="00545E9C" w:rsidRPr="00545E9C" w:rsidRDefault="00545E9C" w:rsidP="00545E9C">
            <w:pPr>
              <w:spacing w:after="0" w:line="240" w:lineRule="auto"/>
              <w:contextualSpacing/>
              <w:jc w:val="center"/>
              <w:rPr>
                <w:rFonts w:asciiTheme="majorBidi" w:hAnsiTheme="majorBidi" w:cstheme="majorBidi"/>
                <w:sz w:val="20"/>
                <w:szCs w:val="20"/>
              </w:rPr>
            </w:pPr>
            <w:r w:rsidRPr="00545E9C">
              <w:rPr>
                <w:rFonts w:asciiTheme="majorBidi" w:hAnsiTheme="majorBidi" w:cstheme="majorBidi"/>
                <w:b/>
                <w:bCs/>
                <w:sz w:val="20"/>
                <w:szCs w:val="20"/>
              </w:rPr>
              <w:t>Housing Cost-to-Income Ratio</w:t>
            </w:r>
          </w:p>
        </w:tc>
        <w:tc>
          <w:tcPr>
            <w:tcW w:w="1905" w:type="dxa"/>
            <w:vAlign w:val="center"/>
            <w:hideMark/>
          </w:tcPr>
          <w:p w14:paraId="51850F40" w14:textId="77777777" w:rsidR="00545E9C" w:rsidRPr="00545E9C" w:rsidRDefault="00545E9C" w:rsidP="00545E9C">
            <w:pPr>
              <w:spacing w:after="0" w:line="240" w:lineRule="auto"/>
              <w:contextualSpacing/>
              <w:jc w:val="center"/>
              <w:rPr>
                <w:rFonts w:asciiTheme="majorBidi" w:hAnsiTheme="majorBidi" w:cstheme="majorBidi"/>
                <w:sz w:val="20"/>
                <w:szCs w:val="20"/>
              </w:rPr>
            </w:pPr>
            <w:r w:rsidRPr="00545E9C">
              <w:rPr>
                <w:rFonts w:asciiTheme="majorBidi" w:hAnsiTheme="majorBidi" w:cstheme="majorBidi"/>
                <w:sz w:val="20"/>
                <w:szCs w:val="20"/>
              </w:rPr>
              <w:t>Housing cost burden</w:t>
            </w:r>
            <w:r w:rsidRPr="00545E9C">
              <w:rPr>
                <w:rFonts w:asciiTheme="majorBidi" w:hAnsiTheme="majorBidi" w:cstheme="majorBidi"/>
                <w:sz w:val="20"/>
                <w:szCs w:val="20"/>
              </w:rPr>
              <w:br/>
              <w:t>Housing cost overburden rate (e.g., share of households spending &gt;40% of disposable income on housing)</w:t>
            </w:r>
          </w:p>
        </w:tc>
        <w:tc>
          <w:tcPr>
            <w:tcW w:w="2880" w:type="dxa"/>
            <w:vAlign w:val="center"/>
            <w:hideMark/>
          </w:tcPr>
          <w:p w14:paraId="78A6DDF1" w14:textId="77777777" w:rsidR="00545E9C" w:rsidRPr="00545E9C" w:rsidRDefault="00545E9C" w:rsidP="00545E9C">
            <w:pPr>
              <w:spacing w:after="0" w:line="240" w:lineRule="auto"/>
              <w:contextualSpacing/>
              <w:jc w:val="both"/>
              <w:rPr>
                <w:rFonts w:asciiTheme="majorBidi" w:hAnsiTheme="majorBidi" w:cstheme="majorBidi"/>
                <w:sz w:val="20"/>
                <w:szCs w:val="20"/>
              </w:rPr>
            </w:pPr>
            <w:r w:rsidRPr="00545E9C">
              <w:rPr>
                <w:rFonts w:asciiTheme="majorBidi" w:hAnsiTheme="majorBidi" w:cstheme="majorBidi"/>
                <w:sz w:val="20"/>
                <w:szCs w:val="20"/>
              </w:rPr>
              <w:t>► Relatively simple and intuitive</w:t>
            </w:r>
            <w:r w:rsidRPr="00545E9C">
              <w:rPr>
                <w:rFonts w:asciiTheme="majorBidi" w:hAnsiTheme="majorBidi" w:cstheme="majorBidi"/>
                <w:sz w:val="20"/>
                <w:szCs w:val="20"/>
              </w:rPr>
              <w:br/>
              <w:t>► Relies on data generally available in most countries</w:t>
            </w:r>
            <w:r w:rsidRPr="00545E9C">
              <w:rPr>
                <w:rFonts w:asciiTheme="majorBidi" w:hAnsiTheme="majorBidi" w:cstheme="majorBidi"/>
                <w:sz w:val="20"/>
                <w:szCs w:val="20"/>
              </w:rPr>
              <w:br/>
              <w:t>► Can be disaggregated to measure actual housing costs at the household level.</w:t>
            </w:r>
          </w:p>
        </w:tc>
        <w:tc>
          <w:tcPr>
            <w:tcW w:w="2970" w:type="dxa"/>
            <w:vAlign w:val="center"/>
            <w:hideMark/>
          </w:tcPr>
          <w:p w14:paraId="349D62A2" w14:textId="77777777" w:rsidR="00545E9C" w:rsidRPr="00545E9C" w:rsidRDefault="00545E9C" w:rsidP="00545E9C">
            <w:pPr>
              <w:spacing w:after="0" w:line="240" w:lineRule="auto"/>
              <w:contextualSpacing/>
              <w:jc w:val="both"/>
              <w:rPr>
                <w:rFonts w:asciiTheme="majorBidi" w:hAnsiTheme="majorBidi" w:cstheme="majorBidi"/>
                <w:sz w:val="20"/>
                <w:szCs w:val="20"/>
              </w:rPr>
            </w:pPr>
            <w:r w:rsidRPr="00545E9C">
              <w:rPr>
                <w:rFonts w:asciiTheme="majorBidi" w:hAnsiTheme="majorBidi" w:cstheme="majorBidi"/>
                <w:sz w:val="20"/>
                <w:szCs w:val="20"/>
              </w:rPr>
              <w:t>◄ The "overburden" threshold is set arbitrarily and remains fixed regardless of household characteristics or their position in the income distribution.</w:t>
            </w:r>
            <w:r w:rsidRPr="00545E9C">
              <w:rPr>
                <w:rFonts w:asciiTheme="majorBidi" w:hAnsiTheme="majorBidi" w:cstheme="majorBidi"/>
                <w:sz w:val="20"/>
                <w:szCs w:val="20"/>
              </w:rPr>
              <w:br/>
              <w:t>◄ Does not provide insight into housing quality.</w:t>
            </w:r>
          </w:p>
        </w:tc>
      </w:tr>
      <w:tr w:rsidR="00545E9C" w:rsidRPr="00545E9C" w14:paraId="6F7E9898" w14:textId="77777777" w:rsidTr="00545E9C">
        <w:tc>
          <w:tcPr>
            <w:tcW w:w="0" w:type="auto"/>
            <w:tcMar>
              <w:top w:w="15" w:type="dxa"/>
              <w:left w:w="0" w:type="dxa"/>
              <w:bottom w:w="15" w:type="dxa"/>
              <w:right w:w="15" w:type="dxa"/>
            </w:tcMar>
            <w:vAlign w:val="center"/>
            <w:hideMark/>
          </w:tcPr>
          <w:p w14:paraId="1824F76D" w14:textId="77777777" w:rsidR="00545E9C" w:rsidRPr="00545E9C" w:rsidRDefault="00545E9C" w:rsidP="00545E9C">
            <w:pPr>
              <w:spacing w:after="0" w:line="240" w:lineRule="auto"/>
              <w:contextualSpacing/>
              <w:jc w:val="center"/>
              <w:rPr>
                <w:rFonts w:asciiTheme="majorBidi" w:hAnsiTheme="majorBidi" w:cstheme="majorBidi"/>
                <w:sz w:val="20"/>
                <w:szCs w:val="20"/>
              </w:rPr>
            </w:pPr>
            <w:r w:rsidRPr="00545E9C">
              <w:rPr>
                <w:rFonts w:asciiTheme="majorBidi" w:hAnsiTheme="majorBidi" w:cstheme="majorBidi"/>
                <w:b/>
                <w:bCs/>
                <w:sz w:val="20"/>
                <w:szCs w:val="20"/>
              </w:rPr>
              <w:t>Residual Income</w:t>
            </w:r>
          </w:p>
        </w:tc>
        <w:tc>
          <w:tcPr>
            <w:tcW w:w="1905" w:type="dxa"/>
            <w:vAlign w:val="center"/>
            <w:hideMark/>
          </w:tcPr>
          <w:p w14:paraId="5D34CA37" w14:textId="77777777" w:rsidR="00545E9C" w:rsidRPr="00545E9C" w:rsidRDefault="00545E9C" w:rsidP="00545E9C">
            <w:pPr>
              <w:spacing w:after="0" w:line="240" w:lineRule="auto"/>
              <w:contextualSpacing/>
              <w:jc w:val="center"/>
              <w:rPr>
                <w:rFonts w:asciiTheme="majorBidi" w:hAnsiTheme="majorBidi" w:cstheme="majorBidi"/>
                <w:sz w:val="20"/>
                <w:szCs w:val="20"/>
              </w:rPr>
            </w:pPr>
            <w:r w:rsidRPr="00545E9C">
              <w:rPr>
                <w:rFonts w:asciiTheme="majorBidi" w:hAnsiTheme="majorBidi" w:cstheme="majorBidi"/>
                <w:sz w:val="20"/>
                <w:szCs w:val="20"/>
              </w:rPr>
              <w:t>Shelter poverty</w:t>
            </w:r>
            <w:r w:rsidRPr="00545E9C">
              <w:rPr>
                <w:rFonts w:asciiTheme="majorBidi" w:hAnsiTheme="majorBidi" w:cstheme="majorBidi"/>
                <w:sz w:val="20"/>
                <w:szCs w:val="20"/>
              </w:rPr>
              <w:br/>
              <w:t>Housing-induced poverty</w:t>
            </w:r>
          </w:p>
        </w:tc>
        <w:tc>
          <w:tcPr>
            <w:tcW w:w="2880" w:type="dxa"/>
            <w:vAlign w:val="center"/>
            <w:hideMark/>
          </w:tcPr>
          <w:p w14:paraId="4D3E93F8" w14:textId="77777777" w:rsidR="00545E9C" w:rsidRPr="00545E9C" w:rsidRDefault="00545E9C" w:rsidP="00545E9C">
            <w:pPr>
              <w:spacing w:after="0" w:line="240" w:lineRule="auto"/>
              <w:contextualSpacing/>
              <w:jc w:val="both"/>
              <w:rPr>
                <w:rFonts w:asciiTheme="majorBidi" w:hAnsiTheme="majorBidi" w:cstheme="majorBidi"/>
                <w:sz w:val="20"/>
                <w:szCs w:val="20"/>
              </w:rPr>
            </w:pPr>
            <w:r w:rsidRPr="00545E9C">
              <w:rPr>
                <w:rFonts w:asciiTheme="majorBidi" w:hAnsiTheme="majorBidi" w:cstheme="majorBidi"/>
                <w:sz w:val="20"/>
                <w:szCs w:val="20"/>
              </w:rPr>
              <w:t>► Shows the income remaining after housing costs, allowing assessment of sufficient income for non-housing expenses.</w:t>
            </w:r>
            <w:r w:rsidRPr="00545E9C">
              <w:rPr>
                <w:rFonts w:asciiTheme="majorBidi" w:hAnsiTheme="majorBidi" w:cstheme="majorBidi"/>
                <w:sz w:val="20"/>
                <w:szCs w:val="20"/>
              </w:rPr>
              <w:br/>
              <w:t>► Useful for measuring affordability gaps among vulnerable low- and middle-income families.</w:t>
            </w:r>
          </w:p>
        </w:tc>
        <w:tc>
          <w:tcPr>
            <w:tcW w:w="2970" w:type="dxa"/>
            <w:vAlign w:val="center"/>
            <w:hideMark/>
          </w:tcPr>
          <w:p w14:paraId="74BF71D3" w14:textId="77777777" w:rsidR="00545E9C" w:rsidRPr="00545E9C" w:rsidRDefault="00545E9C" w:rsidP="00545E9C">
            <w:pPr>
              <w:spacing w:after="0" w:line="240" w:lineRule="auto"/>
              <w:contextualSpacing/>
              <w:jc w:val="both"/>
              <w:rPr>
                <w:rFonts w:asciiTheme="majorBidi" w:hAnsiTheme="majorBidi" w:cstheme="majorBidi"/>
                <w:sz w:val="20"/>
                <w:szCs w:val="20"/>
              </w:rPr>
            </w:pPr>
            <w:r w:rsidRPr="00545E9C">
              <w:rPr>
                <w:rFonts w:asciiTheme="majorBidi" w:hAnsiTheme="majorBidi" w:cstheme="majorBidi"/>
                <w:sz w:val="20"/>
                <w:szCs w:val="20"/>
              </w:rPr>
              <w:t>◄ May require extensive additional data collection on minimum non-housing expenditure baskets.</w:t>
            </w:r>
            <w:r w:rsidRPr="00545E9C">
              <w:rPr>
                <w:rFonts w:asciiTheme="majorBidi" w:hAnsiTheme="majorBidi" w:cstheme="majorBidi"/>
                <w:sz w:val="20"/>
                <w:szCs w:val="20"/>
              </w:rPr>
              <w:br/>
              <w:t>◄ Arbitrariness in defining the minimum income needed for non-housing expenses.</w:t>
            </w:r>
            <w:r w:rsidRPr="00545E9C">
              <w:rPr>
                <w:rFonts w:asciiTheme="majorBidi" w:hAnsiTheme="majorBidi" w:cstheme="majorBidi"/>
                <w:sz w:val="20"/>
                <w:szCs w:val="20"/>
              </w:rPr>
              <w:br/>
              <w:t>◄ Does not indicate housing quality.</w:t>
            </w:r>
            <w:r w:rsidRPr="00545E9C">
              <w:rPr>
                <w:rFonts w:asciiTheme="majorBidi" w:hAnsiTheme="majorBidi" w:cstheme="majorBidi"/>
                <w:sz w:val="20"/>
                <w:szCs w:val="20"/>
              </w:rPr>
              <w:br/>
              <w:t>◄ May misidentify general cost-of-living issues as housing issues.</w:t>
            </w:r>
          </w:p>
        </w:tc>
      </w:tr>
      <w:tr w:rsidR="00545E9C" w:rsidRPr="00545E9C" w14:paraId="6794B6CF" w14:textId="77777777" w:rsidTr="00545E9C">
        <w:tc>
          <w:tcPr>
            <w:tcW w:w="0" w:type="auto"/>
            <w:tcMar>
              <w:top w:w="15" w:type="dxa"/>
              <w:left w:w="0" w:type="dxa"/>
              <w:bottom w:w="15" w:type="dxa"/>
              <w:right w:w="15" w:type="dxa"/>
            </w:tcMar>
            <w:vAlign w:val="center"/>
            <w:hideMark/>
          </w:tcPr>
          <w:p w14:paraId="66B1039D" w14:textId="77777777" w:rsidR="00545E9C" w:rsidRPr="00545E9C" w:rsidRDefault="00545E9C" w:rsidP="00545E9C">
            <w:pPr>
              <w:spacing w:after="0" w:line="240" w:lineRule="auto"/>
              <w:contextualSpacing/>
              <w:jc w:val="center"/>
              <w:rPr>
                <w:rFonts w:asciiTheme="majorBidi" w:hAnsiTheme="majorBidi" w:cstheme="majorBidi"/>
                <w:sz w:val="20"/>
                <w:szCs w:val="20"/>
              </w:rPr>
            </w:pPr>
            <w:r w:rsidRPr="00545E9C">
              <w:rPr>
                <w:rFonts w:asciiTheme="majorBidi" w:hAnsiTheme="majorBidi" w:cstheme="majorBidi"/>
                <w:b/>
                <w:bCs/>
                <w:sz w:val="20"/>
                <w:szCs w:val="20"/>
              </w:rPr>
              <w:t>Housing Quality</w:t>
            </w:r>
          </w:p>
        </w:tc>
        <w:tc>
          <w:tcPr>
            <w:tcW w:w="1905" w:type="dxa"/>
            <w:vAlign w:val="center"/>
            <w:hideMark/>
          </w:tcPr>
          <w:p w14:paraId="2FE49CBD" w14:textId="77777777" w:rsidR="00545E9C" w:rsidRPr="00545E9C" w:rsidRDefault="00545E9C" w:rsidP="00545E9C">
            <w:pPr>
              <w:spacing w:after="0" w:line="240" w:lineRule="auto"/>
              <w:contextualSpacing/>
              <w:jc w:val="center"/>
              <w:rPr>
                <w:rFonts w:asciiTheme="majorBidi" w:hAnsiTheme="majorBidi" w:cstheme="majorBidi"/>
                <w:sz w:val="20"/>
                <w:szCs w:val="20"/>
              </w:rPr>
            </w:pPr>
            <w:r w:rsidRPr="00545E9C">
              <w:rPr>
                <w:rFonts w:asciiTheme="majorBidi" w:hAnsiTheme="majorBidi" w:cstheme="majorBidi"/>
                <w:sz w:val="20"/>
                <w:szCs w:val="20"/>
              </w:rPr>
              <w:t>Rooms per person</w:t>
            </w:r>
            <w:r w:rsidRPr="00545E9C">
              <w:rPr>
                <w:rFonts w:asciiTheme="majorBidi" w:hAnsiTheme="majorBidi" w:cstheme="majorBidi"/>
                <w:sz w:val="20"/>
                <w:szCs w:val="20"/>
              </w:rPr>
              <w:br/>
              <w:t>Overcrowding rate</w:t>
            </w:r>
            <w:r w:rsidRPr="00545E9C">
              <w:rPr>
                <w:rFonts w:asciiTheme="majorBidi" w:hAnsiTheme="majorBidi" w:cstheme="majorBidi"/>
                <w:sz w:val="20"/>
                <w:szCs w:val="20"/>
              </w:rPr>
              <w:br/>
              <w:t>Housing deprivation rate</w:t>
            </w:r>
          </w:p>
        </w:tc>
        <w:tc>
          <w:tcPr>
            <w:tcW w:w="2880" w:type="dxa"/>
            <w:vAlign w:val="center"/>
            <w:hideMark/>
          </w:tcPr>
          <w:p w14:paraId="705DDE6A" w14:textId="77777777" w:rsidR="00545E9C" w:rsidRPr="00545E9C" w:rsidRDefault="00545E9C" w:rsidP="00545E9C">
            <w:pPr>
              <w:spacing w:after="0" w:line="240" w:lineRule="auto"/>
              <w:contextualSpacing/>
              <w:jc w:val="both"/>
              <w:rPr>
                <w:rFonts w:asciiTheme="majorBidi" w:hAnsiTheme="majorBidi" w:cstheme="majorBidi"/>
                <w:sz w:val="20"/>
                <w:szCs w:val="20"/>
              </w:rPr>
            </w:pPr>
            <w:r w:rsidRPr="00545E9C">
              <w:rPr>
                <w:rFonts w:asciiTheme="majorBidi" w:hAnsiTheme="majorBidi" w:cstheme="majorBidi"/>
                <w:sz w:val="20"/>
                <w:szCs w:val="20"/>
              </w:rPr>
              <w:t>► Overcrowding can be assessed using a very simple (or more complex) definition.</w:t>
            </w:r>
            <w:r w:rsidRPr="00545E9C">
              <w:rPr>
                <w:rFonts w:asciiTheme="majorBidi" w:hAnsiTheme="majorBidi" w:cstheme="majorBidi"/>
                <w:sz w:val="20"/>
                <w:szCs w:val="20"/>
              </w:rPr>
              <w:br/>
              <w:t>► Provides insights into a key dimension of affordability, e.g., what families are paying for.</w:t>
            </w:r>
          </w:p>
        </w:tc>
        <w:tc>
          <w:tcPr>
            <w:tcW w:w="2970" w:type="dxa"/>
            <w:vAlign w:val="center"/>
            <w:hideMark/>
          </w:tcPr>
          <w:p w14:paraId="5C2A8DF4" w14:textId="77777777" w:rsidR="00545E9C" w:rsidRPr="00545E9C" w:rsidRDefault="00545E9C" w:rsidP="00545E9C">
            <w:pPr>
              <w:spacing w:after="0" w:line="240" w:lineRule="auto"/>
              <w:contextualSpacing/>
              <w:jc w:val="both"/>
              <w:rPr>
                <w:rFonts w:asciiTheme="majorBidi" w:hAnsiTheme="majorBidi" w:cstheme="majorBidi"/>
                <w:sz w:val="20"/>
                <w:szCs w:val="20"/>
              </w:rPr>
            </w:pPr>
            <w:r w:rsidRPr="00545E9C">
              <w:rPr>
                <w:rFonts w:asciiTheme="majorBidi" w:hAnsiTheme="majorBidi" w:cstheme="majorBidi"/>
                <w:sz w:val="20"/>
                <w:szCs w:val="20"/>
              </w:rPr>
              <w:t>► Potential trade-offs between social and environmental objectives when interpreting size-related indicators.</w:t>
            </w:r>
            <w:r w:rsidRPr="00545E9C">
              <w:rPr>
                <w:rFonts w:asciiTheme="majorBidi" w:hAnsiTheme="majorBidi" w:cstheme="majorBidi"/>
                <w:sz w:val="20"/>
                <w:szCs w:val="20"/>
              </w:rPr>
              <w:br/>
              <w:t xml:space="preserve">► Cross-country/cultural differences in what features are relevant for assessing housing </w:t>
            </w:r>
            <w:r w:rsidRPr="00545E9C">
              <w:rPr>
                <w:rFonts w:asciiTheme="majorBidi" w:hAnsiTheme="majorBidi" w:cstheme="majorBidi"/>
                <w:sz w:val="20"/>
                <w:szCs w:val="20"/>
              </w:rPr>
              <w:lastRenderedPageBreak/>
              <w:t>quality.</w:t>
            </w:r>
            <w:r w:rsidRPr="00545E9C">
              <w:rPr>
                <w:rFonts w:asciiTheme="majorBidi" w:hAnsiTheme="majorBidi" w:cstheme="majorBidi"/>
                <w:sz w:val="20"/>
                <w:szCs w:val="20"/>
              </w:rPr>
              <w:br/>
              <w:t>► Some quality metrics require up-to-date data on technical specifications of homes, which may not be readily available.</w:t>
            </w:r>
          </w:p>
        </w:tc>
      </w:tr>
      <w:tr w:rsidR="00545E9C" w:rsidRPr="00545E9C" w14:paraId="39AF0FBD" w14:textId="77777777" w:rsidTr="00545E9C">
        <w:tc>
          <w:tcPr>
            <w:tcW w:w="0" w:type="auto"/>
            <w:tcMar>
              <w:top w:w="15" w:type="dxa"/>
              <w:left w:w="0" w:type="dxa"/>
              <w:bottom w:w="15" w:type="dxa"/>
              <w:right w:w="15" w:type="dxa"/>
            </w:tcMar>
            <w:vAlign w:val="center"/>
            <w:hideMark/>
          </w:tcPr>
          <w:p w14:paraId="4F3615FD" w14:textId="77777777" w:rsidR="00545E9C" w:rsidRPr="00545E9C" w:rsidRDefault="00545E9C" w:rsidP="00545E9C">
            <w:pPr>
              <w:spacing w:after="0" w:line="240" w:lineRule="auto"/>
              <w:contextualSpacing/>
              <w:jc w:val="center"/>
              <w:rPr>
                <w:rFonts w:asciiTheme="majorBidi" w:hAnsiTheme="majorBidi" w:cstheme="majorBidi"/>
                <w:sz w:val="20"/>
                <w:szCs w:val="20"/>
              </w:rPr>
            </w:pPr>
            <w:r w:rsidRPr="00545E9C">
              <w:rPr>
                <w:rFonts w:asciiTheme="majorBidi" w:hAnsiTheme="majorBidi" w:cstheme="majorBidi"/>
                <w:b/>
                <w:bCs/>
                <w:sz w:val="20"/>
                <w:szCs w:val="20"/>
              </w:rPr>
              <w:lastRenderedPageBreak/>
              <w:t>Subjective Indicators of Housing Affordability</w:t>
            </w:r>
          </w:p>
        </w:tc>
        <w:tc>
          <w:tcPr>
            <w:tcW w:w="1905" w:type="dxa"/>
            <w:vAlign w:val="center"/>
            <w:hideMark/>
          </w:tcPr>
          <w:p w14:paraId="68F66F3D" w14:textId="77777777" w:rsidR="00545E9C" w:rsidRPr="00545E9C" w:rsidRDefault="00545E9C" w:rsidP="00545E9C">
            <w:pPr>
              <w:spacing w:after="0" w:line="240" w:lineRule="auto"/>
              <w:contextualSpacing/>
              <w:jc w:val="center"/>
              <w:rPr>
                <w:rFonts w:asciiTheme="majorBidi" w:hAnsiTheme="majorBidi" w:cstheme="majorBidi"/>
                <w:sz w:val="20"/>
                <w:szCs w:val="20"/>
              </w:rPr>
            </w:pPr>
            <w:r w:rsidRPr="00545E9C">
              <w:rPr>
                <w:rFonts w:asciiTheme="majorBidi" w:hAnsiTheme="majorBidi" w:cstheme="majorBidi"/>
                <w:sz w:val="20"/>
                <w:szCs w:val="20"/>
              </w:rPr>
              <w:t>Satisfaction with availability of good and affordable housing</w:t>
            </w:r>
            <w:r w:rsidRPr="00545E9C">
              <w:rPr>
                <w:rFonts w:asciiTheme="majorBidi" w:hAnsiTheme="majorBidi" w:cstheme="majorBidi"/>
                <w:sz w:val="20"/>
                <w:szCs w:val="20"/>
              </w:rPr>
              <w:br/>
            </w:r>
            <w:proofErr w:type="spellStart"/>
            <w:r w:rsidRPr="00545E9C">
              <w:rPr>
                <w:rFonts w:asciiTheme="majorBidi" w:hAnsiTheme="majorBidi" w:cstheme="majorBidi"/>
                <w:sz w:val="20"/>
                <w:szCs w:val="20"/>
              </w:rPr>
              <w:t>Housing</w:t>
            </w:r>
            <w:proofErr w:type="spellEnd"/>
            <w:r w:rsidRPr="00545E9C">
              <w:rPr>
                <w:rFonts w:asciiTheme="majorBidi" w:hAnsiTheme="majorBidi" w:cstheme="majorBidi"/>
                <w:sz w:val="20"/>
                <w:szCs w:val="20"/>
              </w:rPr>
              <w:t xml:space="preserve"> as a key short-term concern</w:t>
            </w:r>
          </w:p>
        </w:tc>
        <w:tc>
          <w:tcPr>
            <w:tcW w:w="2880" w:type="dxa"/>
            <w:vAlign w:val="center"/>
            <w:hideMark/>
          </w:tcPr>
          <w:p w14:paraId="51165951" w14:textId="77777777" w:rsidR="00545E9C" w:rsidRPr="00545E9C" w:rsidRDefault="00545E9C" w:rsidP="00545E9C">
            <w:pPr>
              <w:spacing w:after="0" w:line="240" w:lineRule="auto"/>
              <w:contextualSpacing/>
              <w:jc w:val="both"/>
              <w:rPr>
                <w:rFonts w:asciiTheme="majorBidi" w:hAnsiTheme="majorBidi" w:cstheme="majorBidi"/>
                <w:sz w:val="20"/>
                <w:szCs w:val="20"/>
              </w:rPr>
            </w:pPr>
            <w:r w:rsidRPr="00545E9C">
              <w:rPr>
                <w:rFonts w:asciiTheme="majorBidi" w:hAnsiTheme="majorBidi" w:cstheme="majorBidi"/>
                <w:sz w:val="20"/>
                <w:szCs w:val="20"/>
              </w:rPr>
              <w:t>► Can complement other housing outcome metrics and help better understand determinants of housing satisfaction.</w:t>
            </w:r>
          </w:p>
        </w:tc>
        <w:tc>
          <w:tcPr>
            <w:tcW w:w="2970" w:type="dxa"/>
            <w:vAlign w:val="center"/>
            <w:hideMark/>
          </w:tcPr>
          <w:p w14:paraId="616D5051" w14:textId="77777777" w:rsidR="00545E9C" w:rsidRPr="00545E9C" w:rsidRDefault="00545E9C" w:rsidP="00545E9C">
            <w:pPr>
              <w:spacing w:after="0" w:line="240" w:lineRule="auto"/>
              <w:contextualSpacing/>
              <w:jc w:val="both"/>
              <w:rPr>
                <w:rFonts w:asciiTheme="majorBidi" w:hAnsiTheme="majorBidi" w:cstheme="majorBidi"/>
                <w:sz w:val="20"/>
                <w:szCs w:val="20"/>
              </w:rPr>
            </w:pPr>
            <w:r w:rsidRPr="00545E9C">
              <w:rPr>
                <w:rFonts w:asciiTheme="majorBidi" w:hAnsiTheme="majorBidi" w:cstheme="majorBidi"/>
                <w:sz w:val="20"/>
                <w:szCs w:val="20"/>
              </w:rPr>
              <w:t>► Perceptions and expectations of what constitutes good, affordable housing vary across individuals, countries, and cultures, and may also depend on social and demographic characteristics.</w:t>
            </w:r>
            <w:r w:rsidRPr="00545E9C">
              <w:rPr>
                <w:rFonts w:asciiTheme="majorBidi" w:hAnsiTheme="majorBidi" w:cstheme="majorBidi"/>
                <w:sz w:val="20"/>
                <w:szCs w:val="20"/>
              </w:rPr>
              <w:br/>
              <w:t>► Satisfaction levels may depend on country-specific factors, including the overall economic environment and/or the level of social support policies.</w:t>
            </w:r>
          </w:p>
        </w:tc>
      </w:tr>
    </w:tbl>
    <w:p w14:paraId="75371A3C" w14:textId="77777777" w:rsidR="00D40A1F" w:rsidRPr="0035024D" w:rsidRDefault="00D40A1F" w:rsidP="0035024D">
      <w:pPr>
        <w:spacing w:after="0" w:line="240" w:lineRule="auto"/>
        <w:contextualSpacing/>
        <w:jc w:val="both"/>
        <w:rPr>
          <w:rFonts w:asciiTheme="majorBidi" w:hAnsiTheme="majorBidi" w:cstheme="majorBidi"/>
        </w:rPr>
      </w:pPr>
    </w:p>
    <w:p w14:paraId="4458A453" w14:textId="16FD332F" w:rsidR="00BF1010" w:rsidRPr="00BF1010" w:rsidRDefault="00BF1010" w:rsidP="00BF1010">
      <w:pPr>
        <w:spacing w:after="0" w:line="240" w:lineRule="auto"/>
        <w:contextualSpacing/>
        <w:jc w:val="both"/>
        <w:rPr>
          <w:rFonts w:asciiTheme="majorBidi" w:hAnsiTheme="majorBidi" w:cstheme="majorBidi"/>
        </w:rPr>
      </w:pPr>
    </w:p>
    <w:p w14:paraId="63B387BC" w14:textId="77777777" w:rsidR="00E65CC0" w:rsidRPr="00E65CC0" w:rsidRDefault="00E65CC0" w:rsidP="00E65CC0">
      <w:pPr>
        <w:spacing w:after="0" w:line="240" w:lineRule="auto"/>
        <w:contextualSpacing/>
        <w:jc w:val="both"/>
        <w:rPr>
          <w:rFonts w:asciiTheme="majorBidi" w:hAnsiTheme="majorBidi" w:cstheme="majorBidi"/>
        </w:rPr>
      </w:pPr>
      <w:r w:rsidRPr="00E65CC0">
        <w:rPr>
          <w:rFonts w:asciiTheme="majorBidi" w:hAnsiTheme="majorBidi" w:cstheme="majorBidi"/>
        </w:rPr>
        <w:t>In this context, a fundamental economic concept is intervention in housing supply and demand, which indicates that increased demand leads to increased supply, and in an economic equilibrium, a perfect market responds to rising demand. However, in an imperfect market where other forces are at play, supply issues are inadequately addressed. There is often an imbalance between supply and demand, where demand typically exceeds supply, particularly in the housing market, where this demand is concentrated among low-income groups. The reason for this is the profit-driven nature of private-sector developers, who are more inclined to build high-cost, luxury housing to achieve higher profit margins (Powell et al., 2015). When the market is left unchecked, a shortage of housing supply for low-income groups in desirable locations arises. Barker (2004) emphasized the need to create a balance to achieve suitable and affordable housing for a growing population, alongside other types of housing, while considering space, location, and the nature of housing.</w:t>
      </w:r>
    </w:p>
    <w:p w14:paraId="1D1B2AC4" w14:textId="5B1FDCAC" w:rsidR="00E65CC0" w:rsidRDefault="00E65CC0" w:rsidP="00E65CC0">
      <w:pPr>
        <w:spacing w:after="0" w:line="240" w:lineRule="auto"/>
        <w:contextualSpacing/>
        <w:jc w:val="both"/>
        <w:rPr>
          <w:rFonts w:asciiTheme="majorBidi" w:hAnsiTheme="majorBidi" w:cstheme="majorBidi"/>
        </w:rPr>
      </w:pPr>
      <w:proofErr w:type="spellStart"/>
      <w:r w:rsidRPr="00E65CC0">
        <w:rPr>
          <w:rFonts w:asciiTheme="majorBidi" w:hAnsiTheme="majorBidi" w:cstheme="majorBidi"/>
        </w:rPr>
        <w:t>Musole</w:t>
      </w:r>
      <w:proofErr w:type="spellEnd"/>
      <w:r w:rsidRPr="00E65CC0">
        <w:rPr>
          <w:rFonts w:asciiTheme="majorBidi" w:hAnsiTheme="majorBidi" w:cstheme="majorBidi"/>
        </w:rPr>
        <w:t xml:space="preserve"> </w:t>
      </w:r>
      <w:r w:rsidRPr="00E65CC0">
        <w:rPr>
          <w:rFonts w:asciiTheme="majorBidi" w:hAnsiTheme="majorBidi" w:cstheme="majorBidi"/>
        </w:rPr>
        <w:t>(2009), through an examination of property rights, transaction costs, and institutional changes, concluded that market failure occurs when the market cannot produce desirable economic or social outcomes. Therefore, market failure is often cited as the primary reason for government intervention in economic systems and markets. He also noted that public policy intervention in market processes or other economic processes is generally accepted because it addresses market imperfections and increases efficiency. By eliminating externalities, such intervention ensures that the social costs of outcomes align more closely with private costs, and through the redistribution of resources, disadvantaged groups can also benefit (</w:t>
      </w:r>
      <w:proofErr w:type="spellStart"/>
      <w:r w:rsidRPr="00E65CC0">
        <w:rPr>
          <w:rFonts w:asciiTheme="majorBidi" w:hAnsiTheme="majorBidi" w:cstheme="majorBidi"/>
        </w:rPr>
        <w:t>Tisdell</w:t>
      </w:r>
      <w:proofErr w:type="spellEnd"/>
      <w:r w:rsidRPr="00E65CC0">
        <w:rPr>
          <w:rFonts w:asciiTheme="majorBidi" w:hAnsiTheme="majorBidi" w:cstheme="majorBidi"/>
        </w:rPr>
        <w:t xml:space="preserve"> and </w:t>
      </w:r>
      <w:proofErr w:type="spellStart"/>
      <w:r w:rsidRPr="00E65CC0">
        <w:rPr>
          <w:rFonts w:asciiTheme="majorBidi" w:hAnsiTheme="majorBidi" w:cstheme="majorBidi"/>
        </w:rPr>
        <w:t>Almandinger</w:t>
      </w:r>
      <w:proofErr w:type="spellEnd"/>
      <w:r w:rsidRPr="00E65CC0">
        <w:rPr>
          <w:rFonts w:asciiTheme="majorBidi" w:hAnsiTheme="majorBidi" w:cstheme="majorBidi"/>
        </w:rPr>
        <w:t>, 2008). Various types of policies for intervening in the housing market are outlined in Table 3.</w:t>
      </w:r>
    </w:p>
    <w:p w14:paraId="70619337" w14:textId="77777777" w:rsidR="00E65CC0" w:rsidRPr="00E65CC0" w:rsidRDefault="00E65CC0" w:rsidP="00E65CC0">
      <w:pPr>
        <w:spacing w:after="0" w:line="240" w:lineRule="auto"/>
        <w:contextualSpacing/>
        <w:jc w:val="both"/>
        <w:rPr>
          <w:rFonts w:asciiTheme="majorBidi" w:hAnsiTheme="majorBidi" w:cstheme="majorBidi"/>
        </w:rPr>
      </w:pPr>
    </w:p>
    <w:p w14:paraId="364468C3" w14:textId="77777777" w:rsidR="00E65CC0" w:rsidRPr="00E65CC0" w:rsidRDefault="00E65CC0" w:rsidP="00E65CC0">
      <w:pPr>
        <w:spacing w:after="0" w:line="240" w:lineRule="auto"/>
        <w:contextualSpacing/>
        <w:jc w:val="center"/>
        <w:rPr>
          <w:rFonts w:asciiTheme="majorBidi" w:hAnsiTheme="majorBidi" w:cstheme="majorBidi"/>
          <w:b/>
          <w:bCs/>
          <w:sz w:val="20"/>
          <w:szCs w:val="20"/>
        </w:rPr>
      </w:pPr>
      <w:r w:rsidRPr="00E65CC0">
        <w:rPr>
          <w:rFonts w:asciiTheme="majorBidi" w:hAnsiTheme="majorBidi" w:cstheme="majorBidi"/>
          <w:b/>
          <w:bCs/>
          <w:sz w:val="20"/>
          <w:szCs w:val="20"/>
        </w:rPr>
        <w:t xml:space="preserve">Table 3: Types of Housing Market Intervention Policies (Source: </w:t>
      </w:r>
      <w:proofErr w:type="spellStart"/>
      <w:r w:rsidRPr="00E65CC0">
        <w:rPr>
          <w:rFonts w:asciiTheme="majorBidi" w:hAnsiTheme="majorBidi" w:cstheme="majorBidi"/>
          <w:b/>
          <w:bCs/>
          <w:sz w:val="20"/>
          <w:szCs w:val="20"/>
        </w:rPr>
        <w:t>Masseram</w:t>
      </w:r>
      <w:proofErr w:type="spellEnd"/>
      <w:r w:rsidRPr="00E65CC0">
        <w:rPr>
          <w:rFonts w:asciiTheme="majorBidi" w:hAnsiTheme="majorBidi" w:cstheme="majorBidi"/>
          <w:b/>
          <w:bCs/>
          <w:sz w:val="20"/>
          <w:szCs w:val="20"/>
        </w:rPr>
        <w:t xml:space="preserve"> and </w:t>
      </w:r>
      <w:proofErr w:type="spellStart"/>
      <w:r w:rsidRPr="00E65CC0">
        <w:rPr>
          <w:rFonts w:asciiTheme="majorBidi" w:hAnsiTheme="majorBidi" w:cstheme="majorBidi"/>
          <w:b/>
          <w:bCs/>
          <w:sz w:val="20"/>
          <w:szCs w:val="20"/>
        </w:rPr>
        <w:t>Misnan</w:t>
      </w:r>
      <w:proofErr w:type="spellEnd"/>
      <w:r w:rsidRPr="00E65CC0">
        <w:rPr>
          <w:rFonts w:asciiTheme="majorBidi" w:hAnsiTheme="majorBidi" w:cstheme="majorBidi"/>
          <w:b/>
          <w:bCs/>
          <w:sz w:val="20"/>
          <w:szCs w:val="20"/>
        </w:rPr>
        <w:t>, 2019)</w:t>
      </w:r>
    </w:p>
    <w:tbl>
      <w:tblPr>
        <w:tblW w:w="0" w:type="auto"/>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155"/>
        <w:gridCol w:w="3750"/>
        <w:gridCol w:w="4455"/>
      </w:tblGrid>
      <w:tr w:rsidR="00E65CC0" w:rsidRPr="00E65CC0" w14:paraId="1953C984" w14:textId="77777777" w:rsidTr="00E65CC0">
        <w:trPr>
          <w:tblHeader/>
        </w:trPr>
        <w:tc>
          <w:tcPr>
            <w:tcW w:w="0" w:type="auto"/>
            <w:tcMar>
              <w:top w:w="15" w:type="dxa"/>
              <w:left w:w="0" w:type="dxa"/>
              <w:bottom w:w="15" w:type="dxa"/>
              <w:right w:w="15" w:type="dxa"/>
            </w:tcMar>
            <w:vAlign w:val="center"/>
            <w:hideMark/>
          </w:tcPr>
          <w:p w14:paraId="7973C638" w14:textId="77777777" w:rsidR="00E65CC0" w:rsidRPr="00E65CC0" w:rsidRDefault="00E65CC0" w:rsidP="00E65CC0">
            <w:pPr>
              <w:spacing w:after="0" w:line="240" w:lineRule="auto"/>
              <w:contextualSpacing/>
              <w:jc w:val="both"/>
              <w:rPr>
                <w:rFonts w:asciiTheme="majorBidi" w:hAnsiTheme="majorBidi" w:cstheme="majorBidi"/>
                <w:b/>
                <w:bCs/>
                <w:sz w:val="20"/>
                <w:szCs w:val="20"/>
              </w:rPr>
            </w:pPr>
            <w:r w:rsidRPr="00E65CC0">
              <w:rPr>
                <w:rFonts w:asciiTheme="majorBidi" w:hAnsiTheme="majorBidi" w:cstheme="majorBidi"/>
                <w:b/>
                <w:bCs/>
                <w:sz w:val="20"/>
                <w:szCs w:val="20"/>
              </w:rPr>
              <w:t>Policy Type</w:t>
            </w:r>
          </w:p>
        </w:tc>
        <w:tc>
          <w:tcPr>
            <w:tcW w:w="0" w:type="auto"/>
            <w:vAlign w:val="center"/>
            <w:hideMark/>
          </w:tcPr>
          <w:p w14:paraId="69885A30" w14:textId="77777777" w:rsidR="00E65CC0" w:rsidRPr="00E65CC0" w:rsidRDefault="00E65CC0" w:rsidP="00E65CC0">
            <w:pPr>
              <w:spacing w:after="0" w:line="240" w:lineRule="auto"/>
              <w:contextualSpacing/>
              <w:jc w:val="both"/>
              <w:rPr>
                <w:rFonts w:asciiTheme="majorBidi" w:hAnsiTheme="majorBidi" w:cstheme="majorBidi"/>
                <w:b/>
                <w:bCs/>
                <w:sz w:val="20"/>
                <w:szCs w:val="20"/>
              </w:rPr>
            </w:pPr>
            <w:r w:rsidRPr="00E65CC0">
              <w:rPr>
                <w:rFonts w:asciiTheme="majorBidi" w:hAnsiTheme="majorBidi" w:cstheme="majorBidi"/>
                <w:b/>
                <w:bCs/>
                <w:sz w:val="20"/>
                <w:szCs w:val="20"/>
              </w:rPr>
              <w:t>Objective</w:t>
            </w:r>
          </w:p>
        </w:tc>
        <w:tc>
          <w:tcPr>
            <w:tcW w:w="0" w:type="auto"/>
            <w:vAlign w:val="center"/>
            <w:hideMark/>
          </w:tcPr>
          <w:p w14:paraId="2EF8C96B" w14:textId="77777777" w:rsidR="00E65CC0" w:rsidRPr="00E65CC0" w:rsidRDefault="00E65CC0" w:rsidP="00E65CC0">
            <w:pPr>
              <w:spacing w:after="0" w:line="240" w:lineRule="auto"/>
              <w:contextualSpacing/>
              <w:jc w:val="both"/>
              <w:rPr>
                <w:rFonts w:asciiTheme="majorBidi" w:hAnsiTheme="majorBidi" w:cstheme="majorBidi"/>
                <w:b/>
                <w:bCs/>
                <w:sz w:val="20"/>
                <w:szCs w:val="20"/>
              </w:rPr>
            </w:pPr>
            <w:r w:rsidRPr="00E65CC0">
              <w:rPr>
                <w:rFonts w:asciiTheme="majorBidi" w:hAnsiTheme="majorBidi" w:cstheme="majorBidi"/>
                <w:b/>
                <w:bCs/>
                <w:sz w:val="20"/>
                <w:szCs w:val="20"/>
              </w:rPr>
              <w:t>Example</w:t>
            </w:r>
          </w:p>
        </w:tc>
      </w:tr>
      <w:tr w:rsidR="00E65CC0" w:rsidRPr="00E65CC0" w14:paraId="029BAA95" w14:textId="77777777" w:rsidTr="00E65CC0">
        <w:tc>
          <w:tcPr>
            <w:tcW w:w="0" w:type="auto"/>
            <w:tcMar>
              <w:top w:w="15" w:type="dxa"/>
              <w:left w:w="0" w:type="dxa"/>
              <w:bottom w:w="15" w:type="dxa"/>
              <w:right w:w="15" w:type="dxa"/>
            </w:tcMar>
            <w:vAlign w:val="center"/>
            <w:hideMark/>
          </w:tcPr>
          <w:p w14:paraId="3E6696E8" w14:textId="77777777" w:rsidR="00E65CC0" w:rsidRPr="00E65CC0" w:rsidRDefault="00E65CC0" w:rsidP="00E65CC0">
            <w:pPr>
              <w:spacing w:after="0" w:line="240" w:lineRule="auto"/>
              <w:contextualSpacing/>
              <w:jc w:val="both"/>
              <w:rPr>
                <w:rFonts w:asciiTheme="majorBidi" w:hAnsiTheme="majorBidi" w:cstheme="majorBidi"/>
                <w:sz w:val="20"/>
                <w:szCs w:val="20"/>
              </w:rPr>
            </w:pPr>
            <w:r w:rsidRPr="00E65CC0">
              <w:rPr>
                <w:rFonts w:asciiTheme="majorBidi" w:hAnsiTheme="majorBidi" w:cstheme="majorBidi"/>
                <w:sz w:val="20"/>
                <w:szCs w:val="20"/>
              </w:rPr>
              <w:t>Market Shaping</w:t>
            </w:r>
          </w:p>
        </w:tc>
        <w:tc>
          <w:tcPr>
            <w:tcW w:w="0" w:type="auto"/>
            <w:vAlign w:val="center"/>
            <w:hideMark/>
          </w:tcPr>
          <w:p w14:paraId="00B826D7" w14:textId="77777777" w:rsidR="00E65CC0" w:rsidRPr="00E65CC0" w:rsidRDefault="00E65CC0" w:rsidP="00E65CC0">
            <w:pPr>
              <w:spacing w:after="0" w:line="240" w:lineRule="auto"/>
              <w:contextualSpacing/>
              <w:jc w:val="both"/>
              <w:rPr>
                <w:rFonts w:asciiTheme="majorBidi" w:hAnsiTheme="majorBidi" w:cstheme="majorBidi"/>
                <w:sz w:val="20"/>
                <w:szCs w:val="20"/>
              </w:rPr>
            </w:pPr>
            <w:r w:rsidRPr="00E65CC0">
              <w:rPr>
                <w:rFonts w:asciiTheme="majorBidi" w:hAnsiTheme="majorBidi" w:cstheme="majorBidi"/>
                <w:sz w:val="20"/>
                <w:szCs w:val="20"/>
              </w:rPr>
              <w:t>To shape the environment in which market actions and transactions occur.</w:t>
            </w:r>
          </w:p>
        </w:tc>
        <w:tc>
          <w:tcPr>
            <w:tcW w:w="0" w:type="auto"/>
            <w:vAlign w:val="center"/>
            <w:hideMark/>
          </w:tcPr>
          <w:p w14:paraId="33B6B071" w14:textId="77777777" w:rsidR="00E65CC0" w:rsidRPr="00E65CC0" w:rsidRDefault="00E65CC0" w:rsidP="00E65CC0">
            <w:pPr>
              <w:spacing w:after="0" w:line="240" w:lineRule="auto"/>
              <w:contextualSpacing/>
              <w:jc w:val="both"/>
              <w:rPr>
                <w:rFonts w:asciiTheme="majorBidi" w:hAnsiTheme="majorBidi" w:cstheme="majorBidi"/>
                <w:sz w:val="20"/>
                <w:szCs w:val="20"/>
              </w:rPr>
            </w:pPr>
            <w:r w:rsidRPr="00E65CC0">
              <w:rPr>
                <w:rFonts w:asciiTheme="majorBidi" w:hAnsiTheme="majorBidi" w:cstheme="majorBidi"/>
                <w:sz w:val="20"/>
                <w:szCs w:val="20"/>
              </w:rPr>
              <w:t>Legal development programs, transportation investment plans, codes for sustainable housing.</w:t>
            </w:r>
          </w:p>
        </w:tc>
      </w:tr>
      <w:tr w:rsidR="00E65CC0" w:rsidRPr="00E65CC0" w14:paraId="230DDCD2" w14:textId="77777777" w:rsidTr="00E65CC0">
        <w:tc>
          <w:tcPr>
            <w:tcW w:w="0" w:type="auto"/>
            <w:tcMar>
              <w:top w:w="15" w:type="dxa"/>
              <w:left w:w="0" w:type="dxa"/>
              <w:bottom w:w="15" w:type="dxa"/>
              <w:right w:w="15" w:type="dxa"/>
            </w:tcMar>
            <w:vAlign w:val="center"/>
            <w:hideMark/>
          </w:tcPr>
          <w:p w14:paraId="28EBD8B4" w14:textId="77777777" w:rsidR="00E65CC0" w:rsidRPr="00E65CC0" w:rsidRDefault="00E65CC0" w:rsidP="00E65CC0">
            <w:pPr>
              <w:spacing w:after="0" w:line="240" w:lineRule="auto"/>
              <w:contextualSpacing/>
              <w:jc w:val="both"/>
              <w:rPr>
                <w:rFonts w:asciiTheme="majorBidi" w:hAnsiTheme="majorBidi" w:cstheme="majorBidi"/>
                <w:sz w:val="20"/>
                <w:szCs w:val="20"/>
              </w:rPr>
            </w:pPr>
            <w:r w:rsidRPr="00E65CC0">
              <w:rPr>
                <w:rFonts w:asciiTheme="majorBidi" w:hAnsiTheme="majorBidi" w:cstheme="majorBidi"/>
                <w:sz w:val="20"/>
                <w:szCs w:val="20"/>
              </w:rPr>
              <w:t>Market Regulation</w:t>
            </w:r>
          </w:p>
        </w:tc>
        <w:tc>
          <w:tcPr>
            <w:tcW w:w="0" w:type="auto"/>
            <w:vAlign w:val="center"/>
            <w:hideMark/>
          </w:tcPr>
          <w:p w14:paraId="7AE546EC" w14:textId="77777777" w:rsidR="00E65CC0" w:rsidRPr="00E65CC0" w:rsidRDefault="00E65CC0" w:rsidP="00E65CC0">
            <w:pPr>
              <w:spacing w:after="0" w:line="240" w:lineRule="auto"/>
              <w:contextualSpacing/>
              <w:jc w:val="both"/>
              <w:rPr>
                <w:rFonts w:asciiTheme="majorBidi" w:hAnsiTheme="majorBidi" w:cstheme="majorBidi"/>
                <w:sz w:val="20"/>
                <w:szCs w:val="20"/>
              </w:rPr>
            </w:pPr>
            <w:r w:rsidRPr="00E65CC0">
              <w:rPr>
                <w:rFonts w:asciiTheme="majorBidi" w:hAnsiTheme="majorBidi" w:cstheme="majorBidi"/>
                <w:sz w:val="20"/>
                <w:szCs w:val="20"/>
              </w:rPr>
              <w:t>To regulate or control market actions and transactions, ensuring consideration of externalities and public interests.</w:t>
            </w:r>
          </w:p>
        </w:tc>
        <w:tc>
          <w:tcPr>
            <w:tcW w:w="0" w:type="auto"/>
            <w:vAlign w:val="center"/>
            <w:hideMark/>
          </w:tcPr>
          <w:p w14:paraId="48DEB68B" w14:textId="77777777" w:rsidR="00E65CC0" w:rsidRPr="00E65CC0" w:rsidRDefault="00E65CC0" w:rsidP="00E65CC0">
            <w:pPr>
              <w:spacing w:after="0" w:line="240" w:lineRule="auto"/>
              <w:contextualSpacing/>
              <w:jc w:val="both"/>
              <w:rPr>
                <w:rFonts w:asciiTheme="majorBidi" w:hAnsiTheme="majorBidi" w:cstheme="majorBidi"/>
                <w:sz w:val="20"/>
                <w:szCs w:val="20"/>
              </w:rPr>
            </w:pPr>
            <w:r w:rsidRPr="00E65CC0">
              <w:rPr>
                <w:rFonts w:asciiTheme="majorBidi" w:hAnsiTheme="majorBidi" w:cstheme="majorBidi"/>
                <w:sz w:val="20"/>
                <w:szCs w:val="20"/>
              </w:rPr>
              <w:t>Development control/management, building regulations, restrictive covenants related to public land sales.</w:t>
            </w:r>
          </w:p>
        </w:tc>
      </w:tr>
      <w:tr w:rsidR="00E65CC0" w:rsidRPr="00E65CC0" w14:paraId="43C7D017" w14:textId="77777777" w:rsidTr="00E65CC0">
        <w:tc>
          <w:tcPr>
            <w:tcW w:w="0" w:type="auto"/>
            <w:tcMar>
              <w:top w:w="15" w:type="dxa"/>
              <w:left w:w="0" w:type="dxa"/>
              <w:bottom w:w="15" w:type="dxa"/>
              <w:right w:w="15" w:type="dxa"/>
            </w:tcMar>
            <w:vAlign w:val="center"/>
            <w:hideMark/>
          </w:tcPr>
          <w:p w14:paraId="65DD3476" w14:textId="77777777" w:rsidR="00E65CC0" w:rsidRPr="00E65CC0" w:rsidRDefault="00E65CC0" w:rsidP="00E65CC0">
            <w:pPr>
              <w:spacing w:after="0" w:line="240" w:lineRule="auto"/>
              <w:contextualSpacing/>
              <w:jc w:val="both"/>
              <w:rPr>
                <w:rFonts w:asciiTheme="majorBidi" w:hAnsiTheme="majorBidi" w:cstheme="majorBidi"/>
                <w:sz w:val="20"/>
                <w:szCs w:val="20"/>
              </w:rPr>
            </w:pPr>
            <w:r w:rsidRPr="00E65CC0">
              <w:rPr>
                <w:rFonts w:asciiTheme="majorBidi" w:hAnsiTheme="majorBidi" w:cstheme="majorBidi"/>
                <w:sz w:val="20"/>
                <w:szCs w:val="20"/>
              </w:rPr>
              <w:t>Market Stimulation</w:t>
            </w:r>
          </w:p>
        </w:tc>
        <w:tc>
          <w:tcPr>
            <w:tcW w:w="0" w:type="auto"/>
            <w:vAlign w:val="center"/>
            <w:hideMark/>
          </w:tcPr>
          <w:p w14:paraId="72327A57" w14:textId="77777777" w:rsidR="00E65CC0" w:rsidRPr="00E65CC0" w:rsidRDefault="00E65CC0" w:rsidP="00E65CC0">
            <w:pPr>
              <w:spacing w:after="0" w:line="240" w:lineRule="auto"/>
              <w:contextualSpacing/>
              <w:jc w:val="both"/>
              <w:rPr>
                <w:rFonts w:asciiTheme="majorBidi" w:hAnsiTheme="majorBidi" w:cstheme="majorBidi"/>
                <w:sz w:val="20"/>
                <w:szCs w:val="20"/>
              </w:rPr>
            </w:pPr>
            <w:r w:rsidRPr="00E65CC0">
              <w:rPr>
                <w:rFonts w:asciiTheme="majorBidi" w:hAnsiTheme="majorBidi" w:cstheme="majorBidi"/>
                <w:sz w:val="20"/>
                <w:szCs w:val="20"/>
              </w:rPr>
              <w:t>To directly influence financial evaluations, making the market function better.</w:t>
            </w:r>
          </w:p>
        </w:tc>
        <w:tc>
          <w:tcPr>
            <w:tcW w:w="0" w:type="auto"/>
            <w:vAlign w:val="center"/>
            <w:hideMark/>
          </w:tcPr>
          <w:p w14:paraId="158C55E4" w14:textId="77777777" w:rsidR="00E65CC0" w:rsidRPr="00E65CC0" w:rsidRDefault="00E65CC0" w:rsidP="00E65CC0">
            <w:pPr>
              <w:spacing w:after="0" w:line="240" w:lineRule="auto"/>
              <w:contextualSpacing/>
              <w:jc w:val="both"/>
              <w:rPr>
                <w:rFonts w:asciiTheme="majorBidi" w:hAnsiTheme="majorBidi" w:cstheme="majorBidi"/>
                <w:sz w:val="20"/>
                <w:szCs w:val="20"/>
              </w:rPr>
            </w:pPr>
            <w:r w:rsidRPr="00E65CC0">
              <w:rPr>
                <w:rFonts w:asciiTheme="majorBidi" w:hAnsiTheme="majorBidi" w:cstheme="majorBidi"/>
                <w:sz w:val="20"/>
                <w:szCs w:val="20"/>
              </w:rPr>
              <w:t>Land assembly and release, grants or tax exemptions to encourage desirable activities, or taxes to deter undesirable activities.</w:t>
            </w:r>
          </w:p>
        </w:tc>
      </w:tr>
      <w:tr w:rsidR="00E65CC0" w:rsidRPr="00E65CC0" w14:paraId="01DC5209" w14:textId="77777777" w:rsidTr="00E65CC0">
        <w:tc>
          <w:tcPr>
            <w:tcW w:w="0" w:type="auto"/>
            <w:tcMar>
              <w:top w:w="15" w:type="dxa"/>
              <w:left w:w="0" w:type="dxa"/>
              <w:bottom w:w="15" w:type="dxa"/>
              <w:right w:w="15" w:type="dxa"/>
            </w:tcMar>
            <w:vAlign w:val="center"/>
            <w:hideMark/>
          </w:tcPr>
          <w:p w14:paraId="6386C809" w14:textId="77777777" w:rsidR="00E65CC0" w:rsidRPr="00E65CC0" w:rsidRDefault="00E65CC0" w:rsidP="00E65CC0">
            <w:pPr>
              <w:spacing w:after="0" w:line="240" w:lineRule="auto"/>
              <w:contextualSpacing/>
              <w:jc w:val="both"/>
              <w:rPr>
                <w:rFonts w:asciiTheme="majorBidi" w:hAnsiTheme="majorBidi" w:cstheme="majorBidi"/>
                <w:sz w:val="20"/>
                <w:szCs w:val="20"/>
              </w:rPr>
            </w:pPr>
            <w:r w:rsidRPr="00E65CC0">
              <w:rPr>
                <w:rFonts w:asciiTheme="majorBidi" w:hAnsiTheme="majorBidi" w:cstheme="majorBidi"/>
                <w:sz w:val="20"/>
                <w:szCs w:val="20"/>
              </w:rPr>
              <w:lastRenderedPageBreak/>
              <w:t>Capacity Building</w:t>
            </w:r>
          </w:p>
        </w:tc>
        <w:tc>
          <w:tcPr>
            <w:tcW w:w="0" w:type="auto"/>
            <w:vAlign w:val="center"/>
            <w:hideMark/>
          </w:tcPr>
          <w:p w14:paraId="44B4FEA0" w14:textId="77777777" w:rsidR="00E65CC0" w:rsidRPr="00E65CC0" w:rsidRDefault="00E65CC0" w:rsidP="00E65CC0">
            <w:pPr>
              <w:spacing w:after="0" w:line="240" w:lineRule="auto"/>
              <w:contextualSpacing/>
              <w:jc w:val="both"/>
              <w:rPr>
                <w:rFonts w:asciiTheme="majorBidi" w:hAnsiTheme="majorBidi" w:cstheme="majorBidi"/>
                <w:sz w:val="20"/>
                <w:szCs w:val="20"/>
              </w:rPr>
            </w:pPr>
            <w:r w:rsidRPr="00E65CC0">
              <w:rPr>
                <w:rFonts w:asciiTheme="majorBidi" w:hAnsiTheme="majorBidi" w:cstheme="majorBidi"/>
                <w:sz w:val="20"/>
                <w:szCs w:val="20"/>
              </w:rPr>
              <w:t>To build the capacity of public and/or market operators.</w:t>
            </w:r>
          </w:p>
        </w:tc>
        <w:tc>
          <w:tcPr>
            <w:tcW w:w="0" w:type="auto"/>
            <w:vAlign w:val="center"/>
            <w:hideMark/>
          </w:tcPr>
          <w:p w14:paraId="6E99158A" w14:textId="77777777" w:rsidR="00E65CC0" w:rsidRPr="00E65CC0" w:rsidRDefault="00E65CC0" w:rsidP="00E65CC0">
            <w:pPr>
              <w:spacing w:after="0" w:line="240" w:lineRule="auto"/>
              <w:contextualSpacing/>
              <w:jc w:val="both"/>
              <w:rPr>
                <w:rFonts w:asciiTheme="majorBidi" w:hAnsiTheme="majorBidi" w:cstheme="majorBidi"/>
                <w:sz w:val="20"/>
                <w:szCs w:val="20"/>
              </w:rPr>
            </w:pPr>
            <w:r w:rsidRPr="00E65CC0">
              <w:rPr>
                <w:rFonts w:asciiTheme="majorBidi" w:hAnsiTheme="majorBidi" w:cstheme="majorBidi"/>
                <w:sz w:val="20"/>
                <w:szCs w:val="20"/>
              </w:rPr>
              <w:t>Public-private development partnerships, skill promotion for sustainable communities.</w:t>
            </w:r>
          </w:p>
        </w:tc>
      </w:tr>
    </w:tbl>
    <w:p w14:paraId="09400F23" w14:textId="77777777" w:rsidR="00E65CC0" w:rsidRDefault="00E65CC0" w:rsidP="00E65CC0">
      <w:pPr>
        <w:spacing w:after="0" w:line="240" w:lineRule="auto"/>
        <w:contextualSpacing/>
        <w:jc w:val="both"/>
        <w:rPr>
          <w:rFonts w:asciiTheme="majorBidi" w:hAnsiTheme="majorBidi" w:cstheme="majorBidi"/>
        </w:rPr>
      </w:pPr>
    </w:p>
    <w:p w14:paraId="7C43E354" w14:textId="3CDE37CE" w:rsidR="00E65CC0" w:rsidRPr="00E65CC0" w:rsidRDefault="00E65CC0" w:rsidP="00E65CC0">
      <w:pPr>
        <w:spacing w:after="0" w:line="240" w:lineRule="auto"/>
        <w:contextualSpacing/>
        <w:jc w:val="both"/>
        <w:rPr>
          <w:rFonts w:asciiTheme="majorBidi" w:hAnsiTheme="majorBidi" w:cstheme="majorBidi"/>
        </w:rPr>
      </w:pPr>
      <w:r w:rsidRPr="00E65CC0">
        <w:rPr>
          <w:rFonts w:asciiTheme="majorBidi" w:hAnsiTheme="majorBidi" w:cstheme="majorBidi"/>
        </w:rPr>
        <w:t>Interventions in the housing market through affordable housing appear to provide adequate housing for specific groups of people. Government intervention typically takes various forms. It may involve taxes or subsidies, direct ownership and/or participation in investment, and the provision of goods and services, or it may take the form of administrative/regulatory controls (</w:t>
      </w:r>
      <w:proofErr w:type="spellStart"/>
      <w:r w:rsidRPr="00E65CC0">
        <w:rPr>
          <w:rFonts w:asciiTheme="majorBidi" w:hAnsiTheme="majorBidi" w:cstheme="majorBidi"/>
        </w:rPr>
        <w:t>Musole</w:t>
      </w:r>
      <w:proofErr w:type="spellEnd"/>
      <w:r w:rsidRPr="00E65CC0">
        <w:rPr>
          <w:rFonts w:asciiTheme="majorBidi" w:hAnsiTheme="majorBidi" w:cstheme="majorBidi"/>
        </w:rPr>
        <w:t>, 2009). Public-private partnerships are also a form of government intervention (</w:t>
      </w:r>
      <w:proofErr w:type="spellStart"/>
      <w:r w:rsidRPr="00E65CC0">
        <w:rPr>
          <w:rFonts w:asciiTheme="majorBidi" w:hAnsiTheme="majorBidi" w:cstheme="majorBidi"/>
        </w:rPr>
        <w:t>Masseram</w:t>
      </w:r>
      <w:proofErr w:type="spellEnd"/>
      <w:r w:rsidRPr="00E65CC0">
        <w:rPr>
          <w:rFonts w:asciiTheme="majorBidi" w:hAnsiTheme="majorBidi" w:cstheme="majorBidi"/>
        </w:rPr>
        <w:t xml:space="preserve"> and </w:t>
      </w:r>
      <w:proofErr w:type="spellStart"/>
      <w:r w:rsidRPr="00E65CC0">
        <w:rPr>
          <w:rFonts w:asciiTheme="majorBidi" w:hAnsiTheme="majorBidi" w:cstheme="majorBidi"/>
        </w:rPr>
        <w:t>Misnan</w:t>
      </w:r>
      <w:proofErr w:type="spellEnd"/>
      <w:r w:rsidRPr="00E65CC0">
        <w:rPr>
          <w:rFonts w:asciiTheme="majorBidi" w:hAnsiTheme="majorBidi" w:cstheme="majorBidi"/>
        </w:rPr>
        <w:t>, 2019).</w:t>
      </w:r>
    </w:p>
    <w:p w14:paraId="53751955" w14:textId="0E228A0C" w:rsidR="00E65CC0" w:rsidRPr="00E65CC0" w:rsidRDefault="00E65CC0" w:rsidP="00E65CC0">
      <w:pPr>
        <w:spacing w:after="0" w:line="240" w:lineRule="auto"/>
        <w:contextualSpacing/>
        <w:jc w:val="both"/>
        <w:rPr>
          <w:rFonts w:asciiTheme="majorBidi" w:hAnsiTheme="majorBidi" w:cstheme="majorBidi"/>
        </w:rPr>
      </w:pPr>
      <w:r w:rsidRPr="00E65CC0">
        <w:rPr>
          <w:rFonts w:asciiTheme="majorBidi" w:hAnsiTheme="majorBidi" w:cstheme="majorBidi"/>
        </w:rPr>
        <w:t>Agarwal</w:t>
      </w:r>
      <w:r w:rsidRPr="00E65CC0">
        <w:rPr>
          <w:rFonts w:asciiTheme="majorBidi" w:hAnsiTheme="majorBidi" w:cstheme="majorBidi"/>
        </w:rPr>
        <w:t xml:space="preserve"> </w:t>
      </w:r>
      <w:r w:rsidRPr="00E65CC0">
        <w:rPr>
          <w:rFonts w:asciiTheme="majorBidi" w:hAnsiTheme="majorBidi" w:cstheme="majorBidi"/>
        </w:rPr>
        <w:t>et al. (2022) conducted a study titled "Affordable Housing in an Indian City," in which they reviewed critical success factors (CSFs) in addressing the adequacy and affordability of housing for low-income individuals in the city. They produced a comprehensive list of all parameters, both qualitative and quantitative, essential for the successful implementation of housing, focusing on demand-side preferences, also known as "critical success factors (CSFs)." The results suggest careful consideration and integration of these CSFs into housing policies for all future housing projects. The study highlights a gap in achieving a balanced understanding of supply-side constraints and demand-side expectations for housing. Focusing solely on supply without adequate understanding of consumption can only lead to further chaos in the already troubled housing situation.</w:t>
      </w:r>
    </w:p>
    <w:p w14:paraId="4E59C08C" w14:textId="77777777" w:rsidR="00E65CC0" w:rsidRPr="00E65CC0" w:rsidRDefault="00E65CC0" w:rsidP="00E65CC0">
      <w:pPr>
        <w:spacing w:after="0" w:line="240" w:lineRule="auto"/>
        <w:contextualSpacing/>
        <w:jc w:val="both"/>
        <w:rPr>
          <w:rFonts w:asciiTheme="majorBidi" w:hAnsiTheme="majorBidi" w:cstheme="majorBidi"/>
        </w:rPr>
      </w:pPr>
      <w:proofErr w:type="spellStart"/>
      <w:r w:rsidRPr="00E65CC0">
        <w:rPr>
          <w:rFonts w:asciiTheme="majorBidi" w:hAnsiTheme="majorBidi" w:cstheme="majorBidi"/>
        </w:rPr>
        <w:t>McAskill</w:t>
      </w:r>
      <w:proofErr w:type="spellEnd"/>
      <w:r w:rsidRPr="00E65CC0">
        <w:rPr>
          <w:rFonts w:asciiTheme="majorBidi" w:hAnsiTheme="majorBidi" w:cstheme="majorBidi"/>
        </w:rPr>
        <w:t xml:space="preserve"> et al. (2021) conducted a study titled "Examining the Outcomes of Green Affordable Housing Policy in Australia Using a Systems Approach." They identified the Australian affordable rental housing sector as historically facing barriers to the adoption of green building (GB) practices, despite incentives and financial support from the Commonwealth. The study, through sensitivity analysis, recommended policy reforms that would bring the benefits of green affordable housing without significantly compromising the housing stock provided by the proposed program.</w:t>
      </w:r>
    </w:p>
    <w:p w14:paraId="643C9F90" w14:textId="66D61ED6" w:rsidR="00E65CC0" w:rsidRPr="00E65CC0" w:rsidRDefault="00E65CC0" w:rsidP="00E65CC0">
      <w:pPr>
        <w:spacing w:after="0" w:line="240" w:lineRule="auto"/>
        <w:contextualSpacing/>
        <w:jc w:val="both"/>
        <w:rPr>
          <w:rFonts w:asciiTheme="majorBidi" w:hAnsiTheme="majorBidi" w:cstheme="majorBidi"/>
        </w:rPr>
      </w:pPr>
      <w:r w:rsidRPr="00E65CC0">
        <w:rPr>
          <w:rFonts w:asciiTheme="majorBidi" w:hAnsiTheme="majorBidi" w:cstheme="majorBidi"/>
        </w:rPr>
        <w:t>Zhang et al. (2021) conducted a study titled "Spatial Subsidy Benefits: Spatial Decision-Making for Affordable Housing in China." In this study, a conceptual model of spatially subsidized benefits</w:t>
      </w:r>
      <w:r w:rsidRPr="00E65CC0">
        <w:rPr>
          <w:rFonts w:asciiTheme="majorBidi" w:hAnsiTheme="majorBidi" w:cstheme="majorBidi"/>
        </w:rPr>
        <w:t xml:space="preserve"> </w:t>
      </w:r>
      <w:r w:rsidRPr="00E65CC0">
        <w:rPr>
          <w:rFonts w:asciiTheme="majorBidi" w:hAnsiTheme="majorBidi" w:cstheme="majorBidi"/>
        </w:rPr>
        <w:t>(SSBs) for affordable housing was proposed by combining affordable housing prices and ordinary commodity housing prices in a given or adjacent location in the city. Using the case of Wuhan (China), the spatial layout of SSBs for affordable housing in the city was simulated under multiple hypothetical scenarios.</w:t>
      </w:r>
    </w:p>
    <w:p w14:paraId="04C235F3" w14:textId="77777777" w:rsidR="00E65CC0" w:rsidRPr="00E65CC0" w:rsidRDefault="00E65CC0" w:rsidP="00E65CC0">
      <w:pPr>
        <w:spacing w:after="0" w:line="240" w:lineRule="auto"/>
        <w:contextualSpacing/>
        <w:jc w:val="both"/>
        <w:rPr>
          <w:rFonts w:asciiTheme="majorBidi" w:hAnsiTheme="majorBidi" w:cstheme="majorBidi"/>
        </w:rPr>
      </w:pPr>
      <w:r w:rsidRPr="00E65CC0">
        <w:rPr>
          <w:rFonts w:asciiTheme="majorBidi" w:hAnsiTheme="majorBidi" w:cstheme="majorBidi"/>
        </w:rPr>
        <w:t>Chen et al. (2021) conducted a study titled "Examining Social Vulnerability to Flooding in Affordable Housing Communities in Nanjing, China," aimed at building long-term resilience for low-income communities against disasters. They noted that in the context of climate change and rapid urbanization, urban flood disasters frequently occur worldwide, and social vulnerability has become an important theoretical perspective for understanding the occurrence and response to flood disasters.</w:t>
      </w:r>
    </w:p>
    <w:p w14:paraId="299C6E91" w14:textId="77777777" w:rsidR="00E65CC0" w:rsidRPr="00E65CC0" w:rsidRDefault="00E65CC0" w:rsidP="00E65CC0">
      <w:pPr>
        <w:spacing w:after="0" w:line="240" w:lineRule="auto"/>
        <w:contextualSpacing/>
        <w:jc w:val="both"/>
        <w:rPr>
          <w:rFonts w:asciiTheme="majorBidi" w:hAnsiTheme="majorBidi" w:cstheme="majorBidi"/>
        </w:rPr>
      </w:pPr>
      <w:proofErr w:type="spellStart"/>
      <w:r w:rsidRPr="00E65CC0">
        <w:rPr>
          <w:rFonts w:asciiTheme="majorBidi" w:hAnsiTheme="majorBidi" w:cstheme="majorBidi"/>
        </w:rPr>
        <w:t>Safaipour</w:t>
      </w:r>
      <w:proofErr w:type="spellEnd"/>
      <w:r w:rsidRPr="00E65CC0">
        <w:rPr>
          <w:rFonts w:asciiTheme="majorBidi" w:hAnsiTheme="majorBidi" w:cstheme="majorBidi"/>
        </w:rPr>
        <w:t xml:space="preserve"> and </w:t>
      </w:r>
      <w:proofErr w:type="spellStart"/>
      <w:r w:rsidRPr="00E65CC0">
        <w:rPr>
          <w:rFonts w:asciiTheme="majorBidi" w:hAnsiTheme="majorBidi" w:cstheme="majorBidi"/>
        </w:rPr>
        <w:t>Fadaei</w:t>
      </w:r>
      <w:proofErr w:type="spellEnd"/>
      <w:r w:rsidRPr="00E65CC0">
        <w:rPr>
          <w:rFonts w:asciiTheme="majorBidi" w:hAnsiTheme="majorBidi" w:cstheme="majorBidi"/>
        </w:rPr>
        <w:t xml:space="preserve"> </w:t>
      </w:r>
      <w:proofErr w:type="spellStart"/>
      <w:r w:rsidRPr="00E65CC0">
        <w:rPr>
          <w:rFonts w:asciiTheme="majorBidi" w:hAnsiTheme="majorBidi" w:cstheme="majorBidi"/>
        </w:rPr>
        <w:t>Jazi</w:t>
      </w:r>
      <w:proofErr w:type="spellEnd"/>
      <w:r w:rsidRPr="00E65CC0">
        <w:rPr>
          <w:rFonts w:asciiTheme="majorBidi" w:hAnsiTheme="majorBidi" w:cstheme="majorBidi"/>
        </w:rPr>
        <w:t xml:space="preserve"> (2023) described housing as one of the most fundamental and sensitive sectors in economic and social development planning. The article highlighted that the formation of housing depends on cultural, climatic, economic-livelihood, and construction-technical factors of the user community. Providing suitable housing depends on housing market conditions, macroeconomic status, demographic changes, housing demand, social and political trends, governmental approaches, and internal capacities.</w:t>
      </w:r>
    </w:p>
    <w:p w14:paraId="714A687F" w14:textId="77777777" w:rsidR="00E65CC0" w:rsidRPr="00E65CC0" w:rsidRDefault="00E65CC0" w:rsidP="00E65CC0">
      <w:pPr>
        <w:spacing w:after="0" w:line="240" w:lineRule="auto"/>
        <w:contextualSpacing/>
        <w:jc w:val="both"/>
        <w:rPr>
          <w:rFonts w:asciiTheme="majorBidi" w:hAnsiTheme="majorBidi" w:cstheme="majorBidi"/>
        </w:rPr>
      </w:pPr>
      <w:proofErr w:type="spellStart"/>
      <w:r w:rsidRPr="00E65CC0">
        <w:rPr>
          <w:rFonts w:asciiTheme="majorBidi" w:hAnsiTheme="majorBidi" w:cstheme="majorBidi"/>
        </w:rPr>
        <w:t>Tabaei</w:t>
      </w:r>
      <w:proofErr w:type="spellEnd"/>
      <w:r w:rsidRPr="00E65CC0">
        <w:rPr>
          <w:rFonts w:asciiTheme="majorBidi" w:hAnsiTheme="majorBidi" w:cstheme="majorBidi"/>
        </w:rPr>
        <w:t xml:space="preserve"> et al. (2022) conducted a study titled "The Inclusive City: A Novel Approach in Urban Planning for Tabriz." In this study, they stated that an inclusive city is a novel approach to achieving affordable needs, including housing and services, access to suitable jobs and opportunities (to create assets and wealth), and equal rights and participation for all members of the urban community. It requires consideration of spatial, social, and economic dimensions.</w:t>
      </w:r>
    </w:p>
    <w:p w14:paraId="4E97B657" w14:textId="77777777" w:rsidR="00E65CC0" w:rsidRPr="00E65CC0" w:rsidRDefault="00E65CC0" w:rsidP="00E65CC0">
      <w:pPr>
        <w:spacing w:after="0" w:line="240" w:lineRule="auto"/>
        <w:contextualSpacing/>
        <w:jc w:val="both"/>
        <w:rPr>
          <w:rFonts w:asciiTheme="majorBidi" w:hAnsiTheme="majorBidi" w:cstheme="majorBidi"/>
        </w:rPr>
      </w:pPr>
      <w:proofErr w:type="spellStart"/>
      <w:r w:rsidRPr="00E65CC0">
        <w:rPr>
          <w:rFonts w:asciiTheme="majorBidi" w:hAnsiTheme="majorBidi" w:cstheme="majorBidi"/>
        </w:rPr>
        <w:t>Ranjbar</w:t>
      </w:r>
      <w:proofErr w:type="spellEnd"/>
      <w:r w:rsidRPr="00E65CC0">
        <w:rPr>
          <w:rFonts w:asciiTheme="majorBidi" w:hAnsiTheme="majorBidi" w:cstheme="majorBidi"/>
        </w:rPr>
        <w:t xml:space="preserve"> et al. (2021) conducted a study titled "Examining the Impact of Physical Indicators of Affordable Housing from an Energy Efficiency Perspective, with a Review of Global Examples." The study noted that, given the growth of the urban population worldwide, energy consumption and greenhouse gas emissions have become one of the most critical issues and challenges facing the world in achieving sustainable growth, particularly for low-income urban groups.</w:t>
      </w:r>
    </w:p>
    <w:p w14:paraId="2D3AF828" w14:textId="77777777" w:rsidR="00E65CC0" w:rsidRPr="00E65CC0" w:rsidRDefault="00E65CC0" w:rsidP="00E65CC0">
      <w:pPr>
        <w:spacing w:after="0" w:line="240" w:lineRule="auto"/>
        <w:contextualSpacing/>
        <w:jc w:val="both"/>
        <w:rPr>
          <w:rFonts w:asciiTheme="majorBidi" w:hAnsiTheme="majorBidi" w:cstheme="majorBidi"/>
        </w:rPr>
      </w:pPr>
      <w:r w:rsidRPr="00E65CC0">
        <w:rPr>
          <w:rFonts w:asciiTheme="majorBidi" w:hAnsiTheme="majorBidi" w:cstheme="majorBidi"/>
        </w:rPr>
        <w:lastRenderedPageBreak/>
        <w:t>Based on the research background, it is evident that no similar study has been conducted to date, which is why this research is significant. In summary, the concepts discussed regarding the research topic can be presented in the form of Figure 1.</w:t>
      </w:r>
    </w:p>
    <w:p w14:paraId="38C0A0A2" w14:textId="54B43F8D" w:rsidR="00BF1010" w:rsidRDefault="00BF1010" w:rsidP="006104F0">
      <w:pPr>
        <w:spacing w:after="0" w:line="240" w:lineRule="auto"/>
        <w:contextualSpacing/>
        <w:jc w:val="both"/>
        <w:rPr>
          <w:rFonts w:asciiTheme="majorBidi" w:hAnsiTheme="majorBidi" w:cstheme="majorBidi"/>
        </w:rPr>
      </w:pPr>
    </w:p>
    <w:p w14:paraId="21F6F4D8" w14:textId="69932667" w:rsidR="00073290" w:rsidRDefault="00073290" w:rsidP="006104F0">
      <w:pPr>
        <w:spacing w:after="0" w:line="240" w:lineRule="auto"/>
        <w:contextualSpacing/>
        <w:jc w:val="both"/>
        <w:rPr>
          <w:rFonts w:asciiTheme="majorBidi" w:hAnsiTheme="majorBidi" w:cstheme="majorBidi"/>
          <w:rtl/>
        </w:rPr>
      </w:pPr>
      <w:r>
        <w:rPr>
          <w:noProof/>
        </w:rPr>
        <w:drawing>
          <wp:inline distT="0" distB="0" distL="0" distR="0" wp14:anchorId="13351304" wp14:editId="05BCF358">
            <wp:extent cx="5943600" cy="33096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09620"/>
                    </a:xfrm>
                    <a:prstGeom prst="rect">
                      <a:avLst/>
                    </a:prstGeom>
                  </pic:spPr>
                </pic:pic>
              </a:graphicData>
            </a:graphic>
          </wp:inline>
        </w:drawing>
      </w:r>
    </w:p>
    <w:p w14:paraId="2C3EEEC0" w14:textId="77777777" w:rsidR="00C45F76" w:rsidRPr="00C45F76" w:rsidRDefault="00C45F76" w:rsidP="00C45F76">
      <w:pPr>
        <w:spacing w:after="0" w:line="240" w:lineRule="auto"/>
        <w:contextualSpacing/>
        <w:jc w:val="center"/>
        <w:rPr>
          <w:rFonts w:asciiTheme="majorBidi" w:hAnsiTheme="majorBidi" w:cstheme="majorBidi"/>
        </w:rPr>
      </w:pPr>
      <w:r w:rsidRPr="00C45F76">
        <w:rPr>
          <w:rFonts w:asciiTheme="majorBidi" w:hAnsiTheme="majorBidi" w:cstheme="majorBidi"/>
          <w:b/>
          <w:bCs/>
        </w:rPr>
        <w:t>Figure 1: Conceptual Model of the Research</w:t>
      </w:r>
    </w:p>
    <w:p w14:paraId="1C54C458" w14:textId="77777777" w:rsidR="00C45F76" w:rsidRDefault="00C45F76" w:rsidP="00C45F76">
      <w:pPr>
        <w:spacing w:after="0" w:line="240" w:lineRule="auto"/>
        <w:contextualSpacing/>
        <w:jc w:val="both"/>
        <w:rPr>
          <w:rFonts w:asciiTheme="majorBidi" w:hAnsiTheme="majorBidi" w:cstheme="majorBidi"/>
          <w:b/>
          <w:bCs/>
        </w:rPr>
      </w:pPr>
    </w:p>
    <w:p w14:paraId="055A07F5" w14:textId="74848E52" w:rsidR="00C45F76" w:rsidRPr="00C45F76" w:rsidRDefault="00C45F76" w:rsidP="00C45F76">
      <w:pPr>
        <w:spacing w:after="0" w:line="240" w:lineRule="auto"/>
        <w:contextualSpacing/>
        <w:jc w:val="both"/>
        <w:rPr>
          <w:rFonts w:asciiTheme="majorBidi" w:hAnsiTheme="majorBidi" w:cstheme="majorBidi"/>
        </w:rPr>
      </w:pPr>
      <w:r w:rsidRPr="00C45F76">
        <w:rPr>
          <w:rFonts w:asciiTheme="majorBidi" w:hAnsiTheme="majorBidi" w:cstheme="majorBidi"/>
          <w:b/>
          <w:bCs/>
        </w:rPr>
        <w:t>Methodology</w:t>
      </w:r>
      <w:r w:rsidRPr="00C45F76">
        <w:rPr>
          <w:rFonts w:asciiTheme="majorBidi" w:hAnsiTheme="majorBidi" w:cstheme="majorBidi"/>
        </w:rPr>
        <w:br/>
        <w:t>This research is an applied developmental study as it aims to solve a problem. It is exploratory in nature as it seeks to build theory and does not have hypotheses. A mixed-method approach was used for data collection and analysis, combining qualitative and quantitative methods. The study population includes all experts in the field of affordable housing, professionals working in the housing sector, and university professors specializing in architecture and urban planning.</w:t>
      </w:r>
    </w:p>
    <w:p w14:paraId="69EFEB10" w14:textId="77777777" w:rsidR="00C45F76" w:rsidRPr="00C45F76" w:rsidRDefault="00C45F76" w:rsidP="00C45F76">
      <w:pPr>
        <w:spacing w:after="0" w:line="240" w:lineRule="auto"/>
        <w:contextualSpacing/>
        <w:jc w:val="both"/>
        <w:rPr>
          <w:rFonts w:asciiTheme="majorBidi" w:hAnsiTheme="majorBidi" w:cstheme="majorBidi"/>
        </w:rPr>
      </w:pPr>
      <w:r w:rsidRPr="00C45F76">
        <w:rPr>
          <w:rFonts w:asciiTheme="majorBidi" w:hAnsiTheme="majorBidi" w:cstheme="majorBidi"/>
        </w:rPr>
        <w:t xml:space="preserve">In the qualitative phase, the snowball sampling method and purposive interviews were used alongside meta-synthesis to extract indicators from 33 articles. The researcher determined the stopping point for sampling based on reaching saturation (5 participants). Factors such as time, accessibility of interviewees, and their level of cooperation were considered in selecting the sample size. In the quantitative phase, a researcher-made questionnaire derived from the interview stage was designed. Using Cochran's formula, a sample of 384 experts and informed professionals was selected, and 273 questionnaires were returned. Given a response rate of over 70%, the data were analyzed using confirmatory factor analysis. Validity and reliability in the qualitative phase were confirmed using </w:t>
      </w:r>
      <w:proofErr w:type="spellStart"/>
      <w:r w:rsidRPr="00C45F76">
        <w:rPr>
          <w:rFonts w:asciiTheme="majorBidi" w:hAnsiTheme="majorBidi" w:cstheme="majorBidi"/>
        </w:rPr>
        <w:t>Lawshe</w:t>
      </w:r>
      <w:proofErr w:type="spellEnd"/>
      <w:r w:rsidRPr="00C45F76">
        <w:rPr>
          <w:rFonts w:asciiTheme="majorBidi" w:hAnsiTheme="majorBidi" w:cstheme="majorBidi"/>
        </w:rPr>
        <w:t xml:space="preserve"> and Kappa, while in the quantitative phase, discriminant validity and Cronbach's alpha were used, both of which were appropriate. Data analysis was performed using the </w:t>
      </w:r>
      <w:proofErr w:type="spellStart"/>
      <w:r w:rsidRPr="00C45F76">
        <w:rPr>
          <w:rFonts w:asciiTheme="majorBidi" w:hAnsiTheme="majorBidi" w:cstheme="majorBidi"/>
        </w:rPr>
        <w:t>SmartPLS</w:t>
      </w:r>
      <w:proofErr w:type="spellEnd"/>
      <w:r w:rsidRPr="00C45F76">
        <w:rPr>
          <w:rFonts w:asciiTheme="majorBidi" w:hAnsiTheme="majorBidi" w:cstheme="majorBidi"/>
        </w:rPr>
        <w:t xml:space="preserve"> software.</w:t>
      </w:r>
    </w:p>
    <w:p w14:paraId="5EE00F63" w14:textId="77777777" w:rsidR="00C45F76" w:rsidRDefault="00C45F76" w:rsidP="00C45F76">
      <w:pPr>
        <w:spacing w:after="0" w:line="240" w:lineRule="auto"/>
        <w:contextualSpacing/>
        <w:jc w:val="both"/>
        <w:rPr>
          <w:rFonts w:asciiTheme="majorBidi" w:hAnsiTheme="majorBidi" w:cstheme="majorBidi"/>
          <w:b/>
          <w:bCs/>
        </w:rPr>
      </w:pPr>
    </w:p>
    <w:p w14:paraId="3419B355" w14:textId="54BB44AC" w:rsidR="00C45F76" w:rsidRDefault="00C45F76" w:rsidP="00C45F76">
      <w:pPr>
        <w:spacing w:after="0" w:line="240" w:lineRule="auto"/>
        <w:contextualSpacing/>
        <w:jc w:val="both"/>
        <w:rPr>
          <w:rFonts w:asciiTheme="majorBidi" w:hAnsiTheme="majorBidi" w:cstheme="majorBidi"/>
        </w:rPr>
      </w:pPr>
      <w:r w:rsidRPr="00C45F76">
        <w:rPr>
          <w:rFonts w:asciiTheme="majorBidi" w:hAnsiTheme="majorBidi" w:cstheme="majorBidi"/>
          <w:b/>
          <w:bCs/>
        </w:rPr>
        <w:t>Findings</w:t>
      </w:r>
      <w:r w:rsidRPr="00C45F76">
        <w:rPr>
          <w:rFonts w:asciiTheme="majorBidi" w:hAnsiTheme="majorBidi" w:cstheme="majorBidi"/>
        </w:rPr>
        <w:br/>
        <w:t>In this section, first, using the meta-synthesis method, 431 articles with relevant titles were reviewed, of which 120 had relevant abstracts. From these, only 33 articles had findings (secondary data) consistent with the research. Then, interviews with 5 experts, whose details are provided in Table (4), were conducted to complete the factors influencing affordable housing based on Iran's socio-cultural patterns.</w:t>
      </w:r>
    </w:p>
    <w:p w14:paraId="2F46500E" w14:textId="77777777" w:rsidR="00C45F76" w:rsidRPr="00C45F76" w:rsidRDefault="00C45F76" w:rsidP="00C45F76">
      <w:pPr>
        <w:spacing w:after="0" w:line="240" w:lineRule="auto"/>
        <w:contextualSpacing/>
        <w:jc w:val="both"/>
        <w:rPr>
          <w:rFonts w:asciiTheme="majorBidi" w:hAnsiTheme="majorBidi" w:cstheme="majorBidi"/>
        </w:rPr>
      </w:pPr>
    </w:p>
    <w:p w14:paraId="1D99AB6F" w14:textId="77777777" w:rsidR="00186732" w:rsidRDefault="00186732" w:rsidP="00C45F76">
      <w:pPr>
        <w:spacing w:after="0" w:line="240" w:lineRule="auto"/>
        <w:contextualSpacing/>
        <w:jc w:val="center"/>
        <w:rPr>
          <w:rFonts w:asciiTheme="majorBidi" w:hAnsiTheme="majorBidi" w:cstheme="majorBidi"/>
          <w:b/>
          <w:bCs/>
        </w:rPr>
      </w:pPr>
    </w:p>
    <w:p w14:paraId="59019AA5" w14:textId="2500751D"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b/>
          <w:bCs/>
          <w:sz w:val="20"/>
          <w:szCs w:val="20"/>
        </w:rPr>
        <w:lastRenderedPageBreak/>
        <w:t>Table (4): Expert Demographics</w:t>
      </w:r>
    </w:p>
    <w:tbl>
      <w:tblP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10"/>
        <w:gridCol w:w="700"/>
        <w:gridCol w:w="364"/>
        <w:gridCol w:w="1680"/>
        <w:gridCol w:w="1669"/>
      </w:tblGrid>
      <w:tr w:rsidR="00C45F76" w:rsidRPr="00C45F76" w14:paraId="076BE8A0" w14:textId="77777777" w:rsidTr="00C45F76">
        <w:trPr>
          <w:tblHeader/>
          <w:jc w:val="center"/>
        </w:trPr>
        <w:tc>
          <w:tcPr>
            <w:tcW w:w="0" w:type="auto"/>
            <w:tcMar>
              <w:top w:w="15" w:type="dxa"/>
              <w:left w:w="0" w:type="dxa"/>
              <w:bottom w:w="15" w:type="dxa"/>
              <w:right w:w="15" w:type="dxa"/>
            </w:tcMar>
            <w:vAlign w:val="center"/>
            <w:hideMark/>
          </w:tcPr>
          <w:p w14:paraId="2D9692D2" w14:textId="77777777" w:rsidR="00C45F76" w:rsidRPr="00C45F76" w:rsidRDefault="00C45F76" w:rsidP="00C45F76">
            <w:pPr>
              <w:spacing w:after="0" w:line="240" w:lineRule="auto"/>
              <w:contextualSpacing/>
              <w:jc w:val="center"/>
              <w:rPr>
                <w:rFonts w:asciiTheme="majorBidi" w:hAnsiTheme="majorBidi" w:cstheme="majorBidi"/>
                <w:b/>
                <w:bCs/>
                <w:sz w:val="20"/>
                <w:szCs w:val="20"/>
              </w:rPr>
            </w:pPr>
            <w:r w:rsidRPr="00C45F76">
              <w:rPr>
                <w:rFonts w:asciiTheme="majorBidi" w:hAnsiTheme="majorBidi" w:cstheme="majorBidi"/>
                <w:b/>
                <w:bCs/>
                <w:sz w:val="20"/>
                <w:szCs w:val="20"/>
              </w:rPr>
              <w:t>No.</w:t>
            </w:r>
          </w:p>
        </w:tc>
        <w:tc>
          <w:tcPr>
            <w:tcW w:w="0" w:type="auto"/>
            <w:vAlign w:val="center"/>
            <w:hideMark/>
          </w:tcPr>
          <w:p w14:paraId="048B44D4" w14:textId="77777777" w:rsidR="00C45F76" w:rsidRPr="00C45F76" w:rsidRDefault="00C45F76" w:rsidP="00C45F76">
            <w:pPr>
              <w:spacing w:after="0" w:line="240" w:lineRule="auto"/>
              <w:contextualSpacing/>
              <w:jc w:val="center"/>
              <w:rPr>
                <w:rFonts w:asciiTheme="majorBidi" w:hAnsiTheme="majorBidi" w:cstheme="majorBidi"/>
                <w:b/>
                <w:bCs/>
                <w:sz w:val="20"/>
                <w:szCs w:val="20"/>
              </w:rPr>
            </w:pPr>
            <w:r w:rsidRPr="00C45F76">
              <w:rPr>
                <w:rFonts w:asciiTheme="majorBidi" w:hAnsiTheme="majorBidi" w:cstheme="majorBidi"/>
                <w:b/>
                <w:bCs/>
                <w:sz w:val="20"/>
                <w:szCs w:val="20"/>
              </w:rPr>
              <w:t>Degree</w:t>
            </w:r>
          </w:p>
        </w:tc>
        <w:tc>
          <w:tcPr>
            <w:tcW w:w="0" w:type="auto"/>
            <w:vAlign w:val="center"/>
            <w:hideMark/>
          </w:tcPr>
          <w:p w14:paraId="6DDC37E1" w14:textId="77777777" w:rsidR="00C45F76" w:rsidRPr="00C45F76" w:rsidRDefault="00C45F76" w:rsidP="00C45F76">
            <w:pPr>
              <w:spacing w:after="0" w:line="240" w:lineRule="auto"/>
              <w:contextualSpacing/>
              <w:jc w:val="center"/>
              <w:rPr>
                <w:rFonts w:asciiTheme="majorBidi" w:hAnsiTheme="majorBidi" w:cstheme="majorBidi"/>
                <w:b/>
                <w:bCs/>
                <w:sz w:val="20"/>
                <w:szCs w:val="20"/>
              </w:rPr>
            </w:pPr>
            <w:r w:rsidRPr="00C45F76">
              <w:rPr>
                <w:rFonts w:asciiTheme="majorBidi" w:hAnsiTheme="majorBidi" w:cstheme="majorBidi"/>
                <w:b/>
                <w:bCs/>
                <w:sz w:val="20"/>
                <w:szCs w:val="20"/>
              </w:rPr>
              <w:t>Age</w:t>
            </w:r>
          </w:p>
        </w:tc>
        <w:tc>
          <w:tcPr>
            <w:tcW w:w="0" w:type="auto"/>
            <w:vAlign w:val="center"/>
            <w:hideMark/>
          </w:tcPr>
          <w:p w14:paraId="34589BCA" w14:textId="77777777" w:rsidR="00C45F76" w:rsidRPr="00C45F76" w:rsidRDefault="00C45F76" w:rsidP="00C45F76">
            <w:pPr>
              <w:spacing w:after="0" w:line="240" w:lineRule="auto"/>
              <w:contextualSpacing/>
              <w:jc w:val="center"/>
              <w:rPr>
                <w:rFonts w:asciiTheme="majorBidi" w:hAnsiTheme="majorBidi" w:cstheme="majorBidi"/>
                <w:b/>
                <w:bCs/>
                <w:sz w:val="20"/>
                <w:szCs w:val="20"/>
              </w:rPr>
            </w:pPr>
            <w:r w:rsidRPr="00C45F76">
              <w:rPr>
                <w:rFonts w:asciiTheme="majorBidi" w:hAnsiTheme="majorBidi" w:cstheme="majorBidi"/>
                <w:b/>
                <w:bCs/>
                <w:sz w:val="20"/>
                <w:szCs w:val="20"/>
              </w:rPr>
              <w:t>Occupation</w:t>
            </w:r>
          </w:p>
        </w:tc>
        <w:tc>
          <w:tcPr>
            <w:tcW w:w="0" w:type="auto"/>
            <w:vAlign w:val="center"/>
            <w:hideMark/>
          </w:tcPr>
          <w:p w14:paraId="465D6156" w14:textId="77777777" w:rsidR="00C45F76" w:rsidRPr="00C45F76" w:rsidRDefault="00C45F76" w:rsidP="00C45F76">
            <w:pPr>
              <w:spacing w:after="0" w:line="240" w:lineRule="auto"/>
              <w:contextualSpacing/>
              <w:jc w:val="center"/>
              <w:rPr>
                <w:rFonts w:asciiTheme="majorBidi" w:hAnsiTheme="majorBidi" w:cstheme="majorBidi"/>
                <w:b/>
                <w:bCs/>
                <w:sz w:val="20"/>
                <w:szCs w:val="20"/>
              </w:rPr>
            </w:pPr>
            <w:r w:rsidRPr="00C45F76">
              <w:rPr>
                <w:rFonts w:asciiTheme="majorBidi" w:hAnsiTheme="majorBidi" w:cstheme="majorBidi"/>
                <w:b/>
                <w:bCs/>
                <w:sz w:val="20"/>
                <w:szCs w:val="20"/>
              </w:rPr>
              <w:t>Experience (Years)</w:t>
            </w:r>
          </w:p>
        </w:tc>
      </w:tr>
      <w:tr w:rsidR="00C45F76" w:rsidRPr="00C45F76" w14:paraId="470AF87A" w14:textId="77777777" w:rsidTr="00C45F76">
        <w:trPr>
          <w:jc w:val="center"/>
        </w:trPr>
        <w:tc>
          <w:tcPr>
            <w:tcW w:w="0" w:type="auto"/>
            <w:tcMar>
              <w:top w:w="15" w:type="dxa"/>
              <w:left w:w="0" w:type="dxa"/>
              <w:bottom w:w="15" w:type="dxa"/>
              <w:right w:w="15" w:type="dxa"/>
            </w:tcMar>
            <w:vAlign w:val="center"/>
            <w:hideMark/>
          </w:tcPr>
          <w:p w14:paraId="51C8076F"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1</w:t>
            </w:r>
          </w:p>
        </w:tc>
        <w:tc>
          <w:tcPr>
            <w:tcW w:w="0" w:type="auto"/>
            <w:vAlign w:val="center"/>
            <w:hideMark/>
          </w:tcPr>
          <w:p w14:paraId="01D207D7"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PhD</w:t>
            </w:r>
          </w:p>
        </w:tc>
        <w:tc>
          <w:tcPr>
            <w:tcW w:w="0" w:type="auto"/>
            <w:vAlign w:val="center"/>
            <w:hideMark/>
          </w:tcPr>
          <w:p w14:paraId="718386C3"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46</w:t>
            </w:r>
          </w:p>
        </w:tc>
        <w:tc>
          <w:tcPr>
            <w:tcW w:w="0" w:type="auto"/>
            <w:vAlign w:val="center"/>
            <w:hideMark/>
          </w:tcPr>
          <w:p w14:paraId="5DD5E7DE"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University Professor</w:t>
            </w:r>
          </w:p>
        </w:tc>
        <w:tc>
          <w:tcPr>
            <w:tcW w:w="0" w:type="auto"/>
            <w:vAlign w:val="center"/>
            <w:hideMark/>
          </w:tcPr>
          <w:p w14:paraId="722D1852"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18</w:t>
            </w:r>
          </w:p>
        </w:tc>
      </w:tr>
      <w:tr w:rsidR="00C45F76" w:rsidRPr="00C45F76" w14:paraId="5D75B053" w14:textId="77777777" w:rsidTr="00C45F76">
        <w:trPr>
          <w:jc w:val="center"/>
        </w:trPr>
        <w:tc>
          <w:tcPr>
            <w:tcW w:w="0" w:type="auto"/>
            <w:tcMar>
              <w:top w:w="15" w:type="dxa"/>
              <w:left w:w="0" w:type="dxa"/>
              <w:bottom w:w="15" w:type="dxa"/>
              <w:right w:w="15" w:type="dxa"/>
            </w:tcMar>
            <w:vAlign w:val="center"/>
            <w:hideMark/>
          </w:tcPr>
          <w:p w14:paraId="0AEB2F60"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2</w:t>
            </w:r>
          </w:p>
        </w:tc>
        <w:tc>
          <w:tcPr>
            <w:tcW w:w="0" w:type="auto"/>
            <w:vAlign w:val="center"/>
            <w:hideMark/>
          </w:tcPr>
          <w:p w14:paraId="7B851B30"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PhD</w:t>
            </w:r>
          </w:p>
        </w:tc>
        <w:tc>
          <w:tcPr>
            <w:tcW w:w="0" w:type="auto"/>
            <w:vAlign w:val="center"/>
            <w:hideMark/>
          </w:tcPr>
          <w:p w14:paraId="3C70EBCF"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49</w:t>
            </w:r>
          </w:p>
        </w:tc>
        <w:tc>
          <w:tcPr>
            <w:tcW w:w="0" w:type="auto"/>
            <w:vAlign w:val="center"/>
            <w:hideMark/>
          </w:tcPr>
          <w:p w14:paraId="53134947"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University Professor</w:t>
            </w:r>
          </w:p>
        </w:tc>
        <w:tc>
          <w:tcPr>
            <w:tcW w:w="0" w:type="auto"/>
            <w:vAlign w:val="center"/>
            <w:hideMark/>
          </w:tcPr>
          <w:p w14:paraId="25EF03E8"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25</w:t>
            </w:r>
          </w:p>
        </w:tc>
      </w:tr>
      <w:tr w:rsidR="00C45F76" w:rsidRPr="00C45F76" w14:paraId="7765DE62" w14:textId="77777777" w:rsidTr="00C45F76">
        <w:trPr>
          <w:jc w:val="center"/>
        </w:trPr>
        <w:tc>
          <w:tcPr>
            <w:tcW w:w="0" w:type="auto"/>
            <w:tcMar>
              <w:top w:w="15" w:type="dxa"/>
              <w:left w:w="0" w:type="dxa"/>
              <w:bottom w:w="15" w:type="dxa"/>
              <w:right w:w="15" w:type="dxa"/>
            </w:tcMar>
            <w:vAlign w:val="center"/>
            <w:hideMark/>
          </w:tcPr>
          <w:p w14:paraId="06FA4037"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3</w:t>
            </w:r>
          </w:p>
        </w:tc>
        <w:tc>
          <w:tcPr>
            <w:tcW w:w="0" w:type="auto"/>
            <w:vAlign w:val="center"/>
            <w:hideMark/>
          </w:tcPr>
          <w:p w14:paraId="497E2C36"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Master's</w:t>
            </w:r>
          </w:p>
        </w:tc>
        <w:tc>
          <w:tcPr>
            <w:tcW w:w="0" w:type="auto"/>
            <w:vAlign w:val="center"/>
            <w:hideMark/>
          </w:tcPr>
          <w:p w14:paraId="0872F03B"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55</w:t>
            </w:r>
          </w:p>
        </w:tc>
        <w:tc>
          <w:tcPr>
            <w:tcW w:w="0" w:type="auto"/>
            <w:vAlign w:val="center"/>
            <w:hideMark/>
          </w:tcPr>
          <w:p w14:paraId="3C76CE64"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Manager</w:t>
            </w:r>
          </w:p>
        </w:tc>
        <w:tc>
          <w:tcPr>
            <w:tcW w:w="0" w:type="auto"/>
            <w:vAlign w:val="center"/>
            <w:hideMark/>
          </w:tcPr>
          <w:p w14:paraId="34D8ACB1"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16</w:t>
            </w:r>
          </w:p>
        </w:tc>
      </w:tr>
      <w:tr w:rsidR="00C45F76" w:rsidRPr="00C45F76" w14:paraId="12C54C66" w14:textId="77777777" w:rsidTr="00C45F76">
        <w:trPr>
          <w:jc w:val="center"/>
        </w:trPr>
        <w:tc>
          <w:tcPr>
            <w:tcW w:w="0" w:type="auto"/>
            <w:tcMar>
              <w:top w:w="15" w:type="dxa"/>
              <w:left w:w="0" w:type="dxa"/>
              <w:bottom w:w="15" w:type="dxa"/>
              <w:right w:w="15" w:type="dxa"/>
            </w:tcMar>
            <w:vAlign w:val="center"/>
            <w:hideMark/>
          </w:tcPr>
          <w:p w14:paraId="1A115EDF"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4</w:t>
            </w:r>
          </w:p>
        </w:tc>
        <w:tc>
          <w:tcPr>
            <w:tcW w:w="0" w:type="auto"/>
            <w:vAlign w:val="center"/>
            <w:hideMark/>
          </w:tcPr>
          <w:p w14:paraId="277161DC"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PhD</w:t>
            </w:r>
          </w:p>
        </w:tc>
        <w:tc>
          <w:tcPr>
            <w:tcW w:w="0" w:type="auto"/>
            <w:vAlign w:val="center"/>
            <w:hideMark/>
          </w:tcPr>
          <w:p w14:paraId="43C40E63"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61</w:t>
            </w:r>
          </w:p>
        </w:tc>
        <w:tc>
          <w:tcPr>
            <w:tcW w:w="0" w:type="auto"/>
            <w:vAlign w:val="center"/>
            <w:hideMark/>
          </w:tcPr>
          <w:p w14:paraId="5368C128"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Manager</w:t>
            </w:r>
          </w:p>
        </w:tc>
        <w:tc>
          <w:tcPr>
            <w:tcW w:w="0" w:type="auto"/>
            <w:vAlign w:val="center"/>
            <w:hideMark/>
          </w:tcPr>
          <w:p w14:paraId="74C70986"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22</w:t>
            </w:r>
          </w:p>
        </w:tc>
      </w:tr>
      <w:tr w:rsidR="00C45F76" w:rsidRPr="00C45F76" w14:paraId="6259966B" w14:textId="77777777" w:rsidTr="00C45F76">
        <w:trPr>
          <w:jc w:val="center"/>
        </w:trPr>
        <w:tc>
          <w:tcPr>
            <w:tcW w:w="0" w:type="auto"/>
            <w:tcMar>
              <w:top w:w="15" w:type="dxa"/>
              <w:left w:w="0" w:type="dxa"/>
              <w:bottom w:w="15" w:type="dxa"/>
              <w:right w:w="15" w:type="dxa"/>
            </w:tcMar>
            <w:vAlign w:val="center"/>
            <w:hideMark/>
          </w:tcPr>
          <w:p w14:paraId="36109C21"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5</w:t>
            </w:r>
          </w:p>
        </w:tc>
        <w:tc>
          <w:tcPr>
            <w:tcW w:w="0" w:type="auto"/>
            <w:vAlign w:val="center"/>
            <w:hideMark/>
          </w:tcPr>
          <w:p w14:paraId="364264DF"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PhD</w:t>
            </w:r>
          </w:p>
        </w:tc>
        <w:tc>
          <w:tcPr>
            <w:tcW w:w="0" w:type="auto"/>
            <w:vAlign w:val="center"/>
            <w:hideMark/>
          </w:tcPr>
          <w:p w14:paraId="2C249269"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59</w:t>
            </w:r>
          </w:p>
        </w:tc>
        <w:tc>
          <w:tcPr>
            <w:tcW w:w="0" w:type="auto"/>
            <w:vAlign w:val="center"/>
            <w:hideMark/>
          </w:tcPr>
          <w:p w14:paraId="12117FFE"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University Professor</w:t>
            </w:r>
          </w:p>
        </w:tc>
        <w:tc>
          <w:tcPr>
            <w:tcW w:w="0" w:type="auto"/>
            <w:vAlign w:val="center"/>
            <w:hideMark/>
          </w:tcPr>
          <w:p w14:paraId="4467EF71" w14:textId="77777777" w:rsidR="00C45F76" w:rsidRPr="00C45F76" w:rsidRDefault="00C45F76" w:rsidP="00C45F76">
            <w:pPr>
              <w:spacing w:after="0" w:line="240" w:lineRule="auto"/>
              <w:contextualSpacing/>
              <w:jc w:val="center"/>
              <w:rPr>
                <w:rFonts w:asciiTheme="majorBidi" w:hAnsiTheme="majorBidi" w:cstheme="majorBidi"/>
                <w:sz w:val="20"/>
                <w:szCs w:val="20"/>
              </w:rPr>
            </w:pPr>
            <w:r w:rsidRPr="00C45F76">
              <w:rPr>
                <w:rFonts w:asciiTheme="majorBidi" w:hAnsiTheme="majorBidi" w:cstheme="majorBidi"/>
                <w:sz w:val="20"/>
                <w:szCs w:val="20"/>
              </w:rPr>
              <w:t>10</w:t>
            </w:r>
          </w:p>
        </w:tc>
      </w:tr>
    </w:tbl>
    <w:p w14:paraId="79FC320E" w14:textId="77777777" w:rsidR="00C45F76" w:rsidRDefault="00C45F76" w:rsidP="00C45F76">
      <w:pPr>
        <w:spacing w:after="0" w:line="240" w:lineRule="auto"/>
        <w:contextualSpacing/>
        <w:jc w:val="both"/>
        <w:rPr>
          <w:rFonts w:asciiTheme="majorBidi" w:hAnsiTheme="majorBidi" w:cstheme="majorBidi"/>
        </w:rPr>
      </w:pPr>
    </w:p>
    <w:p w14:paraId="21EC74F1" w14:textId="6AFDC1FB" w:rsidR="00C45F76" w:rsidRDefault="00C45F76" w:rsidP="00C45F76">
      <w:pPr>
        <w:spacing w:after="0" w:line="240" w:lineRule="auto"/>
        <w:contextualSpacing/>
        <w:jc w:val="both"/>
        <w:rPr>
          <w:rFonts w:asciiTheme="majorBidi" w:hAnsiTheme="majorBidi" w:cstheme="majorBidi"/>
        </w:rPr>
      </w:pPr>
      <w:r w:rsidRPr="00C45F76">
        <w:rPr>
          <w:rFonts w:asciiTheme="majorBidi" w:hAnsiTheme="majorBidi" w:cstheme="majorBidi"/>
        </w:rPr>
        <w:t>The selection of the individuals listed in the table above was based on their expertise, education, relevant experience, and accessibility. The results of the thematic analysis from the first stage (meta-synthesis) are presented in Table (5). This table shows the themes extracted from expert interviews alongside related themes from the literature.</w:t>
      </w:r>
    </w:p>
    <w:p w14:paraId="24079DC5" w14:textId="58B361E6" w:rsidR="000101C1" w:rsidRDefault="000101C1" w:rsidP="00C45F76">
      <w:pPr>
        <w:spacing w:after="0" w:line="240" w:lineRule="auto"/>
        <w:contextualSpacing/>
        <w:jc w:val="both"/>
        <w:rPr>
          <w:rFonts w:asciiTheme="majorBidi" w:hAnsiTheme="majorBidi" w:cstheme="majorBidi"/>
        </w:rPr>
      </w:pPr>
    </w:p>
    <w:p w14:paraId="3DA1B707" w14:textId="77777777" w:rsidR="000101C1" w:rsidRPr="000101C1" w:rsidRDefault="000101C1" w:rsidP="000101C1">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Table (5): Themes (Indicators/Dimensions and Characteristics)</w:t>
      </w:r>
    </w:p>
    <w:tbl>
      <w:tblPr>
        <w:tblW w:w="0" w:type="auto"/>
        <w:tblCellMar>
          <w:top w:w="15" w:type="dxa"/>
          <w:left w:w="15" w:type="dxa"/>
          <w:bottom w:w="15" w:type="dxa"/>
          <w:right w:w="15" w:type="dxa"/>
        </w:tblCellMar>
        <w:tblLook w:val="04A0" w:firstRow="1" w:lastRow="0" w:firstColumn="1" w:lastColumn="0" w:noHBand="0" w:noVBand="1"/>
      </w:tblPr>
      <w:tblGrid>
        <w:gridCol w:w="3274"/>
        <w:gridCol w:w="4207"/>
        <w:gridCol w:w="1879"/>
      </w:tblGrid>
      <w:tr w:rsidR="000101C1" w:rsidRPr="000101C1" w14:paraId="5CBAA0B5" w14:textId="77777777" w:rsidTr="000101C1">
        <w:trPr>
          <w:tblHeader/>
        </w:trPr>
        <w:tc>
          <w:tcPr>
            <w:tcW w:w="0" w:type="auto"/>
            <w:tcBorders>
              <w:top w:val="single" w:sz="4" w:space="0" w:color="auto"/>
              <w:bottom w:val="single" w:sz="4" w:space="0" w:color="auto"/>
            </w:tcBorders>
            <w:tcMar>
              <w:top w:w="15" w:type="dxa"/>
              <w:left w:w="0" w:type="dxa"/>
              <w:bottom w:w="15" w:type="dxa"/>
              <w:right w:w="15" w:type="dxa"/>
            </w:tcMar>
            <w:vAlign w:val="center"/>
            <w:hideMark/>
          </w:tcPr>
          <w:p w14:paraId="7FF766A0" w14:textId="77777777" w:rsidR="000101C1" w:rsidRPr="000101C1" w:rsidRDefault="000101C1" w:rsidP="00DD24AD">
            <w:pPr>
              <w:spacing w:after="0" w:line="240" w:lineRule="auto"/>
              <w:contextualSpacing/>
              <w:jc w:val="center"/>
              <w:rPr>
                <w:rFonts w:asciiTheme="majorBidi" w:hAnsiTheme="majorBidi" w:cstheme="majorBidi"/>
                <w:b/>
                <w:bCs/>
                <w:sz w:val="20"/>
                <w:szCs w:val="20"/>
              </w:rPr>
            </w:pPr>
            <w:r w:rsidRPr="000101C1">
              <w:rPr>
                <w:rFonts w:asciiTheme="majorBidi" w:hAnsiTheme="majorBidi" w:cstheme="majorBidi"/>
                <w:b/>
                <w:bCs/>
                <w:sz w:val="20"/>
                <w:szCs w:val="20"/>
              </w:rPr>
              <w:t>Core Category</w:t>
            </w:r>
          </w:p>
        </w:tc>
        <w:tc>
          <w:tcPr>
            <w:tcW w:w="0" w:type="auto"/>
            <w:tcBorders>
              <w:top w:val="single" w:sz="4" w:space="0" w:color="auto"/>
              <w:bottom w:val="single" w:sz="4" w:space="0" w:color="auto"/>
            </w:tcBorders>
            <w:vAlign w:val="center"/>
            <w:hideMark/>
          </w:tcPr>
          <w:p w14:paraId="5128F538" w14:textId="77777777" w:rsidR="000101C1" w:rsidRPr="000101C1" w:rsidRDefault="000101C1" w:rsidP="00DD24AD">
            <w:pPr>
              <w:spacing w:after="0" w:line="240" w:lineRule="auto"/>
              <w:contextualSpacing/>
              <w:rPr>
                <w:rFonts w:asciiTheme="majorBidi" w:hAnsiTheme="majorBidi" w:cstheme="majorBidi"/>
                <w:b/>
                <w:bCs/>
                <w:sz w:val="20"/>
                <w:szCs w:val="20"/>
              </w:rPr>
            </w:pPr>
            <w:r w:rsidRPr="000101C1">
              <w:rPr>
                <w:rFonts w:asciiTheme="majorBidi" w:hAnsiTheme="majorBidi" w:cstheme="majorBidi"/>
                <w:b/>
                <w:bCs/>
                <w:sz w:val="20"/>
                <w:szCs w:val="20"/>
              </w:rPr>
              <w:t>Themes (Indicators/Dimensions and Characteristics)</w:t>
            </w:r>
          </w:p>
        </w:tc>
        <w:tc>
          <w:tcPr>
            <w:tcW w:w="0" w:type="auto"/>
            <w:tcBorders>
              <w:top w:val="single" w:sz="4" w:space="0" w:color="auto"/>
              <w:bottom w:val="single" w:sz="4" w:space="0" w:color="auto"/>
            </w:tcBorders>
            <w:vAlign w:val="center"/>
            <w:hideMark/>
          </w:tcPr>
          <w:p w14:paraId="2B54512B" w14:textId="77777777" w:rsidR="000101C1" w:rsidRPr="000101C1" w:rsidRDefault="000101C1" w:rsidP="00DD24AD">
            <w:pPr>
              <w:spacing w:after="0" w:line="240" w:lineRule="auto"/>
              <w:contextualSpacing/>
              <w:jc w:val="center"/>
              <w:rPr>
                <w:rFonts w:asciiTheme="majorBidi" w:hAnsiTheme="majorBidi" w:cstheme="majorBidi"/>
                <w:b/>
                <w:bCs/>
                <w:sz w:val="20"/>
                <w:szCs w:val="20"/>
              </w:rPr>
            </w:pPr>
            <w:r w:rsidRPr="000101C1">
              <w:rPr>
                <w:rFonts w:asciiTheme="majorBidi" w:hAnsiTheme="majorBidi" w:cstheme="majorBidi"/>
                <w:b/>
                <w:bCs/>
                <w:sz w:val="20"/>
                <w:szCs w:val="20"/>
              </w:rPr>
              <w:t>Source of Themes</w:t>
            </w:r>
          </w:p>
        </w:tc>
      </w:tr>
      <w:tr w:rsidR="000101C1" w:rsidRPr="000101C1" w14:paraId="1991B111" w14:textId="77777777" w:rsidTr="000101C1">
        <w:tc>
          <w:tcPr>
            <w:tcW w:w="0" w:type="auto"/>
            <w:tcBorders>
              <w:top w:val="single" w:sz="4" w:space="0" w:color="auto"/>
            </w:tcBorders>
            <w:tcMar>
              <w:top w:w="15" w:type="dxa"/>
              <w:left w:w="0" w:type="dxa"/>
              <w:bottom w:w="15" w:type="dxa"/>
              <w:right w:w="15" w:type="dxa"/>
            </w:tcMar>
            <w:vAlign w:val="center"/>
            <w:hideMark/>
          </w:tcPr>
          <w:p w14:paraId="7EB42188"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Flexibility in Design and Adaptability of Spaces</w:t>
            </w:r>
          </w:p>
        </w:tc>
        <w:tc>
          <w:tcPr>
            <w:tcW w:w="0" w:type="auto"/>
            <w:tcBorders>
              <w:top w:val="single" w:sz="4" w:space="0" w:color="auto"/>
              <w:bottom w:val="single" w:sz="4" w:space="0" w:color="auto"/>
            </w:tcBorders>
            <w:vAlign w:val="center"/>
            <w:hideMark/>
          </w:tcPr>
          <w:p w14:paraId="5F77602E"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Flexibility at micro and macro scales (ability to change the type and proportion of residential units)</w:t>
            </w:r>
          </w:p>
        </w:tc>
        <w:tc>
          <w:tcPr>
            <w:tcW w:w="0" w:type="auto"/>
            <w:tcBorders>
              <w:top w:val="single" w:sz="4" w:space="0" w:color="auto"/>
              <w:bottom w:val="single" w:sz="4" w:space="0" w:color="auto"/>
            </w:tcBorders>
            <w:vAlign w:val="center"/>
            <w:hideMark/>
          </w:tcPr>
          <w:p w14:paraId="01B1B5A2"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Tiantian</w:t>
            </w:r>
            <w:proofErr w:type="spellEnd"/>
            <w:r w:rsidRPr="000101C1">
              <w:rPr>
                <w:rFonts w:asciiTheme="majorBidi" w:hAnsiTheme="majorBidi" w:cstheme="majorBidi"/>
                <w:sz w:val="20"/>
                <w:szCs w:val="20"/>
              </w:rPr>
              <w:t xml:space="preserve"> et al. (2024)</w:t>
            </w:r>
          </w:p>
        </w:tc>
      </w:tr>
      <w:tr w:rsidR="000101C1" w:rsidRPr="000101C1" w14:paraId="498AC528" w14:textId="77777777" w:rsidTr="000101C1">
        <w:tc>
          <w:tcPr>
            <w:tcW w:w="0" w:type="auto"/>
            <w:tcMar>
              <w:top w:w="15" w:type="dxa"/>
              <w:left w:w="0" w:type="dxa"/>
              <w:bottom w:w="15" w:type="dxa"/>
              <w:right w:w="15" w:type="dxa"/>
            </w:tcMar>
            <w:vAlign w:val="center"/>
            <w:hideMark/>
          </w:tcPr>
          <w:p w14:paraId="054288E9"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48B11CF"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Flexibility aligned with user demand</w:t>
            </w:r>
          </w:p>
        </w:tc>
        <w:tc>
          <w:tcPr>
            <w:tcW w:w="0" w:type="auto"/>
            <w:tcBorders>
              <w:top w:val="single" w:sz="4" w:space="0" w:color="auto"/>
              <w:bottom w:val="single" w:sz="4" w:space="0" w:color="auto"/>
            </w:tcBorders>
            <w:vAlign w:val="center"/>
            <w:hideMark/>
          </w:tcPr>
          <w:p w14:paraId="463710C2"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Bensouda et al. (2024), P1, P5</w:t>
            </w:r>
          </w:p>
        </w:tc>
      </w:tr>
      <w:tr w:rsidR="000101C1" w:rsidRPr="000101C1" w14:paraId="5522C93D" w14:textId="77777777" w:rsidTr="000101C1">
        <w:tc>
          <w:tcPr>
            <w:tcW w:w="0" w:type="auto"/>
            <w:tcMar>
              <w:top w:w="15" w:type="dxa"/>
              <w:left w:w="0" w:type="dxa"/>
              <w:bottom w:w="15" w:type="dxa"/>
              <w:right w:w="15" w:type="dxa"/>
            </w:tcMar>
            <w:vAlign w:val="center"/>
            <w:hideMark/>
          </w:tcPr>
          <w:p w14:paraId="6BBA71D6"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AAE0491"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Coverage of various aspects of life</w:t>
            </w:r>
          </w:p>
        </w:tc>
        <w:tc>
          <w:tcPr>
            <w:tcW w:w="0" w:type="auto"/>
            <w:tcBorders>
              <w:top w:val="single" w:sz="4" w:space="0" w:color="auto"/>
              <w:bottom w:val="single" w:sz="4" w:space="0" w:color="auto"/>
            </w:tcBorders>
            <w:vAlign w:val="center"/>
            <w:hideMark/>
          </w:tcPr>
          <w:p w14:paraId="30F2292F"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van der Horst (2024), P1, P2</w:t>
            </w:r>
          </w:p>
        </w:tc>
      </w:tr>
      <w:tr w:rsidR="000101C1" w:rsidRPr="000101C1" w14:paraId="0790BA6B" w14:textId="77777777" w:rsidTr="000101C1">
        <w:tc>
          <w:tcPr>
            <w:tcW w:w="0" w:type="auto"/>
            <w:tcMar>
              <w:top w:w="15" w:type="dxa"/>
              <w:left w:w="0" w:type="dxa"/>
              <w:bottom w:w="15" w:type="dxa"/>
              <w:right w:w="15" w:type="dxa"/>
            </w:tcMar>
            <w:vAlign w:val="center"/>
            <w:hideMark/>
          </w:tcPr>
          <w:p w14:paraId="328F08D8"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34531E96"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Ability to change layouts to accommodate periodic and regular changes in family structure</w:t>
            </w:r>
          </w:p>
        </w:tc>
        <w:tc>
          <w:tcPr>
            <w:tcW w:w="0" w:type="auto"/>
            <w:tcBorders>
              <w:top w:val="single" w:sz="4" w:space="0" w:color="auto"/>
              <w:bottom w:val="single" w:sz="4" w:space="0" w:color="auto"/>
            </w:tcBorders>
            <w:vAlign w:val="center"/>
            <w:hideMark/>
          </w:tcPr>
          <w:p w14:paraId="73C92B58"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Tiantian</w:t>
            </w:r>
            <w:proofErr w:type="spellEnd"/>
            <w:r w:rsidRPr="000101C1">
              <w:rPr>
                <w:rFonts w:asciiTheme="majorBidi" w:hAnsiTheme="majorBidi" w:cstheme="majorBidi"/>
                <w:sz w:val="20"/>
                <w:szCs w:val="20"/>
              </w:rPr>
              <w:t xml:space="preserve"> et al. (2024), van der Horst (2024)</w:t>
            </w:r>
          </w:p>
        </w:tc>
      </w:tr>
      <w:tr w:rsidR="000101C1" w:rsidRPr="000101C1" w14:paraId="06F7BCD1" w14:textId="77777777" w:rsidTr="000101C1">
        <w:tc>
          <w:tcPr>
            <w:tcW w:w="0" w:type="auto"/>
            <w:tcMar>
              <w:top w:w="15" w:type="dxa"/>
              <w:left w:w="0" w:type="dxa"/>
              <w:bottom w:w="15" w:type="dxa"/>
              <w:right w:w="15" w:type="dxa"/>
            </w:tcMar>
            <w:vAlign w:val="center"/>
            <w:hideMark/>
          </w:tcPr>
          <w:p w14:paraId="564C60A1"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4B23DE73"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Variety in appearance for multiple building roles</w:t>
            </w:r>
          </w:p>
        </w:tc>
        <w:tc>
          <w:tcPr>
            <w:tcW w:w="0" w:type="auto"/>
            <w:tcBorders>
              <w:top w:val="single" w:sz="4" w:space="0" w:color="auto"/>
              <w:bottom w:val="single" w:sz="4" w:space="0" w:color="auto"/>
            </w:tcBorders>
            <w:vAlign w:val="center"/>
            <w:hideMark/>
          </w:tcPr>
          <w:p w14:paraId="3A19B313"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Vertua</w:t>
            </w:r>
            <w:proofErr w:type="spellEnd"/>
            <w:r w:rsidRPr="000101C1">
              <w:rPr>
                <w:rFonts w:asciiTheme="majorBidi" w:hAnsiTheme="majorBidi" w:cstheme="majorBidi"/>
                <w:sz w:val="20"/>
                <w:szCs w:val="20"/>
              </w:rPr>
              <w:t xml:space="preserve"> (2021)</w:t>
            </w:r>
          </w:p>
        </w:tc>
      </w:tr>
      <w:tr w:rsidR="000101C1" w:rsidRPr="000101C1" w14:paraId="72D0E2F1" w14:textId="77777777" w:rsidTr="000101C1">
        <w:tc>
          <w:tcPr>
            <w:tcW w:w="0" w:type="auto"/>
            <w:tcMar>
              <w:top w:w="15" w:type="dxa"/>
              <w:left w:w="0" w:type="dxa"/>
              <w:bottom w:w="15" w:type="dxa"/>
              <w:right w:w="15" w:type="dxa"/>
            </w:tcMar>
            <w:vAlign w:val="center"/>
            <w:hideMark/>
          </w:tcPr>
          <w:p w14:paraId="69135A64"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267F9E93"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Compatibility with multi-generational family needs</w:t>
            </w:r>
          </w:p>
        </w:tc>
        <w:tc>
          <w:tcPr>
            <w:tcW w:w="0" w:type="auto"/>
            <w:tcBorders>
              <w:top w:val="single" w:sz="4" w:space="0" w:color="auto"/>
              <w:bottom w:val="single" w:sz="4" w:space="0" w:color="auto"/>
            </w:tcBorders>
            <w:vAlign w:val="center"/>
            <w:hideMark/>
          </w:tcPr>
          <w:p w14:paraId="08F324A1"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van der Horst (2024)</w:t>
            </w:r>
          </w:p>
        </w:tc>
      </w:tr>
      <w:tr w:rsidR="000101C1" w:rsidRPr="000101C1" w14:paraId="3EC41C85" w14:textId="77777777" w:rsidTr="000101C1">
        <w:tc>
          <w:tcPr>
            <w:tcW w:w="0" w:type="auto"/>
            <w:tcMar>
              <w:top w:w="15" w:type="dxa"/>
              <w:left w:w="0" w:type="dxa"/>
              <w:bottom w:w="15" w:type="dxa"/>
              <w:right w:w="15" w:type="dxa"/>
            </w:tcMar>
            <w:vAlign w:val="center"/>
            <w:hideMark/>
          </w:tcPr>
          <w:p w14:paraId="529F2911"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3EF75235"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Design tailored to customer preferences and changing needs</w:t>
            </w:r>
          </w:p>
        </w:tc>
        <w:tc>
          <w:tcPr>
            <w:tcW w:w="0" w:type="auto"/>
            <w:tcBorders>
              <w:top w:val="single" w:sz="4" w:space="0" w:color="auto"/>
              <w:bottom w:val="single" w:sz="4" w:space="0" w:color="auto"/>
            </w:tcBorders>
            <w:vAlign w:val="center"/>
            <w:hideMark/>
          </w:tcPr>
          <w:p w14:paraId="31199DB6"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Tiantian</w:t>
            </w:r>
            <w:proofErr w:type="spellEnd"/>
            <w:r w:rsidRPr="000101C1">
              <w:rPr>
                <w:rFonts w:asciiTheme="majorBidi" w:hAnsiTheme="majorBidi" w:cstheme="majorBidi"/>
                <w:sz w:val="20"/>
                <w:szCs w:val="20"/>
              </w:rPr>
              <w:t xml:space="preserve"> et al. (2024), P2, P4</w:t>
            </w:r>
          </w:p>
        </w:tc>
      </w:tr>
      <w:tr w:rsidR="000101C1" w:rsidRPr="000101C1" w14:paraId="0FC8AA78" w14:textId="77777777" w:rsidTr="000101C1">
        <w:tc>
          <w:tcPr>
            <w:tcW w:w="0" w:type="auto"/>
            <w:tcMar>
              <w:top w:w="15" w:type="dxa"/>
              <w:left w:w="0" w:type="dxa"/>
              <w:bottom w:w="15" w:type="dxa"/>
              <w:right w:w="15" w:type="dxa"/>
            </w:tcMar>
            <w:vAlign w:val="center"/>
            <w:hideMark/>
          </w:tcPr>
          <w:p w14:paraId="0486E626"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4637EC63"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Determining unit size based on customer needs</w:t>
            </w:r>
          </w:p>
        </w:tc>
        <w:tc>
          <w:tcPr>
            <w:tcW w:w="0" w:type="auto"/>
            <w:tcBorders>
              <w:top w:val="single" w:sz="4" w:space="0" w:color="auto"/>
              <w:bottom w:val="single" w:sz="4" w:space="0" w:color="auto"/>
            </w:tcBorders>
            <w:vAlign w:val="center"/>
            <w:hideMark/>
          </w:tcPr>
          <w:p w14:paraId="6A746EB9"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Bensouda et al. (2024)</w:t>
            </w:r>
          </w:p>
        </w:tc>
      </w:tr>
      <w:tr w:rsidR="000101C1" w:rsidRPr="000101C1" w14:paraId="05E73C12" w14:textId="77777777" w:rsidTr="000101C1">
        <w:tc>
          <w:tcPr>
            <w:tcW w:w="0" w:type="auto"/>
            <w:tcMar>
              <w:top w:w="15" w:type="dxa"/>
              <w:left w:w="0" w:type="dxa"/>
              <w:bottom w:w="15" w:type="dxa"/>
              <w:right w:w="15" w:type="dxa"/>
            </w:tcMar>
            <w:vAlign w:val="center"/>
            <w:hideMark/>
          </w:tcPr>
          <w:p w14:paraId="2040695B"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2167E88"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Reducing the number of load-bearing walls</w:t>
            </w:r>
          </w:p>
        </w:tc>
        <w:tc>
          <w:tcPr>
            <w:tcW w:w="0" w:type="auto"/>
            <w:tcBorders>
              <w:top w:val="single" w:sz="4" w:space="0" w:color="auto"/>
              <w:bottom w:val="single" w:sz="4" w:space="0" w:color="auto"/>
            </w:tcBorders>
            <w:vAlign w:val="center"/>
            <w:hideMark/>
          </w:tcPr>
          <w:p w14:paraId="14010345"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van der Horst (2024), P3, P5</w:t>
            </w:r>
          </w:p>
        </w:tc>
      </w:tr>
      <w:tr w:rsidR="000101C1" w:rsidRPr="000101C1" w14:paraId="19CF6ECE" w14:textId="77777777" w:rsidTr="000101C1">
        <w:tc>
          <w:tcPr>
            <w:tcW w:w="0" w:type="auto"/>
            <w:tcMar>
              <w:top w:w="15" w:type="dxa"/>
              <w:left w:w="0" w:type="dxa"/>
              <w:bottom w:w="15" w:type="dxa"/>
              <w:right w:w="15" w:type="dxa"/>
            </w:tcMar>
            <w:vAlign w:val="center"/>
            <w:hideMark/>
          </w:tcPr>
          <w:p w14:paraId="12F83564"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5724EF4E"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Activity zoning to ensure space independence while maintaining connectivity</w:t>
            </w:r>
          </w:p>
        </w:tc>
        <w:tc>
          <w:tcPr>
            <w:tcW w:w="0" w:type="auto"/>
            <w:tcBorders>
              <w:top w:val="single" w:sz="4" w:space="0" w:color="auto"/>
              <w:bottom w:val="single" w:sz="4" w:space="0" w:color="auto"/>
            </w:tcBorders>
            <w:vAlign w:val="center"/>
            <w:hideMark/>
          </w:tcPr>
          <w:p w14:paraId="3EFD6318"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Vertua</w:t>
            </w:r>
            <w:proofErr w:type="spellEnd"/>
            <w:r w:rsidRPr="000101C1">
              <w:rPr>
                <w:rFonts w:asciiTheme="majorBidi" w:hAnsiTheme="majorBidi" w:cstheme="majorBidi"/>
                <w:sz w:val="20"/>
                <w:szCs w:val="20"/>
              </w:rPr>
              <w:t xml:space="preserve"> (2021)</w:t>
            </w:r>
          </w:p>
        </w:tc>
      </w:tr>
      <w:tr w:rsidR="000101C1" w:rsidRPr="000101C1" w14:paraId="577CE96C" w14:textId="77777777" w:rsidTr="000101C1">
        <w:tc>
          <w:tcPr>
            <w:tcW w:w="0" w:type="auto"/>
            <w:tcBorders>
              <w:bottom w:val="single" w:sz="4" w:space="0" w:color="auto"/>
            </w:tcBorders>
            <w:tcMar>
              <w:top w:w="15" w:type="dxa"/>
              <w:left w:w="0" w:type="dxa"/>
              <w:bottom w:w="15" w:type="dxa"/>
              <w:right w:w="15" w:type="dxa"/>
            </w:tcMar>
            <w:vAlign w:val="center"/>
            <w:hideMark/>
          </w:tcPr>
          <w:p w14:paraId="45DA9B91"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E8EF57F"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Creating spaces with height and plan integration principles</w:t>
            </w:r>
          </w:p>
        </w:tc>
        <w:tc>
          <w:tcPr>
            <w:tcW w:w="0" w:type="auto"/>
            <w:tcBorders>
              <w:top w:val="single" w:sz="4" w:space="0" w:color="auto"/>
              <w:bottom w:val="single" w:sz="4" w:space="0" w:color="auto"/>
            </w:tcBorders>
            <w:vAlign w:val="center"/>
            <w:hideMark/>
          </w:tcPr>
          <w:p w14:paraId="7D6CF195"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Bensouda et al. (2024), P1, P5</w:t>
            </w:r>
          </w:p>
        </w:tc>
      </w:tr>
      <w:tr w:rsidR="000101C1" w:rsidRPr="000101C1" w14:paraId="683E63E3" w14:textId="77777777" w:rsidTr="000101C1">
        <w:tc>
          <w:tcPr>
            <w:tcW w:w="0" w:type="auto"/>
            <w:tcBorders>
              <w:top w:val="single" w:sz="4" w:space="0" w:color="auto"/>
            </w:tcBorders>
            <w:tcMar>
              <w:top w:w="15" w:type="dxa"/>
              <w:left w:w="0" w:type="dxa"/>
              <w:bottom w:w="15" w:type="dxa"/>
              <w:right w:w="15" w:type="dxa"/>
            </w:tcMar>
            <w:vAlign w:val="center"/>
            <w:hideMark/>
          </w:tcPr>
          <w:p w14:paraId="6E13BDA8"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Adaptability to User and Family Needs</w:t>
            </w:r>
          </w:p>
        </w:tc>
        <w:tc>
          <w:tcPr>
            <w:tcW w:w="0" w:type="auto"/>
            <w:tcBorders>
              <w:top w:val="single" w:sz="4" w:space="0" w:color="auto"/>
              <w:bottom w:val="single" w:sz="4" w:space="0" w:color="auto"/>
            </w:tcBorders>
            <w:vAlign w:val="center"/>
            <w:hideMark/>
          </w:tcPr>
          <w:p w14:paraId="065FC5AE"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Adaptability to individual activity programs and daily use</w:t>
            </w:r>
          </w:p>
        </w:tc>
        <w:tc>
          <w:tcPr>
            <w:tcW w:w="0" w:type="auto"/>
            <w:tcBorders>
              <w:top w:val="single" w:sz="4" w:space="0" w:color="auto"/>
              <w:bottom w:val="single" w:sz="4" w:space="0" w:color="auto"/>
            </w:tcBorders>
            <w:vAlign w:val="center"/>
            <w:hideMark/>
          </w:tcPr>
          <w:p w14:paraId="232F4A34"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Tiantian</w:t>
            </w:r>
            <w:proofErr w:type="spellEnd"/>
            <w:r w:rsidRPr="000101C1">
              <w:rPr>
                <w:rFonts w:asciiTheme="majorBidi" w:hAnsiTheme="majorBidi" w:cstheme="majorBidi"/>
                <w:sz w:val="20"/>
                <w:szCs w:val="20"/>
              </w:rPr>
              <w:t xml:space="preserve"> et al. (2024)</w:t>
            </w:r>
          </w:p>
        </w:tc>
      </w:tr>
      <w:tr w:rsidR="000101C1" w:rsidRPr="000101C1" w14:paraId="164E57C9" w14:textId="77777777" w:rsidTr="000101C1">
        <w:tc>
          <w:tcPr>
            <w:tcW w:w="0" w:type="auto"/>
            <w:tcMar>
              <w:top w:w="15" w:type="dxa"/>
              <w:left w:w="0" w:type="dxa"/>
              <w:bottom w:w="15" w:type="dxa"/>
              <w:right w:w="15" w:type="dxa"/>
            </w:tcMar>
            <w:vAlign w:val="center"/>
            <w:hideMark/>
          </w:tcPr>
          <w:p w14:paraId="3C8AE1BE"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37030D8A"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Use of open-plan layouts</w:t>
            </w:r>
          </w:p>
        </w:tc>
        <w:tc>
          <w:tcPr>
            <w:tcW w:w="0" w:type="auto"/>
            <w:tcBorders>
              <w:top w:val="single" w:sz="4" w:space="0" w:color="auto"/>
              <w:bottom w:val="single" w:sz="4" w:space="0" w:color="auto"/>
            </w:tcBorders>
            <w:vAlign w:val="center"/>
            <w:hideMark/>
          </w:tcPr>
          <w:p w14:paraId="0B2B46F8"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Tiantian</w:t>
            </w:r>
            <w:proofErr w:type="spellEnd"/>
            <w:r w:rsidRPr="000101C1">
              <w:rPr>
                <w:rFonts w:asciiTheme="majorBidi" w:hAnsiTheme="majorBidi" w:cstheme="majorBidi"/>
                <w:sz w:val="20"/>
                <w:szCs w:val="20"/>
              </w:rPr>
              <w:t xml:space="preserve"> et al. (2024), </w:t>
            </w:r>
            <w:proofErr w:type="spellStart"/>
            <w:r w:rsidRPr="000101C1">
              <w:rPr>
                <w:rFonts w:asciiTheme="majorBidi" w:hAnsiTheme="majorBidi" w:cstheme="majorBidi"/>
                <w:sz w:val="20"/>
                <w:szCs w:val="20"/>
              </w:rPr>
              <w:t>Vertua</w:t>
            </w:r>
            <w:proofErr w:type="spellEnd"/>
            <w:r w:rsidRPr="000101C1">
              <w:rPr>
                <w:rFonts w:asciiTheme="majorBidi" w:hAnsiTheme="majorBidi" w:cstheme="majorBidi"/>
                <w:sz w:val="20"/>
                <w:szCs w:val="20"/>
              </w:rPr>
              <w:t xml:space="preserve"> (2021)</w:t>
            </w:r>
          </w:p>
        </w:tc>
      </w:tr>
      <w:tr w:rsidR="000101C1" w:rsidRPr="000101C1" w14:paraId="7A50E009" w14:textId="77777777" w:rsidTr="000101C1">
        <w:tc>
          <w:tcPr>
            <w:tcW w:w="0" w:type="auto"/>
            <w:tcMar>
              <w:top w:w="15" w:type="dxa"/>
              <w:left w:w="0" w:type="dxa"/>
              <w:bottom w:w="15" w:type="dxa"/>
              <w:right w:w="15" w:type="dxa"/>
            </w:tcMar>
            <w:vAlign w:val="center"/>
            <w:hideMark/>
          </w:tcPr>
          <w:p w14:paraId="568A7CA1"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19DC18B0"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Presence of perimeter lines inside or outside spaces</w:t>
            </w:r>
          </w:p>
        </w:tc>
        <w:tc>
          <w:tcPr>
            <w:tcW w:w="0" w:type="auto"/>
            <w:tcBorders>
              <w:top w:val="single" w:sz="4" w:space="0" w:color="auto"/>
              <w:bottom w:val="single" w:sz="4" w:space="0" w:color="auto"/>
            </w:tcBorders>
            <w:vAlign w:val="center"/>
            <w:hideMark/>
          </w:tcPr>
          <w:p w14:paraId="2BABD681"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 xml:space="preserve">Alabi &amp; </w:t>
            </w:r>
            <w:proofErr w:type="spellStart"/>
            <w:r w:rsidRPr="000101C1">
              <w:rPr>
                <w:rFonts w:asciiTheme="majorBidi" w:hAnsiTheme="majorBidi" w:cstheme="majorBidi"/>
                <w:sz w:val="20"/>
                <w:szCs w:val="20"/>
              </w:rPr>
              <w:t>Fapohunda</w:t>
            </w:r>
            <w:proofErr w:type="spellEnd"/>
            <w:r w:rsidRPr="000101C1">
              <w:rPr>
                <w:rFonts w:asciiTheme="majorBidi" w:hAnsiTheme="majorBidi" w:cstheme="majorBidi"/>
                <w:sz w:val="20"/>
                <w:szCs w:val="20"/>
              </w:rPr>
              <w:t xml:space="preserve"> (2021)</w:t>
            </w:r>
          </w:p>
        </w:tc>
      </w:tr>
      <w:tr w:rsidR="000101C1" w:rsidRPr="000101C1" w14:paraId="6A3A362E" w14:textId="77777777" w:rsidTr="000101C1">
        <w:tc>
          <w:tcPr>
            <w:tcW w:w="0" w:type="auto"/>
            <w:tcMar>
              <w:top w:w="15" w:type="dxa"/>
              <w:left w:w="0" w:type="dxa"/>
              <w:bottom w:w="15" w:type="dxa"/>
              <w:right w:w="15" w:type="dxa"/>
            </w:tcMar>
            <w:vAlign w:val="center"/>
            <w:hideMark/>
          </w:tcPr>
          <w:p w14:paraId="0BAFBCEC"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FEF62C1"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Ability to create dynamic and diverse interior spaces</w:t>
            </w:r>
          </w:p>
        </w:tc>
        <w:tc>
          <w:tcPr>
            <w:tcW w:w="0" w:type="auto"/>
            <w:tcBorders>
              <w:top w:val="single" w:sz="4" w:space="0" w:color="auto"/>
              <w:bottom w:val="single" w:sz="4" w:space="0" w:color="auto"/>
            </w:tcBorders>
            <w:vAlign w:val="center"/>
            <w:hideMark/>
          </w:tcPr>
          <w:p w14:paraId="4DAC68B8"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Ge et al. (2020)</w:t>
            </w:r>
          </w:p>
        </w:tc>
      </w:tr>
      <w:tr w:rsidR="000101C1" w:rsidRPr="000101C1" w14:paraId="1EFC8DF3" w14:textId="77777777" w:rsidTr="000101C1">
        <w:tc>
          <w:tcPr>
            <w:tcW w:w="0" w:type="auto"/>
            <w:tcMar>
              <w:top w:w="15" w:type="dxa"/>
              <w:left w:w="0" w:type="dxa"/>
              <w:bottom w:w="15" w:type="dxa"/>
              <w:right w:w="15" w:type="dxa"/>
            </w:tcMar>
            <w:vAlign w:val="center"/>
            <w:hideMark/>
          </w:tcPr>
          <w:p w14:paraId="563D6CA9"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0D7E6318"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Free configuration of facades</w:t>
            </w:r>
          </w:p>
        </w:tc>
        <w:tc>
          <w:tcPr>
            <w:tcW w:w="0" w:type="auto"/>
            <w:tcBorders>
              <w:top w:val="single" w:sz="4" w:space="0" w:color="auto"/>
              <w:bottom w:val="single" w:sz="4" w:space="0" w:color="auto"/>
            </w:tcBorders>
            <w:vAlign w:val="center"/>
            <w:hideMark/>
          </w:tcPr>
          <w:p w14:paraId="44AC3F13"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Ge et al. (2020)</w:t>
            </w:r>
          </w:p>
        </w:tc>
      </w:tr>
      <w:tr w:rsidR="000101C1" w:rsidRPr="000101C1" w14:paraId="42328271" w14:textId="77777777" w:rsidTr="000101C1">
        <w:tc>
          <w:tcPr>
            <w:tcW w:w="0" w:type="auto"/>
            <w:tcMar>
              <w:top w:w="15" w:type="dxa"/>
              <w:left w:w="0" w:type="dxa"/>
              <w:bottom w:w="15" w:type="dxa"/>
              <w:right w:w="15" w:type="dxa"/>
            </w:tcMar>
            <w:vAlign w:val="center"/>
            <w:hideMark/>
          </w:tcPr>
          <w:p w14:paraId="59DE7925"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46DA606D"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Use of decks with larger spans</w:t>
            </w:r>
          </w:p>
        </w:tc>
        <w:tc>
          <w:tcPr>
            <w:tcW w:w="0" w:type="auto"/>
            <w:tcBorders>
              <w:top w:val="single" w:sz="4" w:space="0" w:color="auto"/>
              <w:bottom w:val="single" w:sz="4" w:space="0" w:color="auto"/>
            </w:tcBorders>
            <w:vAlign w:val="center"/>
            <w:hideMark/>
          </w:tcPr>
          <w:p w14:paraId="42B20339"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Ge et al. (2020), P1</w:t>
            </w:r>
          </w:p>
        </w:tc>
      </w:tr>
      <w:tr w:rsidR="000101C1" w:rsidRPr="000101C1" w14:paraId="348DE5F1" w14:textId="77777777" w:rsidTr="000101C1">
        <w:tc>
          <w:tcPr>
            <w:tcW w:w="0" w:type="auto"/>
            <w:tcMar>
              <w:top w:w="15" w:type="dxa"/>
              <w:left w:w="0" w:type="dxa"/>
              <w:bottom w:w="15" w:type="dxa"/>
              <w:right w:w="15" w:type="dxa"/>
            </w:tcMar>
            <w:vAlign w:val="center"/>
            <w:hideMark/>
          </w:tcPr>
          <w:p w14:paraId="26C2EFA3"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1F6FF7BD"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Optimization of panel dimensions</w:t>
            </w:r>
          </w:p>
        </w:tc>
        <w:tc>
          <w:tcPr>
            <w:tcW w:w="0" w:type="auto"/>
            <w:tcBorders>
              <w:top w:val="single" w:sz="4" w:space="0" w:color="auto"/>
              <w:bottom w:val="single" w:sz="4" w:space="0" w:color="auto"/>
            </w:tcBorders>
            <w:vAlign w:val="center"/>
            <w:hideMark/>
          </w:tcPr>
          <w:p w14:paraId="257FD7FE"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Ge et al. (2020), Yeganeh et al. (2021)</w:t>
            </w:r>
          </w:p>
        </w:tc>
      </w:tr>
      <w:tr w:rsidR="000101C1" w:rsidRPr="000101C1" w14:paraId="51172CDF" w14:textId="77777777" w:rsidTr="000101C1">
        <w:tc>
          <w:tcPr>
            <w:tcW w:w="0" w:type="auto"/>
            <w:tcMar>
              <w:top w:w="15" w:type="dxa"/>
              <w:left w:w="0" w:type="dxa"/>
              <w:bottom w:w="15" w:type="dxa"/>
              <w:right w:w="15" w:type="dxa"/>
            </w:tcMar>
            <w:vAlign w:val="center"/>
            <w:hideMark/>
          </w:tcPr>
          <w:p w14:paraId="42BB3102"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2253E721"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Identifying flexible structural points for new systems and components</w:t>
            </w:r>
          </w:p>
        </w:tc>
        <w:tc>
          <w:tcPr>
            <w:tcW w:w="0" w:type="auto"/>
            <w:tcBorders>
              <w:top w:val="single" w:sz="4" w:space="0" w:color="auto"/>
              <w:bottom w:val="single" w:sz="4" w:space="0" w:color="auto"/>
            </w:tcBorders>
            <w:vAlign w:val="center"/>
            <w:hideMark/>
          </w:tcPr>
          <w:p w14:paraId="07D6A8D2"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Adetooto</w:t>
            </w:r>
            <w:proofErr w:type="spellEnd"/>
            <w:r w:rsidRPr="000101C1">
              <w:rPr>
                <w:rFonts w:asciiTheme="majorBidi" w:hAnsiTheme="majorBidi" w:cstheme="majorBidi"/>
                <w:sz w:val="20"/>
                <w:szCs w:val="20"/>
              </w:rPr>
              <w:t xml:space="preserve"> et al. (2022)</w:t>
            </w:r>
          </w:p>
        </w:tc>
      </w:tr>
      <w:tr w:rsidR="000101C1" w:rsidRPr="000101C1" w14:paraId="02CC134F" w14:textId="77777777" w:rsidTr="000101C1">
        <w:tc>
          <w:tcPr>
            <w:tcW w:w="0" w:type="auto"/>
            <w:tcMar>
              <w:top w:w="15" w:type="dxa"/>
              <w:left w:w="0" w:type="dxa"/>
              <w:bottom w:w="15" w:type="dxa"/>
              <w:right w:w="15" w:type="dxa"/>
            </w:tcMar>
            <w:vAlign w:val="center"/>
            <w:hideMark/>
          </w:tcPr>
          <w:p w14:paraId="012143C7"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7431D7D2"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Structural flexibility to meet diverse needs</w:t>
            </w:r>
          </w:p>
        </w:tc>
        <w:tc>
          <w:tcPr>
            <w:tcW w:w="0" w:type="auto"/>
            <w:tcBorders>
              <w:top w:val="single" w:sz="4" w:space="0" w:color="auto"/>
              <w:bottom w:val="single" w:sz="4" w:space="0" w:color="auto"/>
            </w:tcBorders>
            <w:vAlign w:val="center"/>
            <w:hideMark/>
          </w:tcPr>
          <w:p w14:paraId="37318BC7"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 xml:space="preserve">Alabi &amp; </w:t>
            </w:r>
            <w:proofErr w:type="spellStart"/>
            <w:r w:rsidRPr="000101C1">
              <w:rPr>
                <w:rFonts w:asciiTheme="majorBidi" w:hAnsiTheme="majorBidi" w:cstheme="majorBidi"/>
                <w:sz w:val="20"/>
                <w:szCs w:val="20"/>
              </w:rPr>
              <w:t>Fapohunda</w:t>
            </w:r>
            <w:proofErr w:type="spellEnd"/>
            <w:r w:rsidRPr="000101C1">
              <w:rPr>
                <w:rFonts w:asciiTheme="majorBidi" w:hAnsiTheme="majorBidi" w:cstheme="majorBidi"/>
                <w:sz w:val="20"/>
                <w:szCs w:val="20"/>
              </w:rPr>
              <w:t xml:space="preserve"> (2021)</w:t>
            </w:r>
          </w:p>
        </w:tc>
      </w:tr>
      <w:tr w:rsidR="000101C1" w:rsidRPr="000101C1" w14:paraId="7B452469" w14:textId="77777777" w:rsidTr="000101C1">
        <w:tc>
          <w:tcPr>
            <w:tcW w:w="0" w:type="auto"/>
            <w:tcBorders>
              <w:bottom w:val="single" w:sz="4" w:space="0" w:color="auto"/>
            </w:tcBorders>
            <w:tcMar>
              <w:top w:w="15" w:type="dxa"/>
              <w:left w:w="0" w:type="dxa"/>
              <w:bottom w:w="15" w:type="dxa"/>
              <w:right w:w="15" w:type="dxa"/>
            </w:tcMar>
            <w:vAlign w:val="center"/>
            <w:hideMark/>
          </w:tcPr>
          <w:p w14:paraId="6A0D7226"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20E0FB58"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Adaptability to future needs</w:t>
            </w:r>
          </w:p>
        </w:tc>
        <w:tc>
          <w:tcPr>
            <w:tcW w:w="0" w:type="auto"/>
            <w:tcBorders>
              <w:top w:val="single" w:sz="4" w:space="0" w:color="auto"/>
              <w:bottom w:val="single" w:sz="4" w:space="0" w:color="auto"/>
            </w:tcBorders>
            <w:vAlign w:val="center"/>
            <w:hideMark/>
          </w:tcPr>
          <w:p w14:paraId="721719C9"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Adetooto</w:t>
            </w:r>
            <w:proofErr w:type="spellEnd"/>
            <w:r w:rsidRPr="000101C1">
              <w:rPr>
                <w:rFonts w:asciiTheme="majorBidi" w:hAnsiTheme="majorBidi" w:cstheme="majorBidi"/>
                <w:sz w:val="20"/>
                <w:szCs w:val="20"/>
              </w:rPr>
              <w:t xml:space="preserve"> et al. (2022)</w:t>
            </w:r>
          </w:p>
        </w:tc>
      </w:tr>
      <w:tr w:rsidR="000101C1" w:rsidRPr="000101C1" w14:paraId="0F2BC745" w14:textId="77777777" w:rsidTr="000101C1">
        <w:tc>
          <w:tcPr>
            <w:tcW w:w="0" w:type="auto"/>
            <w:tcBorders>
              <w:top w:val="single" w:sz="4" w:space="0" w:color="auto"/>
            </w:tcBorders>
            <w:tcMar>
              <w:top w:w="15" w:type="dxa"/>
              <w:left w:w="0" w:type="dxa"/>
              <w:bottom w:w="15" w:type="dxa"/>
              <w:right w:w="15" w:type="dxa"/>
            </w:tcMar>
            <w:vAlign w:val="center"/>
            <w:hideMark/>
          </w:tcPr>
          <w:p w14:paraId="2692BBAB"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Optimization of Energy Consumption and Environmental Impact</w:t>
            </w:r>
          </w:p>
        </w:tc>
        <w:tc>
          <w:tcPr>
            <w:tcW w:w="0" w:type="auto"/>
            <w:tcBorders>
              <w:top w:val="single" w:sz="4" w:space="0" w:color="auto"/>
              <w:bottom w:val="single" w:sz="4" w:space="0" w:color="auto"/>
            </w:tcBorders>
            <w:vAlign w:val="center"/>
            <w:hideMark/>
          </w:tcPr>
          <w:p w14:paraId="66365BC5"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Ease of modification for any family type</w:t>
            </w:r>
          </w:p>
        </w:tc>
        <w:tc>
          <w:tcPr>
            <w:tcW w:w="0" w:type="auto"/>
            <w:tcBorders>
              <w:top w:val="single" w:sz="4" w:space="0" w:color="auto"/>
              <w:bottom w:val="single" w:sz="4" w:space="0" w:color="auto"/>
            </w:tcBorders>
            <w:vAlign w:val="center"/>
            <w:hideMark/>
          </w:tcPr>
          <w:p w14:paraId="4E6B8DCD"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Yeganeh et al. (2021)</w:t>
            </w:r>
          </w:p>
        </w:tc>
      </w:tr>
      <w:tr w:rsidR="000101C1" w:rsidRPr="000101C1" w14:paraId="4DF50D16" w14:textId="77777777" w:rsidTr="000101C1">
        <w:tc>
          <w:tcPr>
            <w:tcW w:w="0" w:type="auto"/>
            <w:tcMar>
              <w:top w:w="15" w:type="dxa"/>
              <w:left w:w="0" w:type="dxa"/>
              <w:bottom w:w="15" w:type="dxa"/>
              <w:right w:w="15" w:type="dxa"/>
            </w:tcMar>
            <w:vAlign w:val="center"/>
            <w:hideMark/>
          </w:tcPr>
          <w:p w14:paraId="1D8854B8"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1226E898"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Ability to create diversity in height and space</w:t>
            </w:r>
          </w:p>
        </w:tc>
        <w:tc>
          <w:tcPr>
            <w:tcW w:w="0" w:type="auto"/>
            <w:tcBorders>
              <w:top w:val="single" w:sz="4" w:space="0" w:color="auto"/>
              <w:bottom w:val="single" w:sz="4" w:space="0" w:color="auto"/>
            </w:tcBorders>
            <w:vAlign w:val="center"/>
            <w:hideMark/>
          </w:tcPr>
          <w:p w14:paraId="79B5C936"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Adetooto</w:t>
            </w:r>
            <w:proofErr w:type="spellEnd"/>
            <w:r w:rsidRPr="000101C1">
              <w:rPr>
                <w:rFonts w:asciiTheme="majorBidi" w:hAnsiTheme="majorBidi" w:cstheme="majorBidi"/>
                <w:sz w:val="20"/>
                <w:szCs w:val="20"/>
              </w:rPr>
              <w:t xml:space="preserve"> et al. (2022)</w:t>
            </w:r>
          </w:p>
        </w:tc>
      </w:tr>
      <w:tr w:rsidR="000101C1" w:rsidRPr="000101C1" w14:paraId="2AA4F8DC" w14:textId="77777777" w:rsidTr="000101C1">
        <w:tc>
          <w:tcPr>
            <w:tcW w:w="0" w:type="auto"/>
            <w:tcMar>
              <w:top w:w="15" w:type="dxa"/>
              <w:left w:w="0" w:type="dxa"/>
              <w:bottom w:w="15" w:type="dxa"/>
              <w:right w:w="15" w:type="dxa"/>
            </w:tcMar>
            <w:vAlign w:val="center"/>
            <w:hideMark/>
          </w:tcPr>
          <w:p w14:paraId="4D03D132"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267D3A97"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Increased user participation in design and construction processes</w:t>
            </w:r>
          </w:p>
        </w:tc>
        <w:tc>
          <w:tcPr>
            <w:tcW w:w="0" w:type="auto"/>
            <w:tcBorders>
              <w:top w:val="single" w:sz="4" w:space="0" w:color="auto"/>
              <w:bottom w:val="single" w:sz="4" w:space="0" w:color="auto"/>
            </w:tcBorders>
            <w:vAlign w:val="center"/>
            <w:hideMark/>
          </w:tcPr>
          <w:p w14:paraId="2D3D7B03"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Jegede &amp; Taki (2022)</w:t>
            </w:r>
          </w:p>
        </w:tc>
      </w:tr>
      <w:tr w:rsidR="000101C1" w:rsidRPr="000101C1" w14:paraId="07603FE1" w14:textId="77777777" w:rsidTr="000101C1">
        <w:tc>
          <w:tcPr>
            <w:tcW w:w="0" w:type="auto"/>
            <w:tcMar>
              <w:top w:w="15" w:type="dxa"/>
              <w:left w:w="0" w:type="dxa"/>
              <w:bottom w:w="15" w:type="dxa"/>
              <w:right w:w="15" w:type="dxa"/>
            </w:tcMar>
            <w:vAlign w:val="center"/>
            <w:hideMark/>
          </w:tcPr>
          <w:p w14:paraId="15EBD070"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12A81B3A"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Identifying user intervention points and allowing freedom in them</w:t>
            </w:r>
          </w:p>
        </w:tc>
        <w:tc>
          <w:tcPr>
            <w:tcW w:w="0" w:type="auto"/>
            <w:tcBorders>
              <w:top w:val="single" w:sz="4" w:space="0" w:color="auto"/>
              <w:bottom w:val="single" w:sz="4" w:space="0" w:color="auto"/>
            </w:tcBorders>
            <w:vAlign w:val="center"/>
            <w:hideMark/>
          </w:tcPr>
          <w:p w14:paraId="56293EEF"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Moghayedi</w:t>
            </w:r>
            <w:proofErr w:type="spellEnd"/>
            <w:r w:rsidRPr="000101C1">
              <w:rPr>
                <w:rFonts w:asciiTheme="majorBidi" w:hAnsiTheme="majorBidi" w:cstheme="majorBidi"/>
                <w:sz w:val="20"/>
                <w:szCs w:val="20"/>
              </w:rPr>
              <w:t xml:space="preserve"> et al. (2023), P1, P3</w:t>
            </w:r>
          </w:p>
        </w:tc>
      </w:tr>
      <w:tr w:rsidR="000101C1" w:rsidRPr="000101C1" w14:paraId="753B3764" w14:textId="77777777" w:rsidTr="000101C1">
        <w:tc>
          <w:tcPr>
            <w:tcW w:w="0" w:type="auto"/>
            <w:tcMar>
              <w:top w:w="15" w:type="dxa"/>
              <w:left w:w="0" w:type="dxa"/>
              <w:bottom w:w="15" w:type="dxa"/>
              <w:right w:w="15" w:type="dxa"/>
            </w:tcMar>
            <w:vAlign w:val="center"/>
            <w:hideMark/>
          </w:tcPr>
          <w:p w14:paraId="127F412E"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36F43C28"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Anticipating potential spaces for customer participation</w:t>
            </w:r>
          </w:p>
        </w:tc>
        <w:tc>
          <w:tcPr>
            <w:tcW w:w="0" w:type="auto"/>
            <w:tcBorders>
              <w:top w:val="single" w:sz="4" w:space="0" w:color="auto"/>
              <w:bottom w:val="single" w:sz="4" w:space="0" w:color="auto"/>
            </w:tcBorders>
            <w:vAlign w:val="center"/>
            <w:hideMark/>
          </w:tcPr>
          <w:p w14:paraId="52B49815"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Moghayedi</w:t>
            </w:r>
            <w:proofErr w:type="spellEnd"/>
            <w:r w:rsidRPr="000101C1">
              <w:rPr>
                <w:rFonts w:asciiTheme="majorBidi" w:hAnsiTheme="majorBidi" w:cstheme="majorBidi"/>
                <w:sz w:val="20"/>
                <w:szCs w:val="20"/>
              </w:rPr>
              <w:t xml:space="preserve"> et al. (2023)</w:t>
            </w:r>
          </w:p>
        </w:tc>
      </w:tr>
      <w:tr w:rsidR="000101C1" w:rsidRPr="000101C1" w14:paraId="7BA6520E" w14:textId="77777777" w:rsidTr="000101C1">
        <w:tc>
          <w:tcPr>
            <w:tcW w:w="0" w:type="auto"/>
            <w:tcMar>
              <w:top w:w="15" w:type="dxa"/>
              <w:left w:w="0" w:type="dxa"/>
              <w:bottom w:w="15" w:type="dxa"/>
              <w:right w:w="15" w:type="dxa"/>
            </w:tcMar>
            <w:vAlign w:val="center"/>
            <w:hideMark/>
          </w:tcPr>
          <w:p w14:paraId="7BC8E864"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5884846"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Improving quality and living standards for residents</w:t>
            </w:r>
          </w:p>
        </w:tc>
        <w:tc>
          <w:tcPr>
            <w:tcW w:w="0" w:type="auto"/>
            <w:tcBorders>
              <w:top w:val="single" w:sz="4" w:space="0" w:color="auto"/>
              <w:bottom w:val="single" w:sz="4" w:space="0" w:color="auto"/>
            </w:tcBorders>
            <w:vAlign w:val="center"/>
            <w:hideMark/>
          </w:tcPr>
          <w:p w14:paraId="3849A0B0"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Ge et al. (2020)</w:t>
            </w:r>
          </w:p>
        </w:tc>
      </w:tr>
      <w:tr w:rsidR="000101C1" w:rsidRPr="000101C1" w14:paraId="09326E0D" w14:textId="77777777" w:rsidTr="000101C1">
        <w:tc>
          <w:tcPr>
            <w:tcW w:w="0" w:type="auto"/>
            <w:tcBorders>
              <w:bottom w:val="single" w:sz="4" w:space="0" w:color="auto"/>
            </w:tcBorders>
            <w:tcMar>
              <w:top w:w="15" w:type="dxa"/>
              <w:left w:w="0" w:type="dxa"/>
              <w:bottom w:w="15" w:type="dxa"/>
              <w:right w:w="15" w:type="dxa"/>
            </w:tcMar>
            <w:vAlign w:val="center"/>
            <w:hideMark/>
          </w:tcPr>
          <w:p w14:paraId="36A6E649"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3BDD5A75"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Presence of comfort factors for residents</w:t>
            </w:r>
          </w:p>
        </w:tc>
        <w:tc>
          <w:tcPr>
            <w:tcW w:w="0" w:type="auto"/>
            <w:tcBorders>
              <w:top w:val="single" w:sz="4" w:space="0" w:color="auto"/>
              <w:bottom w:val="single" w:sz="4" w:space="0" w:color="auto"/>
            </w:tcBorders>
            <w:vAlign w:val="center"/>
            <w:hideMark/>
          </w:tcPr>
          <w:p w14:paraId="35E40F79"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Ge et al. (2020)</w:t>
            </w:r>
          </w:p>
        </w:tc>
      </w:tr>
      <w:tr w:rsidR="000101C1" w:rsidRPr="000101C1" w14:paraId="0A4F4D6E" w14:textId="77777777" w:rsidTr="000101C1">
        <w:tc>
          <w:tcPr>
            <w:tcW w:w="0" w:type="auto"/>
            <w:tcBorders>
              <w:top w:val="single" w:sz="4" w:space="0" w:color="auto"/>
            </w:tcBorders>
            <w:tcMar>
              <w:top w:w="15" w:type="dxa"/>
              <w:left w:w="0" w:type="dxa"/>
              <w:bottom w:w="15" w:type="dxa"/>
              <w:right w:w="15" w:type="dxa"/>
            </w:tcMar>
            <w:vAlign w:val="center"/>
            <w:hideMark/>
          </w:tcPr>
          <w:p w14:paraId="6EB49B12"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Use of Sustainable and Recyclable Materials</w:t>
            </w:r>
          </w:p>
        </w:tc>
        <w:tc>
          <w:tcPr>
            <w:tcW w:w="0" w:type="auto"/>
            <w:tcBorders>
              <w:top w:val="single" w:sz="4" w:space="0" w:color="auto"/>
              <w:bottom w:val="single" w:sz="4" w:space="0" w:color="auto"/>
            </w:tcBorders>
            <w:vAlign w:val="center"/>
            <w:hideMark/>
          </w:tcPr>
          <w:p w14:paraId="21AE0424"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Anticipating space performance over the lifecycle and enabling internal changes for new functions</w:t>
            </w:r>
          </w:p>
        </w:tc>
        <w:tc>
          <w:tcPr>
            <w:tcW w:w="0" w:type="auto"/>
            <w:tcBorders>
              <w:top w:val="single" w:sz="4" w:space="0" w:color="auto"/>
              <w:bottom w:val="single" w:sz="4" w:space="0" w:color="auto"/>
            </w:tcBorders>
            <w:vAlign w:val="center"/>
            <w:hideMark/>
          </w:tcPr>
          <w:p w14:paraId="2BE1A3A2"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 xml:space="preserve">Alabi &amp; </w:t>
            </w:r>
            <w:proofErr w:type="spellStart"/>
            <w:r w:rsidRPr="000101C1">
              <w:rPr>
                <w:rFonts w:asciiTheme="majorBidi" w:hAnsiTheme="majorBidi" w:cstheme="majorBidi"/>
                <w:sz w:val="20"/>
                <w:szCs w:val="20"/>
              </w:rPr>
              <w:t>Fapohunda</w:t>
            </w:r>
            <w:proofErr w:type="spellEnd"/>
            <w:r w:rsidRPr="000101C1">
              <w:rPr>
                <w:rFonts w:asciiTheme="majorBidi" w:hAnsiTheme="majorBidi" w:cstheme="majorBidi"/>
                <w:sz w:val="20"/>
                <w:szCs w:val="20"/>
              </w:rPr>
              <w:t xml:space="preserve"> (2021)</w:t>
            </w:r>
          </w:p>
        </w:tc>
      </w:tr>
      <w:tr w:rsidR="000101C1" w:rsidRPr="000101C1" w14:paraId="51EFDBA6" w14:textId="77777777" w:rsidTr="000101C1">
        <w:tc>
          <w:tcPr>
            <w:tcW w:w="0" w:type="auto"/>
            <w:tcMar>
              <w:top w:w="15" w:type="dxa"/>
              <w:left w:w="0" w:type="dxa"/>
              <w:bottom w:w="15" w:type="dxa"/>
              <w:right w:w="15" w:type="dxa"/>
            </w:tcMar>
            <w:vAlign w:val="center"/>
            <w:hideMark/>
          </w:tcPr>
          <w:p w14:paraId="1F5A24B1"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03E68D3"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Compatibility with various materials</w:t>
            </w:r>
          </w:p>
        </w:tc>
        <w:tc>
          <w:tcPr>
            <w:tcW w:w="0" w:type="auto"/>
            <w:tcBorders>
              <w:top w:val="single" w:sz="4" w:space="0" w:color="auto"/>
              <w:bottom w:val="single" w:sz="4" w:space="0" w:color="auto"/>
            </w:tcBorders>
            <w:vAlign w:val="center"/>
            <w:hideMark/>
          </w:tcPr>
          <w:p w14:paraId="55484E47"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González (2022)</w:t>
            </w:r>
          </w:p>
        </w:tc>
      </w:tr>
      <w:tr w:rsidR="000101C1" w:rsidRPr="000101C1" w14:paraId="3DC04870" w14:textId="77777777" w:rsidTr="000101C1">
        <w:tc>
          <w:tcPr>
            <w:tcW w:w="0" w:type="auto"/>
            <w:tcMar>
              <w:top w:w="15" w:type="dxa"/>
              <w:left w:w="0" w:type="dxa"/>
              <w:bottom w:w="15" w:type="dxa"/>
              <w:right w:w="15" w:type="dxa"/>
            </w:tcMar>
            <w:vAlign w:val="center"/>
            <w:hideMark/>
          </w:tcPr>
          <w:p w14:paraId="79CA51AF"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1AC935E"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Main structure meeting structural requirements</w:t>
            </w:r>
          </w:p>
        </w:tc>
        <w:tc>
          <w:tcPr>
            <w:tcW w:w="0" w:type="auto"/>
            <w:tcBorders>
              <w:top w:val="single" w:sz="4" w:space="0" w:color="auto"/>
              <w:bottom w:val="single" w:sz="4" w:space="0" w:color="auto"/>
            </w:tcBorders>
            <w:vAlign w:val="center"/>
            <w:hideMark/>
          </w:tcPr>
          <w:p w14:paraId="349E7376"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Vale et al. (2014)</w:t>
            </w:r>
          </w:p>
        </w:tc>
      </w:tr>
      <w:tr w:rsidR="000101C1" w:rsidRPr="000101C1" w14:paraId="309599AD" w14:textId="77777777" w:rsidTr="000101C1">
        <w:tc>
          <w:tcPr>
            <w:tcW w:w="0" w:type="auto"/>
            <w:tcBorders>
              <w:bottom w:val="single" w:sz="4" w:space="0" w:color="auto"/>
            </w:tcBorders>
            <w:tcMar>
              <w:top w:w="15" w:type="dxa"/>
              <w:left w:w="0" w:type="dxa"/>
              <w:bottom w:w="15" w:type="dxa"/>
              <w:right w:w="15" w:type="dxa"/>
            </w:tcMar>
            <w:vAlign w:val="center"/>
            <w:hideMark/>
          </w:tcPr>
          <w:p w14:paraId="14A7D0F9"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0508A399"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Infill structure supporting flexibility</w:t>
            </w:r>
          </w:p>
        </w:tc>
        <w:tc>
          <w:tcPr>
            <w:tcW w:w="0" w:type="auto"/>
            <w:tcBorders>
              <w:top w:val="single" w:sz="4" w:space="0" w:color="auto"/>
              <w:bottom w:val="single" w:sz="4" w:space="0" w:color="auto"/>
            </w:tcBorders>
            <w:vAlign w:val="center"/>
            <w:hideMark/>
          </w:tcPr>
          <w:p w14:paraId="3778CE78"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Moghayedi</w:t>
            </w:r>
            <w:proofErr w:type="spellEnd"/>
            <w:r w:rsidRPr="000101C1">
              <w:rPr>
                <w:rFonts w:asciiTheme="majorBidi" w:hAnsiTheme="majorBidi" w:cstheme="majorBidi"/>
                <w:sz w:val="20"/>
                <w:szCs w:val="20"/>
              </w:rPr>
              <w:t xml:space="preserve"> et al. (2021)</w:t>
            </w:r>
          </w:p>
        </w:tc>
      </w:tr>
      <w:tr w:rsidR="000101C1" w:rsidRPr="000101C1" w14:paraId="6CF78AF0" w14:textId="77777777" w:rsidTr="000101C1">
        <w:tc>
          <w:tcPr>
            <w:tcW w:w="0" w:type="auto"/>
            <w:tcBorders>
              <w:top w:val="single" w:sz="4" w:space="0" w:color="auto"/>
            </w:tcBorders>
            <w:tcMar>
              <w:top w:w="15" w:type="dxa"/>
              <w:left w:w="0" w:type="dxa"/>
              <w:bottom w:w="15" w:type="dxa"/>
              <w:right w:w="15" w:type="dxa"/>
            </w:tcMar>
            <w:vAlign w:val="center"/>
            <w:hideMark/>
          </w:tcPr>
          <w:p w14:paraId="763551A5"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Cost Savings in Construction and Maintenance</w:t>
            </w:r>
          </w:p>
        </w:tc>
        <w:tc>
          <w:tcPr>
            <w:tcW w:w="0" w:type="auto"/>
            <w:tcBorders>
              <w:top w:val="single" w:sz="4" w:space="0" w:color="auto"/>
              <w:bottom w:val="single" w:sz="4" w:space="0" w:color="auto"/>
            </w:tcBorders>
            <w:vAlign w:val="center"/>
            <w:hideMark/>
          </w:tcPr>
          <w:p w14:paraId="768A11F0"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Infill structure supporting flexibility</w:t>
            </w:r>
          </w:p>
        </w:tc>
        <w:tc>
          <w:tcPr>
            <w:tcW w:w="0" w:type="auto"/>
            <w:tcBorders>
              <w:top w:val="single" w:sz="4" w:space="0" w:color="auto"/>
              <w:bottom w:val="single" w:sz="4" w:space="0" w:color="auto"/>
            </w:tcBorders>
            <w:vAlign w:val="center"/>
            <w:hideMark/>
          </w:tcPr>
          <w:p w14:paraId="29DF0CB7"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Mallach</w:t>
            </w:r>
            <w:proofErr w:type="spellEnd"/>
            <w:r w:rsidRPr="000101C1">
              <w:rPr>
                <w:rFonts w:asciiTheme="majorBidi" w:hAnsiTheme="majorBidi" w:cstheme="majorBidi"/>
                <w:sz w:val="20"/>
                <w:szCs w:val="20"/>
              </w:rPr>
              <w:t xml:space="preserve"> (2020)</w:t>
            </w:r>
          </w:p>
        </w:tc>
      </w:tr>
      <w:tr w:rsidR="000101C1" w:rsidRPr="000101C1" w14:paraId="24980A2C" w14:textId="77777777" w:rsidTr="000101C1">
        <w:tc>
          <w:tcPr>
            <w:tcW w:w="0" w:type="auto"/>
            <w:tcMar>
              <w:top w:w="15" w:type="dxa"/>
              <w:left w:w="0" w:type="dxa"/>
              <w:bottom w:w="15" w:type="dxa"/>
              <w:right w:w="15" w:type="dxa"/>
            </w:tcMar>
            <w:vAlign w:val="center"/>
            <w:hideMark/>
          </w:tcPr>
          <w:p w14:paraId="6F9A1DCF"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06767B86"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Standardization of functions</w:t>
            </w:r>
          </w:p>
        </w:tc>
        <w:tc>
          <w:tcPr>
            <w:tcW w:w="0" w:type="auto"/>
            <w:tcBorders>
              <w:top w:val="single" w:sz="4" w:space="0" w:color="auto"/>
              <w:bottom w:val="single" w:sz="4" w:space="0" w:color="auto"/>
            </w:tcBorders>
            <w:vAlign w:val="center"/>
            <w:hideMark/>
          </w:tcPr>
          <w:p w14:paraId="0A6D77C2"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Moghayedi</w:t>
            </w:r>
            <w:proofErr w:type="spellEnd"/>
            <w:r w:rsidRPr="000101C1">
              <w:rPr>
                <w:rFonts w:asciiTheme="majorBidi" w:hAnsiTheme="majorBidi" w:cstheme="majorBidi"/>
                <w:sz w:val="20"/>
                <w:szCs w:val="20"/>
              </w:rPr>
              <w:t xml:space="preserve"> et al. (2021), P1, P3</w:t>
            </w:r>
          </w:p>
        </w:tc>
      </w:tr>
      <w:tr w:rsidR="000101C1" w:rsidRPr="000101C1" w14:paraId="5096BC49" w14:textId="77777777" w:rsidTr="000101C1">
        <w:tc>
          <w:tcPr>
            <w:tcW w:w="0" w:type="auto"/>
            <w:tcMar>
              <w:top w:w="15" w:type="dxa"/>
              <w:left w:w="0" w:type="dxa"/>
              <w:bottom w:w="15" w:type="dxa"/>
              <w:right w:w="15" w:type="dxa"/>
            </w:tcMar>
            <w:vAlign w:val="center"/>
            <w:hideMark/>
          </w:tcPr>
          <w:p w14:paraId="77CAF267"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3FC25101"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Optimizing the number of modules for maximum usable area</w:t>
            </w:r>
          </w:p>
        </w:tc>
        <w:tc>
          <w:tcPr>
            <w:tcW w:w="0" w:type="auto"/>
            <w:tcBorders>
              <w:top w:val="single" w:sz="4" w:space="0" w:color="auto"/>
              <w:bottom w:val="single" w:sz="4" w:space="0" w:color="auto"/>
            </w:tcBorders>
            <w:vAlign w:val="center"/>
            <w:hideMark/>
          </w:tcPr>
          <w:p w14:paraId="1CAA694F"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Mallach</w:t>
            </w:r>
            <w:proofErr w:type="spellEnd"/>
            <w:r w:rsidRPr="000101C1">
              <w:rPr>
                <w:rFonts w:asciiTheme="majorBidi" w:hAnsiTheme="majorBidi" w:cstheme="majorBidi"/>
                <w:sz w:val="20"/>
                <w:szCs w:val="20"/>
              </w:rPr>
              <w:t xml:space="preserve"> (2020)</w:t>
            </w:r>
          </w:p>
        </w:tc>
      </w:tr>
      <w:tr w:rsidR="000101C1" w:rsidRPr="000101C1" w14:paraId="47E7A703" w14:textId="77777777" w:rsidTr="000101C1">
        <w:tc>
          <w:tcPr>
            <w:tcW w:w="0" w:type="auto"/>
            <w:tcMar>
              <w:top w:w="15" w:type="dxa"/>
              <w:left w:w="0" w:type="dxa"/>
              <w:bottom w:w="15" w:type="dxa"/>
              <w:right w:w="15" w:type="dxa"/>
            </w:tcMar>
            <w:vAlign w:val="center"/>
            <w:hideMark/>
          </w:tcPr>
          <w:p w14:paraId="41C22C63"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512DB312"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User-centric and people-oriented approach</w:t>
            </w:r>
          </w:p>
        </w:tc>
        <w:tc>
          <w:tcPr>
            <w:tcW w:w="0" w:type="auto"/>
            <w:tcBorders>
              <w:top w:val="single" w:sz="4" w:space="0" w:color="auto"/>
              <w:bottom w:val="single" w:sz="4" w:space="0" w:color="auto"/>
            </w:tcBorders>
            <w:vAlign w:val="center"/>
            <w:hideMark/>
          </w:tcPr>
          <w:p w14:paraId="613BA2F6"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Mallach</w:t>
            </w:r>
            <w:proofErr w:type="spellEnd"/>
            <w:r w:rsidRPr="000101C1">
              <w:rPr>
                <w:rFonts w:asciiTheme="majorBidi" w:hAnsiTheme="majorBidi" w:cstheme="majorBidi"/>
                <w:sz w:val="20"/>
                <w:szCs w:val="20"/>
              </w:rPr>
              <w:t xml:space="preserve"> (2020)</w:t>
            </w:r>
          </w:p>
        </w:tc>
      </w:tr>
      <w:tr w:rsidR="000101C1" w:rsidRPr="000101C1" w14:paraId="41C2FE6C" w14:textId="77777777" w:rsidTr="000101C1">
        <w:tc>
          <w:tcPr>
            <w:tcW w:w="0" w:type="auto"/>
            <w:tcMar>
              <w:top w:w="15" w:type="dxa"/>
              <w:left w:w="0" w:type="dxa"/>
              <w:bottom w:w="15" w:type="dxa"/>
              <w:right w:w="15" w:type="dxa"/>
            </w:tcMar>
            <w:vAlign w:val="center"/>
            <w:hideMark/>
          </w:tcPr>
          <w:p w14:paraId="1CFEEA4B"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7A6F0EAB"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Addressing the needs of individuals with disabilities (e.g., blind, deaf)</w:t>
            </w:r>
          </w:p>
        </w:tc>
        <w:tc>
          <w:tcPr>
            <w:tcW w:w="0" w:type="auto"/>
            <w:tcBorders>
              <w:top w:val="single" w:sz="4" w:space="0" w:color="auto"/>
              <w:bottom w:val="single" w:sz="4" w:space="0" w:color="auto"/>
            </w:tcBorders>
            <w:vAlign w:val="center"/>
            <w:hideMark/>
          </w:tcPr>
          <w:p w14:paraId="1192A4A5"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Buchanan et al. (2020)</w:t>
            </w:r>
          </w:p>
        </w:tc>
      </w:tr>
      <w:tr w:rsidR="000101C1" w:rsidRPr="000101C1" w14:paraId="27DBBD2A" w14:textId="77777777" w:rsidTr="000101C1">
        <w:tc>
          <w:tcPr>
            <w:tcW w:w="0" w:type="auto"/>
            <w:tcBorders>
              <w:bottom w:val="single" w:sz="4" w:space="0" w:color="auto"/>
            </w:tcBorders>
            <w:tcMar>
              <w:top w:w="15" w:type="dxa"/>
              <w:left w:w="0" w:type="dxa"/>
              <w:bottom w:w="15" w:type="dxa"/>
              <w:right w:w="15" w:type="dxa"/>
            </w:tcMar>
            <w:vAlign w:val="center"/>
            <w:hideMark/>
          </w:tcPr>
          <w:p w14:paraId="70A73CB7"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5AD11D42"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Presence of comfort factors for residents</w:t>
            </w:r>
          </w:p>
        </w:tc>
        <w:tc>
          <w:tcPr>
            <w:tcW w:w="0" w:type="auto"/>
            <w:tcBorders>
              <w:top w:val="single" w:sz="4" w:space="0" w:color="auto"/>
              <w:bottom w:val="single" w:sz="4" w:space="0" w:color="auto"/>
            </w:tcBorders>
            <w:vAlign w:val="center"/>
            <w:hideMark/>
          </w:tcPr>
          <w:p w14:paraId="235C52A8"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Moghayedi</w:t>
            </w:r>
            <w:proofErr w:type="spellEnd"/>
            <w:r w:rsidRPr="000101C1">
              <w:rPr>
                <w:rFonts w:asciiTheme="majorBidi" w:hAnsiTheme="majorBidi" w:cstheme="majorBidi"/>
                <w:sz w:val="20"/>
                <w:szCs w:val="20"/>
              </w:rPr>
              <w:t xml:space="preserve"> et al. (2021)</w:t>
            </w:r>
          </w:p>
        </w:tc>
      </w:tr>
      <w:tr w:rsidR="000101C1" w:rsidRPr="000101C1" w14:paraId="3FF64BB6" w14:textId="77777777" w:rsidTr="000101C1">
        <w:tc>
          <w:tcPr>
            <w:tcW w:w="0" w:type="auto"/>
            <w:tcBorders>
              <w:top w:val="single" w:sz="4" w:space="0" w:color="auto"/>
            </w:tcBorders>
            <w:tcMar>
              <w:top w:w="15" w:type="dxa"/>
              <w:left w:w="0" w:type="dxa"/>
              <w:bottom w:w="15" w:type="dxa"/>
              <w:right w:w="15" w:type="dxa"/>
            </w:tcMar>
            <w:vAlign w:val="center"/>
            <w:hideMark/>
          </w:tcPr>
          <w:p w14:paraId="33F4CEB3"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High-Quality Residential Spaces and Resident Comfort</w:t>
            </w:r>
          </w:p>
        </w:tc>
        <w:tc>
          <w:tcPr>
            <w:tcW w:w="0" w:type="auto"/>
            <w:tcBorders>
              <w:top w:val="single" w:sz="4" w:space="0" w:color="auto"/>
              <w:bottom w:val="single" w:sz="4" w:space="0" w:color="auto"/>
            </w:tcBorders>
            <w:vAlign w:val="center"/>
            <w:hideMark/>
          </w:tcPr>
          <w:p w14:paraId="51AA65B8"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Use of decks with larger spans</w:t>
            </w:r>
          </w:p>
        </w:tc>
        <w:tc>
          <w:tcPr>
            <w:tcW w:w="0" w:type="auto"/>
            <w:tcBorders>
              <w:top w:val="single" w:sz="4" w:space="0" w:color="auto"/>
              <w:bottom w:val="single" w:sz="4" w:space="0" w:color="auto"/>
            </w:tcBorders>
            <w:vAlign w:val="center"/>
            <w:hideMark/>
          </w:tcPr>
          <w:p w14:paraId="110D22A2"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Adetooto</w:t>
            </w:r>
            <w:proofErr w:type="spellEnd"/>
            <w:r w:rsidRPr="000101C1">
              <w:rPr>
                <w:rFonts w:asciiTheme="majorBidi" w:hAnsiTheme="majorBidi" w:cstheme="majorBidi"/>
                <w:sz w:val="20"/>
                <w:szCs w:val="20"/>
              </w:rPr>
              <w:t xml:space="preserve"> et al. (2022)</w:t>
            </w:r>
          </w:p>
        </w:tc>
      </w:tr>
      <w:tr w:rsidR="000101C1" w:rsidRPr="000101C1" w14:paraId="0E9C33EB" w14:textId="77777777" w:rsidTr="000101C1">
        <w:tc>
          <w:tcPr>
            <w:tcW w:w="0" w:type="auto"/>
            <w:tcMar>
              <w:top w:w="15" w:type="dxa"/>
              <w:left w:w="0" w:type="dxa"/>
              <w:bottom w:w="15" w:type="dxa"/>
              <w:right w:w="15" w:type="dxa"/>
            </w:tcMar>
            <w:vAlign w:val="center"/>
            <w:hideMark/>
          </w:tcPr>
          <w:p w14:paraId="66C35B0F"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F893566"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Adaptability to future needs</w:t>
            </w:r>
          </w:p>
        </w:tc>
        <w:tc>
          <w:tcPr>
            <w:tcW w:w="0" w:type="auto"/>
            <w:tcBorders>
              <w:top w:val="single" w:sz="4" w:space="0" w:color="auto"/>
              <w:bottom w:val="single" w:sz="4" w:space="0" w:color="auto"/>
            </w:tcBorders>
            <w:vAlign w:val="center"/>
            <w:hideMark/>
          </w:tcPr>
          <w:p w14:paraId="7DD279EB"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MacAskill et al. (2021)</w:t>
            </w:r>
          </w:p>
        </w:tc>
      </w:tr>
      <w:tr w:rsidR="000101C1" w:rsidRPr="000101C1" w14:paraId="14829A27" w14:textId="77777777" w:rsidTr="000101C1">
        <w:tc>
          <w:tcPr>
            <w:tcW w:w="0" w:type="auto"/>
            <w:tcMar>
              <w:top w:w="15" w:type="dxa"/>
              <w:left w:w="0" w:type="dxa"/>
              <w:bottom w:w="15" w:type="dxa"/>
              <w:right w:w="15" w:type="dxa"/>
            </w:tcMar>
            <w:vAlign w:val="center"/>
            <w:hideMark/>
          </w:tcPr>
          <w:p w14:paraId="1980887A"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73007C72"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Ability to combine interior spaces for specific uses</w:t>
            </w:r>
          </w:p>
        </w:tc>
        <w:tc>
          <w:tcPr>
            <w:tcW w:w="0" w:type="auto"/>
            <w:tcBorders>
              <w:top w:val="single" w:sz="4" w:space="0" w:color="auto"/>
              <w:bottom w:val="single" w:sz="4" w:space="0" w:color="auto"/>
            </w:tcBorders>
            <w:vAlign w:val="center"/>
            <w:hideMark/>
          </w:tcPr>
          <w:p w14:paraId="74B3103B"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Jegede &amp; Taki (2022)</w:t>
            </w:r>
          </w:p>
        </w:tc>
      </w:tr>
      <w:tr w:rsidR="000101C1" w:rsidRPr="000101C1" w14:paraId="588C614C" w14:textId="77777777" w:rsidTr="000101C1">
        <w:tc>
          <w:tcPr>
            <w:tcW w:w="0" w:type="auto"/>
            <w:tcMar>
              <w:top w:w="15" w:type="dxa"/>
              <w:left w:w="0" w:type="dxa"/>
              <w:bottom w:w="15" w:type="dxa"/>
              <w:right w:w="15" w:type="dxa"/>
            </w:tcMar>
            <w:vAlign w:val="center"/>
            <w:hideMark/>
          </w:tcPr>
          <w:p w14:paraId="7160813D"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1E4AEE68"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Integration of modular and digital construction for changing environments</w:t>
            </w:r>
          </w:p>
        </w:tc>
        <w:tc>
          <w:tcPr>
            <w:tcW w:w="0" w:type="auto"/>
            <w:tcBorders>
              <w:top w:val="single" w:sz="4" w:space="0" w:color="auto"/>
              <w:bottom w:val="single" w:sz="4" w:space="0" w:color="auto"/>
            </w:tcBorders>
            <w:vAlign w:val="center"/>
            <w:hideMark/>
          </w:tcPr>
          <w:p w14:paraId="3BA8DF54"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Mallach</w:t>
            </w:r>
            <w:proofErr w:type="spellEnd"/>
            <w:r w:rsidRPr="000101C1">
              <w:rPr>
                <w:rFonts w:asciiTheme="majorBidi" w:hAnsiTheme="majorBidi" w:cstheme="majorBidi"/>
                <w:sz w:val="20"/>
                <w:szCs w:val="20"/>
              </w:rPr>
              <w:t xml:space="preserve"> (2020)</w:t>
            </w:r>
          </w:p>
        </w:tc>
      </w:tr>
      <w:tr w:rsidR="000101C1" w:rsidRPr="000101C1" w14:paraId="50DD5910" w14:textId="77777777" w:rsidTr="000101C1">
        <w:tc>
          <w:tcPr>
            <w:tcW w:w="0" w:type="auto"/>
            <w:tcMar>
              <w:top w:w="15" w:type="dxa"/>
              <w:left w:w="0" w:type="dxa"/>
              <w:bottom w:w="15" w:type="dxa"/>
              <w:right w:w="15" w:type="dxa"/>
            </w:tcMar>
            <w:vAlign w:val="center"/>
            <w:hideMark/>
          </w:tcPr>
          <w:p w14:paraId="1C7D7AE7"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14E09EAD"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Presence of flexible equipment</w:t>
            </w:r>
          </w:p>
        </w:tc>
        <w:tc>
          <w:tcPr>
            <w:tcW w:w="0" w:type="auto"/>
            <w:tcBorders>
              <w:top w:val="single" w:sz="4" w:space="0" w:color="auto"/>
              <w:bottom w:val="single" w:sz="4" w:space="0" w:color="auto"/>
            </w:tcBorders>
            <w:vAlign w:val="center"/>
            <w:hideMark/>
          </w:tcPr>
          <w:p w14:paraId="08341384"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Moghayedi</w:t>
            </w:r>
            <w:proofErr w:type="spellEnd"/>
            <w:r w:rsidRPr="000101C1">
              <w:rPr>
                <w:rFonts w:asciiTheme="majorBidi" w:hAnsiTheme="majorBidi" w:cstheme="majorBidi"/>
                <w:sz w:val="20"/>
                <w:szCs w:val="20"/>
              </w:rPr>
              <w:t xml:space="preserve"> et al. (2021)</w:t>
            </w:r>
          </w:p>
        </w:tc>
      </w:tr>
      <w:tr w:rsidR="000101C1" w:rsidRPr="000101C1" w14:paraId="4FE2C361" w14:textId="77777777" w:rsidTr="000101C1">
        <w:tc>
          <w:tcPr>
            <w:tcW w:w="0" w:type="auto"/>
            <w:tcBorders>
              <w:bottom w:val="single" w:sz="4" w:space="0" w:color="auto"/>
            </w:tcBorders>
            <w:tcMar>
              <w:top w:w="15" w:type="dxa"/>
              <w:left w:w="0" w:type="dxa"/>
              <w:bottom w:w="15" w:type="dxa"/>
              <w:right w:w="15" w:type="dxa"/>
            </w:tcMar>
            <w:vAlign w:val="center"/>
            <w:hideMark/>
          </w:tcPr>
          <w:p w14:paraId="56AE97CC"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030256EA"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Use of flexible furniture</w:t>
            </w:r>
          </w:p>
        </w:tc>
        <w:tc>
          <w:tcPr>
            <w:tcW w:w="0" w:type="auto"/>
            <w:tcBorders>
              <w:top w:val="single" w:sz="4" w:space="0" w:color="auto"/>
              <w:bottom w:val="single" w:sz="4" w:space="0" w:color="auto"/>
            </w:tcBorders>
            <w:vAlign w:val="center"/>
            <w:hideMark/>
          </w:tcPr>
          <w:p w14:paraId="0BCCEE68"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Jegede &amp; Taki (2022), P2, P5</w:t>
            </w:r>
          </w:p>
        </w:tc>
      </w:tr>
      <w:tr w:rsidR="000101C1" w:rsidRPr="000101C1" w14:paraId="33F48364" w14:textId="77777777" w:rsidTr="000101C1">
        <w:tc>
          <w:tcPr>
            <w:tcW w:w="0" w:type="auto"/>
            <w:tcBorders>
              <w:top w:val="single" w:sz="4" w:space="0" w:color="auto"/>
            </w:tcBorders>
            <w:tcMar>
              <w:top w:w="15" w:type="dxa"/>
              <w:left w:w="0" w:type="dxa"/>
              <w:bottom w:w="15" w:type="dxa"/>
              <w:right w:w="15" w:type="dxa"/>
            </w:tcMar>
            <w:vAlign w:val="center"/>
            <w:hideMark/>
          </w:tcPr>
          <w:p w14:paraId="496E4887"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Standardization and Modularization of Design and Construction</w:t>
            </w:r>
          </w:p>
        </w:tc>
        <w:tc>
          <w:tcPr>
            <w:tcW w:w="0" w:type="auto"/>
            <w:tcBorders>
              <w:top w:val="single" w:sz="4" w:space="0" w:color="auto"/>
              <w:bottom w:val="single" w:sz="4" w:space="0" w:color="auto"/>
            </w:tcBorders>
            <w:vAlign w:val="center"/>
            <w:hideMark/>
          </w:tcPr>
          <w:p w14:paraId="26E14DF8"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Identifying flexible structural points for new systems and components</w:t>
            </w:r>
          </w:p>
        </w:tc>
        <w:tc>
          <w:tcPr>
            <w:tcW w:w="0" w:type="auto"/>
            <w:tcBorders>
              <w:top w:val="single" w:sz="4" w:space="0" w:color="auto"/>
              <w:bottom w:val="single" w:sz="4" w:space="0" w:color="auto"/>
            </w:tcBorders>
            <w:vAlign w:val="center"/>
            <w:hideMark/>
          </w:tcPr>
          <w:p w14:paraId="2C78DE4A"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Reid et al. (2020)</w:t>
            </w:r>
          </w:p>
        </w:tc>
      </w:tr>
      <w:tr w:rsidR="000101C1" w:rsidRPr="000101C1" w14:paraId="512EBD88" w14:textId="77777777" w:rsidTr="000101C1">
        <w:tc>
          <w:tcPr>
            <w:tcW w:w="0" w:type="auto"/>
            <w:tcMar>
              <w:top w:w="15" w:type="dxa"/>
              <w:left w:w="0" w:type="dxa"/>
              <w:bottom w:w="15" w:type="dxa"/>
              <w:right w:w="15" w:type="dxa"/>
            </w:tcMar>
            <w:vAlign w:val="center"/>
            <w:hideMark/>
          </w:tcPr>
          <w:p w14:paraId="46616A3F"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2235C157"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Structural flexibility to meet diverse needs</w:t>
            </w:r>
          </w:p>
        </w:tc>
        <w:tc>
          <w:tcPr>
            <w:tcW w:w="0" w:type="auto"/>
            <w:tcBorders>
              <w:top w:val="single" w:sz="4" w:space="0" w:color="auto"/>
              <w:bottom w:val="single" w:sz="4" w:space="0" w:color="auto"/>
            </w:tcBorders>
            <w:vAlign w:val="center"/>
            <w:hideMark/>
          </w:tcPr>
          <w:p w14:paraId="0346E0E7"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Adetooto</w:t>
            </w:r>
            <w:proofErr w:type="spellEnd"/>
            <w:r w:rsidRPr="000101C1">
              <w:rPr>
                <w:rFonts w:asciiTheme="majorBidi" w:hAnsiTheme="majorBidi" w:cstheme="majorBidi"/>
                <w:sz w:val="20"/>
                <w:szCs w:val="20"/>
              </w:rPr>
              <w:t xml:space="preserve"> et al. (2022)</w:t>
            </w:r>
          </w:p>
        </w:tc>
      </w:tr>
      <w:tr w:rsidR="000101C1" w:rsidRPr="000101C1" w14:paraId="782C0B5D" w14:textId="77777777" w:rsidTr="000101C1">
        <w:tc>
          <w:tcPr>
            <w:tcW w:w="0" w:type="auto"/>
            <w:tcMar>
              <w:top w:w="15" w:type="dxa"/>
              <w:left w:w="0" w:type="dxa"/>
              <w:bottom w:w="15" w:type="dxa"/>
              <w:right w:w="15" w:type="dxa"/>
            </w:tcMar>
            <w:vAlign w:val="center"/>
            <w:hideMark/>
          </w:tcPr>
          <w:p w14:paraId="0929EC6B"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285F7F77"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Activity zoning to ensure space independence while maintaining connectivity</w:t>
            </w:r>
          </w:p>
        </w:tc>
        <w:tc>
          <w:tcPr>
            <w:tcW w:w="0" w:type="auto"/>
            <w:tcBorders>
              <w:top w:val="single" w:sz="4" w:space="0" w:color="auto"/>
              <w:bottom w:val="single" w:sz="4" w:space="0" w:color="auto"/>
            </w:tcBorders>
            <w:vAlign w:val="center"/>
            <w:hideMark/>
          </w:tcPr>
          <w:p w14:paraId="72A9D3B7"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Buchanan et al. (2020)</w:t>
            </w:r>
          </w:p>
        </w:tc>
      </w:tr>
      <w:tr w:rsidR="000101C1" w:rsidRPr="000101C1" w14:paraId="3C24D180" w14:textId="77777777" w:rsidTr="000101C1">
        <w:tc>
          <w:tcPr>
            <w:tcW w:w="0" w:type="auto"/>
            <w:tcMar>
              <w:top w:w="15" w:type="dxa"/>
              <w:left w:w="0" w:type="dxa"/>
              <w:bottom w:w="15" w:type="dxa"/>
              <w:right w:w="15" w:type="dxa"/>
            </w:tcMar>
            <w:vAlign w:val="center"/>
            <w:hideMark/>
          </w:tcPr>
          <w:p w14:paraId="4CBCE09A"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05014A7E"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Creating spaces with height and plan integration principles</w:t>
            </w:r>
          </w:p>
        </w:tc>
        <w:tc>
          <w:tcPr>
            <w:tcW w:w="0" w:type="auto"/>
            <w:tcBorders>
              <w:top w:val="single" w:sz="4" w:space="0" w:color="auto"/>
              <w:bottom w:val="single" w:sz="4" w:space="0" w:color="auto"/>
            </w:tcBorders>
            <w:vAlign w:val="center"/>
            <w:hideMark/>
          </w:tcPr>
          <w:p w14:paraId="1D936F62"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Reid et al. (2020)</w:t>
            </w:r>
          </w:p>
        </w:tc>
      </w:tr>
      <w:tr w:rsidR="000101C1" w:rsidRPr="000101C1" w14:paraId="2605C9F3" w14:textId="77777777" w:rsidTr="000101C1">
        <w:tc>
          <w:tcPr>
            <w:tcW w:w="0" w:type="auto"/>
            <w:tcMar>
              <w:top w:w="15" w:type="dxa"/>
              <w:left w:w="0" w:type="dxa"/>
              <w:bottom w:w="15" w:type="dxa"/>
              <w:right w:w="15" w:type="dxa"/>
            </w:tcMar>
            <w:vAlign w:val="center"/>
            <w:hideMark/>
          </w:tcPr>
          <w:p w14:paraId="6B85FF9A"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0EABAA90"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Proper spatial organization</w:t>
            </w:r>
          </w:p>
        </w:tc>
        <w:tc>
          <w:tcPr>
            <w:tcW w:w="0" w:type="auto"/>
            <w:tcBorders>
              <w:top w:val="single" w:sz="4" w:space="0" w:color="auto"/>
              <w:bottom w:val="single" w:sz="4" w:space="0" w:color="auto"/>
            </w:tcBorders>
            <w:vAlign w:val="center"/>
            <w:hideMark/>
          </w:tcPr>
          <w:p w14:paraId="6ABB1447"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Adetooto</w:t>
            </w:r>
            <w:proofErr w:type="spellEnd"/>
            <w:r w:rsidRPr="000101C1">
              <w:rPr>
                <w:rFonts w:asciiTheme="majorBidi" w:hAnsiTheme="majorBidi" w:cstheme="majorBidi"/>
                <w:sz w:val="20"/>
                <w:szCs w:val="20"/>
              </w:rPr>
              <w:t xml:space="preserve"> et al. (2022)</w:t>
            </w:r>
          </w:p>
        </w:tc>
      </w:tr>
      <w:tr w:rsidR="000101C1" w:rsidRPr="000101C1" w14:paraId="10ECF3EB" w14:textId="77777777" w:rsidTr="000101C1">
        <w:tc>
          <w:tcPr>
            <w:tcW w:w="0" w:type="auto"/>
            <w:tcMar>
              <w:top w:w="15" w:type="dxa"/>
              <w:left w:w="0" w:type="dxa"/>
              <w:bottom w:w="15" w:type="dxa"/>
              <w:right w:w="15" w:type="dxa"/>
            </w:tcMar>
            <w:vAlign w:val="center"/>
            <w:hideMark/>
          </w:tcPr>
          <w:p w14:paraId="4721472B"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2B418EE"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Clarity of morphology</w:t>
            </w:r>
          </w:p>
        </w:tc>
        <w:tc>
          <w:tcPr>
            <w:tcW w:w="0" w:type="auto"/>
            <w:tcBorders>
              <w:top w:val="single" w:sz="4" w:space="0" w:color="auto"/>
              <w:bottom w:val="single" w:sz="4" w:space="0" w:color="auto"/>
            </w:tcBorders>
            <w:vAlign w:val="center"/>
            <w:hideMark/>
          </w:tcPr>
          <w:p w14:paraId="322D5A46"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Ebrahimi et al. (2022)</w:t>
            </w:r>
          </w:p>
        </w:tc>
      </w:tr>
      <w:tr w:rsidR="000101C1" w:rsidRPr="000101C1" w14:paraId="32A3DEDE" w14:textId="77777777" w:rsidTr="000101C1">
        <w:tc>
          <w:tcPr>
            <w:tcW w:w="0" w:type="auto"/>
            <w:tcMar>
              <w:top w:w="15" w:type="dxa"/>
              <w:left w:w="0" w:type="dxa"/>
              <w:bottom w:w="15" w:type="dxa"/>
              <w:right w:w="15" w:type="dxa"/>
            </w:tcMar>
            <w:vAlign w:val="center"/>
            <w:hideMark/>
          </w:tcPr>
          <w:p w14:paraId="6D563298"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1EDFE237"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Hierarchical spatial zoning</w:t>
            </w:r>
          </w:p>
        </w:tc>
        <w:tc>
          <w:tcPr>
            <w:tcW w:w="0" w:type="auto"/>
            <w:tcBorders>
              <w:top w:val="single" w:sz="4" w:space="0" w:color="auto"/>
              <w:bottom w:val="single" w:sz="4" w:space="0" w:color="auto"/>
            </w:tcBorders>
            <w:vAlign w:val="center"/>
            <w:hideMark/>
          </w:tcPr>
          <w:p w14:paraId="0DF6082A"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MacAskill et al. (2021), P1, P5</w:t>
            </w:r>
          </w:p>
        </w:tc>
      </w:tr>
      <w:tr w:rsidR="000101C1" w:rsidRPr="000101C1" w14:paraId="0780FC71" w14:textId="77777777" w:rsidTr="000101C1">
        <w:tc>
          <w:tcPr>
            <w:tcW w:w="0" w:type="auto"/>
            <w:tcMar>
              <w:top w:w="15" w:type="dxa"/>
              <w:left w:w="0" w:type="dxa"/>
              <w:bottom w:w="15" w:type="dxa"/>
              <w:right w:w="15" w:type="dxa"/>
            </w:tcMar>
            <w:vAlign w:val="center"/>
            <w:hideMark/>
          </w:tcPr>
          <w:p w14:paraId="53A9B98C"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314013F7"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Central placement of service and communication spaces for maximum living space efficiency</w:t>
            </w:r>
          </w:p>
        </w:tc>
        <w:tc>
          <w:tcPr>
            <w:tcW w:w="0" w:type="auto"/>
            <w:tcBorders>
              <w:top w:val="single" w:sz="4" w:space="0" w:color="auto"/>
              <w:bottom w:val="single" w:sz="4" w:space="0" w:color="auto"/>
            </w:tcBorders>
            <w:vAlign w:val="center"/>
            <w:hideMark/>
          </w:tcPr>
          <w:p w14:paraId="024AB7FC"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Ebrahimi et al. (2022)</w:t>
            </w:r>
          </w:p>
        </w:tc>
      </w:tr>
      <w:tr w:rsidR="000101C1" w:rsidRPr="000101C1" w14:paraId="3FB93B14" w14:textId="77777777" w:rsidTr="000101C1">
        <w:tc>
          <w:tcPr>
            <w:tcW w:w="0" w:type="auto"/>
            <w:tcMar>
              <w:top w:w="15" w:type="dxa"/>
              <w:left w:w="0" w:type="dxa"/>
              <w:bottom w:w="15" w:type="dxa"/>
              <w:right w:w="15" w:type="dxa"/>
            </w:tcMar>
            <w:vAlign w:val="center"/>
            <w:hideMark/>
          </w:tcPr>
          <w:p w14:paraId="7A612FE0"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7D769761"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Optimizing the number of modules for maximum usable area</w:t>
            </w:r>
          </w:p>
        </w:tc>
        <w:tc>
          <w:tcPr>
            <w:tcW w:w="0" w:type="auto"/>
            <w:tcBorders>
              <w:top w:val="single" w:sz="4" w:space="0" w:color="auto"/>
              <w:bottom w:val="single" w:sz="4" w:space="0" w:color="auto"/>
            </w:tcBorders>
            <w:vAlign w:val="center"/>
            <w:hideMark/>
          </w:tcPr>
          <w:p w14:paraId="499A4E43"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Buchanan et al. (2020)</w:t>
            </w:r>
          </w:p>
        </w:tc>
      </w:tr>
      <w:tr w:rsidR="000101C1" w:rsidRPr="000101C1" w14:paraId="293F68AF" w14:textId="77777777" w:rsidTr="00DD24AD">
        <w:tc>
          <w:tcPr>
            <w:tcW w:w="0" w:type="auto"/>
            <w:tcBorders>
              <w:bottom w:val="single" w:sz="4" w:space="0" w:color="auto"/>
            </w:tcBorders>
            <w:tcMar>
              <w:top w:w="15" w:type="dxa"/>
              <w:left w:w="0" w:type="dxa"/>
              <w:bottom w:w="15" w:type="dxa"/>
              <w:right w:w="15" w:type="dxa"/>
            </w:tcMar>
            <w:vAlign w:val="center"/>
            <w:hideMark/>
          </w:tcPr>
          <w:p w14:paraId="401C46D5"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17D627AF"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Use of BIM for structural, architectural, and MEP integration (virtual design and construction)</w:t>
            </w:r>
          </w:p>
        </w:tc>
        <w:tc>
          <w:tcPr>
            <w:tcW w:w="0" w:type="auto"/>
            <w:tcBorders>
              <w:top w:val="single" w:sz="4" w:space="0" w:color="auto"/>
              <w:bottom w:val="single" w:sz="4" w:space="0" w:color="auto"/>
            </w:tcBorders>
            <w:vAlign w:val="center"/>
            <w:hideMark/>
          </w:tcPr>
          <w:p w14:paraId="0DBD10EF"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Favilukis</w:t>
            </w:r>
            <w:proofErr w:type="spellEnd"/>
            <w:r w:rsidRPr="000101C1">
              <w:rPr>
                <w:rFonts w:asciiTheme="majorBidi" w:hAnsiTheme="majorBidi" w:cstheme="majorBidi"/>
                <w:sz w:val="20"/>
                <w:szCs w:val="20"/>
              </w:rPr>
              <w:t xml:space="preserve"> et al. (2023)</w:t>
            </w:r>
          </w:p>
        </w:tc>
      </w:tr>
      <w:tr w:rsidR="000101C1" w:rsidRPr="000101C1" w14:paraId="3AF7FC6E" w14:textId="77777777" w:rsidTr="00DD24AD">
        <w:tc>
          <w:tcPr>
            <w:tcW w:w="0" w:type="auto"/>
            <w:tcBorders>
              <w:top w:val="single" w:sz="4" w:space="0" w:color="auto"/>
            </w:tcBorders>
            <w:tcMar>
              <w:top w:w="15" w:type="dxa"/>
              <w:left w:w="0" w:type="dxa"/>
              <w:bottom w:w="15" w:type="dxa"/>
              <w:right w:w="15" w:type="dxa"/>
            </w:tcMar>
            <w:vAlign w:val="center"/>
            <w:hideMark/>
          </w:tcPr>
          <w:p w14:paraId="009FBC79"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Aesthetics and Preservation of Architectural Identity</w:t>
            </w:r>
          </w:p>
        </w:tc>
        <w:tc>
          <w:tcPr>
            <w:tcW w:w="0" w:type="auto"/>
            <w:tcBorders>
              <w:top w:val="single" w:sz="4" w:space="0" w:color="auto"/>
              <w:bottom w:val="single" w:sz="4" w:space="0" w:color="auto"/>
            </w:tcBorders>
            <w:vAlign w:val="center"/>
            <w:hideMark/>
          </w:tcPr>
          <w:p w14:paraId="0B0E1898"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Presence of flexible equipment</w:t>
            </w:r>
          </w:p>
        </w:tc>
        <w:tc>
          <w:tcPr>
            <w:tcW w:w="0" w:type="auto"/>
            <w:tcBorders>
              <w:top w:val="single" w:sz="4" w:space="0" w:color="auto"/>
              <w:bottom w:val="single" w:sz="4" w:space="0" w:color="auto"/>
            </w:tcBorders>
            <w:vAlign w:val="center"/>
            <w:hideMark/>
          </w:tcPr>
          <w:p w14:paraId="36D24042"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Brysch</w:t>
            </w:r>
            <w:proofErr w:type="spellEnd"/>
            <w:r w:rsidRPr="000101C1">
              <w:rPr>
                <w:rFonts w:asciiTheme="majorBidi" w:hAnsiTheme="majorBidi" w:cstheme="majorBidi"/>
                <w:sz w:val="20"/>
                <w:szCs w:val="20"/>
              </w:rPr>
              <w:t xml:space="preserve"> &amp; </w:t>
            </w:r>
            <w:proofErr w:type="spellStart"/>
            <w:r w:rsidRPr="000101C1">
              <w:rPr>
                <w:rFonts w:asciiTheme="majorBidi" w:hAnsiTheme="majorBidi" w:cstheme="majorBidi"/>
                <w:sz w:val="20"/>
                <w:szCs w:val="20"/>
              </w:rPr>
              <w:t>Czischke</w:t>
            </w:r>
            <w:proofErr w:type="spellEnd"/>
            <w:r w:rsidRPr="000101C1">
              <w:rPr>
                <w:rFonts w:asciiTheme="majorBidi" w:hAnsiTheme="majorBidi" w:cstheme="majorBidi"/>
                <w:sz w:val="20"/>
                <w:szCs w:val="20"/>
              </w:rPr>
              <w:t xml:space="preserve"> (2022)</w:t>
            </w:r>
          </w:p>
        </w:tc>
      </w:tr>
      <w:tr w:rsidR="000101C1" w:rsidRPr="000101C1" w14:paraId="0D90351B" w14:textId="77777777" w:rsidTr="000101C1">
        <w:tc>
          <w:tcPr>
            <w:tcW w:w="0" w:type="auto"/>
            <w:tcMar>
              <w:top w:w="15" w:type="dxa"/>
              <w:left w:w="0" w:type="dxa"/>
              <w:bottom w:w="15" w:type="dxa"/>
              <w:right w:w="15" w:type="dxa"/>
            </w:tcMar>
            <w:vAlign w:val="center"/>
            <w:hideMark/>
          </w:tcPr>
          <w:p w14:paraId="569BDF07"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34C7EBEE"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Use of flexible furniture</w:t>
            </w:r>
          </w:p>
        </w:tc>
        <w:tc>
          <w:tcPr>
            <w:tcW w:w="0" w:type="auto"/>
            <w:tcBorders>
              <w:top w:val="single" w:sz="4" w:space="0" w:color="auto"/>
              <w:bottom w:val="single" w:sz="4" w:space="0" w:color="auto"/>
            </w:tcBorders>
            <w:vAlign w:val="center"/>
            <w:hideMark/>
          </w:tcPr>
          <w:p w14:paraId="74B2E1E0"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Han et al. (2021)</w:t>
            </w:r>
          </w:p>
        </w:tc>
      </w:tr>
      <w:tr w:rsidR="000101C1" w:rsidRPr="000101C1" w14:paraId="74F60802" w14:textId="77777777" w:rsidTr="000101C1">
        <w:tc>
          <w:tcPr>
            <w:tcW w:w="0" w:type="auto"/>
            <w:tcMar>
              <w:top w:w="15" w:type="dxa"/>
              <w:left w:w="0" w:type="dxa"/>
              <w:bottom w:w="15" w:type="dxa"/>
              <w:right w:w="15" w:type="dxa"/>
            </w:tcMar>
            <w:vAlign w:val="center"/>
            <w:hideMark/>
          </w:tcPr>
          <w:p w14:paraId="7052017B"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150FC020"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Proper spatial organization</w:t>
            </w:r>
          </w:p>
        </w:tc>
        <w:tc>
          <w:tcPr>
            <w:tcW w:w="0" w:type="auto"/>
            <w:tcBorders>
              <w:top w:val="single" w:sz="4" w:space="0" w:color="auto"/>
              <w:bottom w:val="single" w:sz="4" w:space="0" w:color="auto"/>
            </w:tcBorders>
            <w:vAlign w:val="center"/>
            <w:hideMark/>
          </w:tcPr>
          <w:p w14:paraId="184A4998"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Reid et al. (2020)</w:t>
            </w:r>
          </w:p>
        </w:tc>
      </w:tr>
      <w:tr w:rsidR="000101C1" w:rsidRPr="000101C1" w14:paraId="644E78DE" w14:textId="77777777" w:rsidTr="000101C1">
        <w:tc>
          <w:tcPr>
            <w:tcW w:w="0" w:type="auto"/>
            <w:tcMar>
              <w:top w:w="15" w:type="dxa"/>
              <w:left w:w="0" w:type="dxa"/>
              <w:bottom w:w="15" w:type="dxa"/>
              <w:right w:w="15" w:type="dxa"/>
            </w:tcMar>
            <w:vAlign w:val="center"/>
            <w:hideMark/>
          </w:tcPr>
          <w:p w14:paraId="1D9E32FC"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5916A392"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Clarity of morphology</w:t>
            </w:r>
          </w:p>
        </w:tc>
        <w:tc>
          <w:tcPr>
            <w:tcW w:w="0" w:type="auto"/>
            <w:tcBorders>
              <w:top w:val="single" w:sz="4" w:space="0" w:color="auto"/>
              <w:bottom w:val="single" w:sz="4" w:space="0" w:color="auto"/>
            </w:tcBorders>
            <w:vAlign w:val="center"/>
            <w:hideMark/>
          </w:tcPr>
          <w:p w14:paraId="548DF074"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MacAskill et al. (2021)</w:t>
            </w:r>
          </w:p>
        </w:tc>
      </w:tr>
      <w:tr w:rsidR="000101C1" w:rsidRPr="000101C1" w14:paraId="0ABD2716" w14:textId="77777777" w:rsidTr="000101C1">
        <w:tc>
          <w:tcPr>
            <w:tcW w:w="0" w:type="auto"/>
            <w:tcMar>
              <w:top w:w="15" w:type="dxa"/>
              <w:left w:w="0" w:type="dxa"/>
              <w:bottom w:w="15" w:type="dxa"/>
              <w:right w:w="15" w:type="dxa"/>
            </w:tcMar>
            <w:vAlign w:val="center"/>
            <w:hideMark/>
          </w:tcPr>
          <w:p w14:paraId="317FB79D"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0BB3C925"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Hierarchical spatial zoning</w:t>
            </w:r>
          </w:p>
        </w:tc>
        <w:tc>
          <w:tcPr>
            <w:tcW w:w="0" w:type="auto"/>
            <w:tcBorders>
              <w:top w:val="single" w:sz="4" w:space="0" w:color="auto"/>
              <w:bottom w:val="single" w:sz="4" w:space="0" w:color="auto"/>
            </w:tcBorders>
            <w:vAlign w:val="center"/>
            <w:hideMark/>
          </w:tcPr>
          <w:p w14:paraId="0B385262"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Favilukis</w:t>
            </w:r>
            <w:proofErr w:type="spellEnd"/>
            <w:r w:rsidRPr="000101C1">
              <w:rPr>
                <w:rFonts w:asciiTheme="majorBidi" w:hAnsiTheme="majorBidi" w:cstheme="majorBidi"/>
                <w:sz w:val="20"/>
                <w:szCs w:val="20"/>
              </w:rPr>
              <w:t xml:space="preserve"> et al. (2023)</w:t>
            </w:r>
          </w:p>
        </w:tc>
      </w:tr>
      <w:tr w:rsidR="000101C1" w:rsidRPr="000101C1" w14:paraId="7C25DA81" w14:textId="77777777" w:rsidTr="00DD24AD">
        <w:tc>
          <w:tcPr>
            <w:tcW w:w="0" w:type="auto"/>
            <w:tcBorders>
              <w:bottom w:val="single" w:sz="4" w:space="0" w:color="auto"/>
            </w:tcBorders>
            <w:tcMar>
              <w:top w:w="15" w:type="dxa"/>
              <w:left w:w="0" w:type="dxa"/>
              <w:bottom w:w="15" w:type="dxa"/>
              <w:right w:w="15" w:type="dxa"/>
            </w:tcMar>
            <w:vAlign w:val="center"/>
            <w:hideMark/>
          </w:tcPr>
          <w:p w14:paraId="15913449"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7E8F9E52"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Meeting spatial standards using anthropometric standards</w:t>
            </w:r>
          </w:p>
        </w:tc>
        <w:tc>
          <w:tcPr>
            <w:tcW w:w="0" w:type="auto"/>
            <w:tcBorders>
              <w:top w:val="single" w:sz="4" w:space="0" w:color="auto"/>
              <w:bottom w:val="single" w:sz="4" w:space="0" w:color="auto"/>
            </w:tcBorders>
            <w:vAlign w:val="center"/>
            <w:hideMark/>
          </w:tcPr>
          <w:p w14:paraId="66B9ACC4"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Jegede &amp; Taki (2022)</w:t>
            </w:r>
          </w:p>
        </w:tc>
      </w:tr>
      <w:tr w:rsidR="000101C1" w:rsidRPr="000101C1" w14:paraId="248601F6" w14:textId="77777777" w:rsidTr="00DD24AD">
        <w:tc>
          <w:tcPr>
            <w:tcW w:w="0" w:type="auto"/>
            <w:tcBorders>
              <w:top w:val="single" w:sz="4" w:space="0" w:color="auto"/>
            </w:tcBorders>
            <w:tcMar>
              <w:top w:w="15" w:type="dxa"/>
              <w:left w:w="0" w:type="dxa"/>
              <w:bottom w:w="15" w:type="dxa"/>
              <w:right w:w="15" w:type="dxa"/>
            </w:tcMar>
            <w:vAlign w:val="center"/>
            <w:hideMark/>
          </w:tcPr>
          <w:p w14:paraId="533C7801"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Strengthening Neighborhood Relations and Social Interaction</w:t>
            </w:r>
          </w:p>
        </w:tc>
        <w:tc>
          <w:tcPr>
            <w:tcW w:w="0" w:type="auto"/>
            <w:tcBorders>
              <w:top w:val="single" w:sz="4" w:space="0" w:color="auto"/>
              <w:bottom w:val="single" w:sz="4" w:space="0" w:color="auto"/>
            </w:tcBorders>
            <w:vAlign w:val="center"/>
            <w:hideMark/>
          </w:tcPr>
          <w:p w14:paraId="51D4A2FE"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Simplifying unit shapes</w:t>
            </w:r>
          </w:p>
        </w:tc>
        <w:tc>
          <w:tcPr>
            <w:tcW w:w="0" w:type="auto"/>
            <w:tcBorders>
              <w:top w:val="single" w:sz="4" w:space="0" w:color="auto"/>
              <w:bottom w:val="single" w:sz="4" w:space="0" w:color="auto"/>
            </w:tcBorders>
            <w:vAlign w:val="center"/>
            <w:hideMark/>
          </w:tcPr>
          <w:p w14:paraId="657DC1F0"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Buchanan et al. (2020), P3</w:t>
            </w:r>
          </w:p>
        </w:tc>
      </w:tr>
      <w:tr w:rsidR="000101C1" w:rsidRPr="000101C1" w14:paraId="23F03B91" w14:textId="77777777" w:rsidTr="000101C1">
        <w:tc>
          <w:tcPr>
            <w:tcW w:w="0" w:type="auto"/>
            <w:tcMar>
              <w:top w:w="15" w:type="dxa"/>
              <w:left w:w="0" w:type="dxa"/>
              <w:bottom w:w="15" w:type="dxa"/>
              <w:right w:w="15" w:type="dxa"/>
            </w:tcMar>
            <w:vAlign w:val="center"/>
            <w:hideMark/>
          </w:tcPr>
          <w:p w14:paraId="4405F1D0"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331AA24A"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Proper spatial organization</w:t>
            </w:r>
          </w:p>
        </w:tc>
        <w:tc>
          <w:tcPr>
            <w:tcW w:w="0" w:type="auto"/>
            <w:tcBorders>
              <w:top w:val="single" w:sz="4" w:space="0" w:color="auto"/>
              <w:bottom w:val="single" w:sz="4" w:space="0" w:color="auto"/>
            </w:tcBorders>
            <w:vAlign w:val="center"/>
            <w:hideMark/>
          </w:tcPr>
          <w:p w14:paraId="1FD0AFAD"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Do (2024)</w:t>
            </w:r>
          </w:p>
        </w:tc>
      </w:tr>
      <w:tr w:rsidR="000101C1" w:rsidRPr="000101C1" w14:paraId="5111250C" w14:textId="77777777" w:rsidTr="000101C1">
        <w:tc>
          <w:tcPr>
            <w:tcW w:w="0" w:type="auto"/>
            <w:tcMar>
              <w:top w:w="15" w:type="dxa"/>
              <w:left w:w="0" w:type="dxa"/>
              <w:bottom w:w="15" w:type="dxa"/>
              <w:right w:w="15" w:type="dxa"/>
            </w:tcMar>
            <w:vAlign w:val="center"/>
            <w:hideMark/>
          </w:tcPr>
          <w:p w14:paraId="5229FA99"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2F7FA004"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Clarity of morphology</w:t>
            </w:r>
          </w:p>
        </w:tc>
        <w:tc>
          <w:tcPr>
            <w:tcW w:w="0" w:type="auto"/>
            <w:tcBorders>
              <w:top w:val="single" w:sz="4" w:space="0" w:color="auto"/>
              <w:bottom w:val="single" w:sz="4" w:space="0" w:color="auto"/>
            </w:tcBorders>
            <w:vAlign w:val="center"/>
            <w:hideMark/>
          </w:tcPr>
          <w:p w14:paraId="4E2A8A86"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Ebrahimi et al. (2022)</w:t>
            </w:r>
          </w:p>
        </w:tc>
      </w:tr>
      <w:tr w:rsidR="000101C1" w:rsidRPr="000101C1" w14:paraId="102ED163" w14:textId="77777777" w:rsidTr="000101C1">
        <w:tc>
          <w:tcPr>
            <w:tcW w:w="0" w:type="auto"/>
            <w:tcMar>
              <w:top w:w="15" w:type="dxa"/>
              <w:left w:w="0" w:type="dxa"/>
              <w:bottom w:w="15" w:type="dxa"/>
              <w:right w:w="15" w:type="dxa"/>
            </w:tcMar>
            <w:vAlign w:val="center"/>
            <w:hideMark/>
          </w:tcPr>
          <w:p w14:paraId="19C72C8E"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09050C58"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Meeting spatial standards using anthropometric standards</w:t>
            </w:r>
          </w:p>
        </w:tc>
        <w:tc>
          <w:tcPr>
            <w:tcW w:w="0" w:type="auto"/>
            <w:tcBorders>
              <w:top w:val="single" w:sz="4" w:space="0" w:color="auto"/>
              <w:bottom w:val="single" w:sz="4" w:space="0" w:color="auto"/>
            </w:tcBorders>
            <w:vAlign w:val="center"/>
            <w:hideMark/>
          </w:tcPr>
          <w:p w14:paraId="21B74DC2"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 xml:space="preserve">Rubin &amp; </w:t>
            </w:r>
            <w:proofErr w:type="spellStart"/>
            <w:r w:rsidRPr="000101C1">
              <w:rPr>
                <w:rFonts w:asciiTheme="majorBidi" w:hAnsiTheme="majorBidi" w:cstheme="majorBidi"/>
                <w:sz w:val="20"/>
                <w:szCs w:val="20"/>
              </w:rPr>
              <w:t>Ponsor</w:t>
            </w:r>
            <w:proofErr w:type="spellEnd"/>
            <w:r w:rsidRPr="000101C1">
              <w:rPr>
                <w:rFonts w:asciiTheme="majorBidi" w:hAnsiTheme="majorBidi" w:cstheme="majorBidi"/>
                <w:sz w:val="20"/>
                <w:szCs w:val="20"/>
              </w:rPr>
              <w:t xml:space="preserve"> (2018)</w:t>
            </w:r>
          </w:p>
        </w:tc>
      </w:tr>
      <w:tr w:rsidR="000101C1" w:rsidRPr="000101C1" w14:paraId="3C64348C" w14:textId="77777777" w:rsidTr="000101C1">
        <w:tc>
          <w:tcPr>
            <w:tcW w:w="0" w:type="auto"/>
            <w:tcBorders>
              <w:bottom w:val="single" w:sz="4" w:space="0" w:color="auto"/>
            </w:tcBorders>
            <w:tcMar>
              <w:top w:w="15" w:type="dxa"/>
              <w:left w:w="0" w:type="dxa"/>
              <w:bottom w:w="15" w:type="dxa"/>
              <w:right w:w="15" w:type="dxa"/>
            </w:tcMar>
            <w:vAlign w:val="center"/>
            <w:hideMark/>
          </w:tcPr>
          <w:p w14:paraId="6F23887F"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41385F8E"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Dimensional standardization</w:t>
            </w:r>
          </w:p>
        </w:tc>
        <w:tc>
          <w:tcPr>
            <w:tcW w:w="0" w:type="auto"/>
            <w:tcBorders>
              <w:top w:val="single" w:sz="4" w:space="0" w:color="auto"/>
              <w:bottom w:val="single" w:sz="4" w:space="0" w:color="auto"/>
            </w:tcBorders>
            <w:vAlign w:val="center"/>
            <w:hideMark/>
          </w:tcPr>
          <w:p w14:paraId="2AB6A853"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Favilukis</w:t>
            </w:r>
            <w:proofErr w:type="spellEnd"/>
            <w:r w:rsidRPr="000101C1">
              <w:rPr>
                <w:rFonts w:asciiTheme="majorBidi" w:hAnsiTheme="majorBidi" w:cstheme="majorBidi"/>
                <w:sz w:val="20"/>
                <w:szCs w:val="20"/>
              </w:rPr>
              <w:t xml:space="preserve"> et al. (2023)</w:t>
            </w:r>
          </w:p>
        </w:tc>
      </w:tr>
      <w:tr w:rsidR="000101C1" w:rsidRPr="000101C1" w14:paraId="2D0DD10D" w14:textId="77777777" w:rsidTr="000101C1">
        <w:tc>
          <w:tcPr>
            <w:tcW w:w="0" w:type="auto"/>
            <w:tcBorders>
              <w:top w:val="single" w:sz="4" w:space="0" w:color="auto"/>
            </w:tcBorders>
            <w:tcMar>
              <w:top w:w="15" w:type="dxa"/>
              <w:left w:w="0" w:type="dxa"/>
              <w:bottom w:w="15" w:type="dxa"/>
              <w:right w:w="15" w:type="dxa"/>
            </w:tcMar>
            <w:vAlign w:val="center"/>
            <w:hideMark/>
          </w:tcPr>
          <w:p w14:paraId="6B40A1C5"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Use of Modern Technologies in Construction and Design</w:t>
            </w:r>
          </w:p>
        </w:tc>
        <w:tc>
          <w:tcPr>
            <w:tcW w:w="0" w:type="auto"/>
            <w:tcBorders>
              <w:top w:val="single" w:sz="4" w:space="0" w:color="auto"/>
              <w:bottom w:val="single" w:sz="4" w:space="0" w:color="auto"/>
            </w:tcBorders>
            <w:vAlign w:val="center"/>
            <w:hideMark/>
          </w:tcPr>
          <w:p w14:paraId="298AE446"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Standardization of elements</w:t>
            </w:r>
          </w:p>
        </w:tc>
        <w:tc>
          <w:tcPr>
            <w:tcW w:w="0" w:type="auto"/>
            <w:tcBorders>
              <w:top w:val="single" w:sz="4" w:space="0" w:color="auto"/>
              <w:bottom w:val="single" w:sz="4" w:space="0" w:color="auto"/>
            </w:tcBorders>
            <w:vAlign w:val="center"/>
            <w:hideMark/>
          </w:tcPr>
          <w:p w14:paraId="506425E0"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 xml:space="preserve">Rubin &amp; </w:t>
            </w:r>
            <w:proofErr w:type="spellStart"/>
            <w:r w:rsidRPr="000101C1">
              <w:rPr>
                <w:rFonts w:asciiTheme="majorBidi" w:hAnsiTheme="majorBidi" w:cstheme="majorBidi"/>
                <w:sz w:val="20"/>
                <w:szCs w:val="20"/>
              </w:rPr>
              <w:t>Ponsor</w:t>
            </w:r>
            <w:proofErr w:type="spellEnd"/>
            <w:r w:rsidRPr="000101C1">
              <w:rPr>
                <w:rFonts w:asciiTheme="majorBidi" w:hAnsiTheme="majorBidi" w:cstheme="majorBidi"/>
                <w:sz w:val="20"/>
                <w:szCs w:val="20"/>
              </w:rPr>
              <w:t xml:space="preserve"> (2018), P4, P5</w:t>
            </w:r>
          </w:p>
        </w:tc>
      </w:tr>
      <w:tr w:rsidR="000101C1" w:rsidRPr="000101C1" w14:paraId="6B01DE9E" w14:textId="77777777" w:rsidTr="000101C1">
        <w:tc>
          <w:tcPr>
            <w:tcW w:w="0" w:type="auto"/>
            <w:tcMar>
              <w:top w:w="15" w:type="dxa"/>
              <w:left w:w="0" w:type="dxa"/>
              <w:bottom w:w="15" w:type="dxa"/>
              <w:right w:w="15" w:type="dxa"/>
            </w:tcMar>
            <w:vAlign w:val="center"/>
            <w:hideMark/>
          </w:tcPr>
          <w:p w14:paraId="0619AEED"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22586D5A"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Plans for partitioning spaces for combined uses</w:t>
            </w:r>
          </w:p>
        </w:tc>
        <w:tc>
          <w:tcPr>
            <w:tcW w:w="0" w:type="auto"/>
            <w:tcBorders>
              <w:top w:val="single" w:sz="4" w:space="0" w:color="auto"/>
              <w:bottom w:val="single" w:sz="4" w:space="0" w:color="auto"/>
            </w:tcBorders>
            <w:vAlign w:val="center"/>
            <w:hideMark/>
          </w:tcPr>
          <w:p w14:paraId="3567D277"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Do (2024)</w:t>
            </w:r>
          </w:p>
        </w:tc>
      </w:tr>
      <w:tr w:rsidR="000101C1" w:rsidRPr="000101C1" w14:paraId="6DE45507" w14:textId="77777777" w:rsidTr="000101C1">
        <w:tc>
          <w:tcPr>
            <w:tcW w:w="0" w:type="auto"/>
            <w:tcMar>
              <w:top w:w="15" w:type="dxa"/>
              <w:left w:w="0" w:type="dxa"/>
              <w:bottom w:w="15" w:type="dxa"/>
              <w:right w:w="15" w:type="dxa"/>
            </w:tcMar>
            <w:vAlign w:val="center"/>
            <w:hideMark/>
          </w:tcPr>
          <w:p w14:paraId="41C646DD"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E9962AD"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Central placement of service and communication spaces for maximum living space efficiency</w:t>
            </w:r>
          </w:p>
        </w:tc>
        <w:tc>
          <w:tcPr>
            <w:tcW w:w="0" w:type="auto"/>
            <w:tcBorders>
              <w:top w:val="single" w:sz="4" w:space="0" w:color="auto"/>
              <w:bottom w:val="single" w:sz="4" w:space="0" w:color="auto"/>
            </w:tcBorders>
            <w:vAlign w:val="center"/>
            <w:hideMark/>
          </w:tcPr>
          <w:p w14:paraId="0D6B7140"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Ebrahimi et al. (2022)</w:t>
            </w:r>
          </w:p>
        </w:tc>
      </w:tr>
      <w:tr w:rsidR="000101C1" w:rsidRPr="000101C1" w14:paraId="693D2DEA" w14:textId="77777777" w:rsidTr="000101C1">
        <w:tc>
          <w:tcPr>
            <w:tcW w:w="0" w:type="auto"/>
            <w:tcMar>
              <w:top w:w="15" w:type="dxa"/>
              <w:left w:w="0" w:type="dxa"/>
              <w:bottom w:w="15" w:type="dxa"/>
              <w:right w:w="15" w:type="dxa"/>
            </w:tcMar>
            <w:vAlign w:val="center"/>
            <w:hideMark/>
          </w:tcPr>
          <w:p w14:paraId="6B9ED0E5"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46C0DC00"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Optimizing the number of modules for maximum usable area</w:t>
            </w:r>
          </w:p>
        </w:tc>
        <w:tc>
          <w:tcPr>
            <w:tcW w:w="0" w:type="auto"/>
            <w:tcBorders>
              <w:top w:val="single" w:sz="4" w:space="0" w:color="auto"/>
              <w:bottom w:val="single" w:sz="4" w:space="0" w:color="auto"/>
            </w:tcBorders>
            <w:vAlign w:val="center"/>
            <w:hideMark/>
          </w:tcPr>
          <w:p w14:paraId="6FC4BABF"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Brysch</w:t>
            </w:r>
            <w:proofErr w:type="spellEnd"/>
            <w:r w:rsidRPr="000101C1">
              <w:rPr>
                <w:rFonts w:asciiTheme="majorBidi" w:hAnsiTheme="majorBidi" w:cstheme="majorBidi"/>
                <w:sz w:val="20"/>
                <w:szCs w:val="20"/>
              </w:rPr>
              <w:t xml:space="preserve"> &amp; </w:t>
            </w:r>
            <w:proofErr w:type="spellStart"/>
            <w:r w:rsidRPr="000101C1">
              <w:rPr>
                <w:rFonts w:asciiTheme="majorBidi" w:hAnsiTheme="majorBidi" w:cstheme="majorBidi"/>
                <w:sz w:val="20"/>
                <w:szCs w:val="20"/>
              </w:rPr>
              <w:t>Czischke</w:t>
            </w:r>
            <w:proofErr w:type="spellEnd"/>
            <w:r w:rsidRPr="000101C1">
              <w:rPr>
                <w:rFonts w:asciiTheme="majorBidi" w:hAnsiTheme="majorBidi" w:cstheme="majorBidi"/>
                <w:sz w:val="20"/>
                <w:szCs w:val="20"/>
              </w:rPr>
              <w:t xml:space="preserve"> (2022)</w:t>
            </w:r>
          </w:p>
        </w:tc>
      </w:tr>
      <w:tr w:rsidR="000101C1" w:rsidRPr="000101C1" w14:paraId="1272B31F" w14:textId="77777777" w:rsidTr="000101C1">
        <w:tc>
          <w:tcPr>
            <w:tcW w:w="0" w:type="auto"/>
            <w:tcMar>
              <w:top w:w="15" w:type="dxa"/>
              <w:left w:w="0" w:type="dxa"/>
              <w:bottom w:w="15" w:type="dxa"/>
              <w:right w:w="15" w:type="dxa"/>
            </w:tcMar>
            <w:vAlign w:val="center"/>
            <w:hideMark/>
          </w:tcPr>
          <w:p w14:paraId="6B176603"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7BB17287"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Optimizing the number of modules for maximum usable area</w:t>
            </w:r>
          </w:p>
        </w:tc>
        <w:tc>
          <w:tcPr>
            <w:tcW w:w="0" w:type="auto"/>
            <w:tcBorders>
              <w:top w:val="single" w:sz="4" w:space="0" w:color="auto"/>
              <w:bottom w:val="single" w:sz="4" w:space="0" w:color="auto"/>
            </w:tcBorders>
            <w:vAlign w:val="center"/>
            <w:hideMark/>
          </w:tcPr>
          <w:p w14:paraId="6183A58B"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Reid et al. (2020)</w:t>
            </w:r>
          </w:p>
        </w:tc>
      </w:tr>
      <w:tr w:rsidR="000101C1" w:rsidRPr="000101C1" w14:paraId="49A21753" w14:textId="77777777" w:rsidTr="000101C1">
        <w:tc>
          <w:tcPr>
            <w:tcW w:w="0" w:type="auto"/>
            <w:tcMar>
              <w:top w:w="15" w:type="dxa"/>
              <w:left w:w="0" w:type="dxa"/>
              <w:bottom w:w="15" w:type="dxa"/>
              <w:right w:w="15" w:type="dxa"/>
            </w:tcMar>
            <w:vAlign w:val="center"/>
            <w:hideMark/>
          </w:tcPr>
          <w:p w14:paraId="554E55C5"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393D5888"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Use of BIM for structural, architectural, and MEP integration (virtual design and construction)</w:t>
            </w:r>
          </w:p>
        </w:tc>
        <w:tc>
          <w:tcPr>
            <w:tcW w:w="0" w:type="auto"/>
            <w:tcBorders>
              <w:top w:val="single" w:sz="4" w:space="0" w:color="auto"/>
              <w:bottom w:val="single" w:sz="4" w:space="0" w:color="auto"/>
            </w:tcBorders>
            <w:vAlign w:val="center"/>
            <w:hideMark/>
          </w:tcPr>
          <w:p w14:paraId="017A3DD0"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 xml:space="preserve">Okereke &amp; </w:t>
            </w:r>
            <w:proofErr w:type="spellStart"/>
            <w:r w:rsidRPr="000101C1">
              <w:rPr>
                <w:rFonts w:asciiTheme="majorBidi" w:hAnsiTheme="majorBidi" w:cstheme="majorBidi"/>
                <w:sz w:val="20"/>
                <w:szCs w:val="20"/>
              </w:rPr>
              <w:t>Okanya</w:t>
            </w:r>
            <w:proofErr w:type="spellEnd"/>
            <w:r w:rsidRPr="000101C1">
              <w:rPr>
                <w:rFonts w:asciiTheme="majorBidi" w:hAnsiTheme="majorBidi" w:cstheme="majorBidi"/>
                <w:sz w:val="20"/>
                <w:szCs w:val="20"/>
              </w:rPr>
              <w:t xml:space="preserve"> (2024)</w:t>
            </w:r>
          </w:p>
        </w:tc>
      </w:tr>
      <w:tr w:rsidR="000101C1" w:rsidRPr="000101C1" w14:paraId="1559CD69" w14:textId="77777777" w:rsidTr="000101C1">
        <w:tc>
          <w:tcPr>
            <w:tcW w:w="0" w:type="auto"/>
            <w:tcMar>
              <w:top w:w="15" w:type="dxa"/>
              <w:left w:w="0" w:type="dxa"/>
              <w:bottom w:w="15" w:type="dxa"/>
              <w:right w:w="15" w:type="dxa"/>
            </w:tcMar>
            <w:vAlign w:val="center"/>
            <w:hideMark/>
          </w:tcPr>
          <w:p w14:paraId="6A659EEC"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578EABE2"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User-centric and people-oriented approach</w:t>
            </w:r>
          </w:p>
        </w:tc>
        <w:tc>
          <w:tcPr>
            <w:tcW w:w="0" w:type="auto"/>
            <w:tcBorders>
              <w:top w:val="single" w:sz="4" w:space="0" w:color="auto"/>
              <w:bottom w:val="single" w:sz="4" w:space="0" w:color="auto"/>
            </w:tcBorders>
            <w:vAlign w:val="center"/>
            <w:hideMark/>
          </w:tcPr>
          <w:p w14:paraId="1764E960"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Zapaśnik</w:t>
            </w:r>
            <w:proofErr w:type="spellEnd"/>
            <w:r w:rsidRPr="000101C1">
              <w:rPr>
                <w:rFonts w:asciiTheme="majorBidi" w:hAnsiTheme="majorBidi" w:cstheme="majorBidi"/>
                <w:sz w:val="20"/>
                <w:szCs w:val="20"/>
              </w:rPr>
              <w:t xml:space="preserve"> (2024)</w:t>
            </w:r>
          </w:p>
        </w:tc>
      </w:tr>
      <w:tr w:rsidR="000101C1" w:rsidRPr="000101C1" w14:paraId="6EA2391A" w14:textId="77777777" w:rsidTr="000101C1">
        <w:tc>
          <w:tcPr>
            <w:tcW w:w="0" w:type="auto"/>
            <w:tcBorders>
              <w:bottom w:val="single" w:sz="4" w:space="0" w:color="auto"/>
            </w:tcBorders>
            <w:tcMar>
              <w:top w:w="15" w:type="dxa"/>
              <w:left w:w="0" w:type="dxa"/>
              <w:bottom w:w="15" w:type="dxa"/>
              <w:right w:w="15" w:type="dxa"/>
            </w:tcMar>
            <w:vAlign w:val="center"/>
            <w:hideMark/>
          </w:tcPr>
          <w:p w14:paraId="3129FE33"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3309C830"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Addressing the needs of individuals with disabilities (e.g., blind, deaf)</w:t>
            </w:r>
          </w:p>
        </w:tc>
        <w:tc>
          <w:tcPr>
            <w:tcW w:w="0" w:type="auto"/>
            <w:tcBorders>
              <w:top w:val="single" w:sz="4" w:space="0" w:color="auto"/>
              <w:bottom w:val="single" w:sz="4" w:space="0" w:color="auto"/>
            </w:tcBorders>
            <w:vAlign w:val="center"/>
            <w:hideMark/>
          </w:tcPr>
          <w:p w14:paraId="1951B53A"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 xml:space="preserve">Okereke &amp; </w:t>
            </w:r>
            <w:proofErr w:type="spellStart"/>
            <w:r w:rsidRPr="000101C1">
              <w:rPr>
                <w:rFonts w:asciiTheme="majorBidi" w:hAnsiTheme="majorBidi" w:cstheme="majorBidi"/>
                <w:sz w:val="20"/>
                <w:szCs w:val="20"/>
              </w:rPr>
              <w:t>Okanya</w:t>
            </w:r>
            <w:proofErr w:type="spellEnd"/>
            <w:r w:rsidRPr="000101C1">
              <w:rPr>
                <w:rFonts w:asciiTheme="majorBidi" w:hAnsiTheme="majorBidi" w:cstheme="majorBidi"/>
                <w:sz w:val="20"/>
                <w:szCs w:val="20"/>
              </w:rPr>
              <w:t xml:space="preserve"> (2024)</w:t>
            </w:r>
          </w:p>
        </w:tc>
      </w:tr>
      <w:tr w:rsidR="000101C1" w:rsidRPr="000101C1" w14:paraId="77924731" w14:textId="77777777" w:rsidTr="000101C1">
        <w:tc>
          <w:tcPr>
            <w:tcW w:w="0" w:type="auto"/>
            <w:tcBorders>
              <w:top w:val="single" w:sz="4" w:space="0" w:color="auto"/>
            </w:tcBorders>
            <w:tcMar>
              <w:top w:w="15" w:type="dxa"/>
              <w:left w:w="0" w:type="dxa"/>
              <w:bottom w:w="15" w:type="dxa"/>
              <w:right w:w="15" w:type="dxa"/>
            </w:tcMar>
            <w:vAlign w:val="center"/>
            <w:hideMark/>
          </w:tcPr>
          <w:p w14:paraId="60757BC7"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Safety and Building Resilience</w:t>
            </w:r>
          </w:p>
        </w:tc>
        <w:tc>
          <w:tcPr>
            <w:tcW w:w="0" w:type="auto"/>
            <w:tcBorders>
              <w:top w:val="single" w:sz="4" w:space="0" w:color="auto"/>
              <w:bottom w:val="single" w:sz="4" w:space="0" w:color="auto"/>
            </w:tcBorders>
            <w:vAlign w:val="center"/>
            <w:hideMark/>
          </w:tcPr>
          <w:p w14:paraId="161A5956"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Simplifying unit shapes</w:t>
            </w:r>
          </w:p>
        </w:tc>
        <w:tc>
          <w:tcPr>
            <w:tcW w:w="0" w:type="auto"/>
            <w:tcBorders>
              <w:top w:val="single" w:sz="4" w:space="0" w:color="auto"/>
              <w:bottom w:val="single" w:sz="4" w:space="0" w:color="auto"/>
            </w:tcBorders>
            <w:vAlign w:val="center"/>
            <w:hideMark/>
          </w:tcPr>
          <w:p w14:paraId="0BE1FC21"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Brysch</w:t>
            </w:r>
            <w:proofErr w:type="spellEnd"/>
            <w:r w:rsidRPr="000101C1">
              <w:rPr>
                <w:rFonts w:asciiTheme="majorBidi" w:hAnsiTheme="majorBidi" w:cstheme="majorBidi"/>
                <w:sz w:val="20"/>
                <w:szCs w:val="20"/>
              </w:rPr>
              <w:t xml:space="preserve"> &amp; </w:t>
            </w:r>
            <w:proofErr w:type="spellStart"/>
            <w:r w:rsidRPr="000101C1">
              <w:rPr>
                <w:rFonts w:asciiTheme="majorBidi" w:hAnsiTheme="majorBidi" w:cstheme="majorBidi"/>
                <w:sz w:val="20"/>
                <w:szCs w:val="20"/>
              </w:rPr>
              <w:t>Czischke</w:t>
            </w:r>
            <w:proofErr w:type="spellEnd"/>
            <w:r w:rsidRPr="000101C1">
              <w:rPr>
                <w:rFonts w:asciiTheme="majorBidi" w:hAnsiTheme="majorBidi" w:cstheme="majorBidi"/>
                <w:sz w:val="20"/>
                <w:szCs w:val="20"/>
              </w:rPr>
              <w:t xml:space="preserve"> (2022)</w:t>
            </w:r>
          </w:p>
        </w:tc>
      </w:tr>
      <w:tr w:rsidR="000101C1" w:rsidRPr="000101C1" w14:paraId="25298ADC" w14:textId="77777777" w:rsidTr="000101C1">
        <w:tc>
          <w:tcPr>
            <w:tcW w:w="0" w:type="auto"/>
            <w:tcMar>
              <w:top w:w="15" w:type="dxa"/>
              <w:left w:w="0" w:type="dxa"/>
              <w:bottom w:w="15" w:type="dxa"/>
              <w:right w:w="15" w:type="dxa"/>
            </w:tcMar>
            <w:vAlign w:val="center"/>
            <w:hideMark/>
          </w:tcPr>
          <w:p w14:paraId="41C20E66"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4CAF3299"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Dimensional standardization</w:t>
            </w:r>
          </w:p>
        </w:tc>
        <w:tc>
          <w:tcPr>
            <w:tcW w:w="0" w:type="auto"/>
            <w:tcBorders>
              <w:top w:val="single" w:sz="4" w:space="0" w:color="auto"/>
              <w:bottom w:val="single" w:sz="4" w:space="0" w:color="auto"/>
            </w:tcBorders>
            <w:vAlign w:val="center"/>
            <w:hideMark/>
          </w:tcPr>
          <w:p w14:paraId="783505B9"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Reid et al. (2020)</w:t>
            </w:r>
          </w:p>
        </w:tc>
      </w:tr>
      <w:tr w:rsidR="000101C1" w:rsidRPr="000101C1" w14:paraId="329FE9D7" w14:textId="77777777" w:rsidTr="000101C1">
        <w:tc>
          <w:tcPr>
            <w:tcW w:w="0" w:type="auto"/>
            <w:tcMar>
              <w:top w:w="15" w:type="dxa"/>
              <w:left w:w="0" w:type="dxa"/>
              <w:bottom w:w="15" w:type="dxa"/>
              <w:right w:w="15" w:type="dxa"/>
            </w:tcMar>
            <w:vAlign w:val="center"/>
            <w:hideMark/>
          </w:tcPr>
          <w:p w14:paraId="45C0EF1E"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15A21988"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Standardization of elements</w:t>
            </w:r>
          </w:p>
        </w:tc>
        <w:tc>
          <w:tcPr>
            <w:tcW w:w="0" w:type="auto"/>
            <w:tcBorders>
              <w:top w:val="single" w:sz="4" w:space="0" w:color="auto"/>
              <w:bottom w:val="single" w:sz="4" w:space="0" w:color="auto"/>
            </w:tcBorders>
            <w:vAlign w:val="center"/>
            <w:hideMark/>
          </w:tcPr>
          <w:p w14:paraId="06BA42C3"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Zapaśnik</w:t>
            </w:r>
            <w:proofErr w:type="spellEnd"/>
            <w:r w:rsidRPr="000101C1">
              <w:rPr>
                <w:rFonts w:asciiTheme="majorBidi" w:hAnsiTheme="majorBidi" w:cstheme="majorBidi"/>
                <w:sz w:val="20"/>
                <w:szCs w:val="20"/>
              </w:rPr>
              <w:t xml:space="preserve"> (2024)</w:t>
            </w:r>
          </w:p>
        </w:tc>
      </w:tr>
      <w:tr w:rsidR="000101C1" w:rsidRPr="000101C1" w14:paraId="0CB1782C" w14:textId="77777777" w:rsidTr="000101C1">
        <w:tc>
          <w:tcPr>
            <w:tcW w:w="0" w:type="auto"/>
            <w:tcMar>
              <w:top w:w="15" w:type="dxa"/>
              <w:left w:w="0" w:type="dxa"/>
              <w:bottom w:w="15" w:type="dxa"/>
              <w:right w:w="15" w:type="dxa"/>
            </w:tcMar>
            <w:vAlign w:val="center"/>
            <w:hideMark/>
          </w:tcPr>
          <w:p w14:paraId="3BDA9D05"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4CC6A055"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Plans for partitioning spaces for combined uses</w:t>
            </w:r>
          </w:p>
        </w:tc>
        <w:tc>
          <w:tcPr>
            <w:tcW w:w="0" w:type="auto"/>
            <w:tcBorders>
              <w:top w:val="single" w:sz="4" w:space="0" w:color="auto"/>
              <w:bottom w:val="single" w:sz="4" w:space="0" w:color="auto"/>
            </w:tcBorders>
            <w:vAlign w:val="center"/>
            <w:hideMark/>
          </w:tcPr>
          <w:p w14:paraId="7B01BCB5"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 xml:space="preserve">Okereke &amp; </w:t>
            </w:r>
            <w:proofErr w:type="spellStart"/>
            <w:r w:rsidRPr="000101C1">
              <w:rPr>
                <w:rFonts w:asciiTheme="majorBidi" w:hAnsiTheme="majorBidi" w:cstheme="majorBidi"/>
                <w:sz w:val="20"/>
                <w:szCs w:val="20"/>
              </w:rPr>
              <w:t>Okanya</w:t>
            </w:r>
            <w:proofErr w:type="spellEnd"/>
            <w:r w:rsidRPr="000101C1">
              <w:rPr>
                <w:rFonts w:asciiTheme="majorBidi" w:hAnsiTheme="majorBidi" w:cstheme="majorBidi"/>
                <w:sz w:val="20"/>
                <w:szCs w:val="20"/>
              </w:rPr>
              <w:t xml:space="preserve"> (2024)</w:t>
            </w:r>
          </w:p>
        </w:tc>
      </w:tr>
      <w:tr w:rsidR="000101C1" w:rsidRPr="000101C1" w14:paraId="0FBEC646" w14:textId="77777777" w:rsidTr="000101C1">
        <w:tc>
          <w:tcPr>
            <w:tcW w:w="0" w:type="auto"/>
            <w:tcBorders>
              <w:bottom w:val="single" w:sz="4" w:space="0" w:color="auto"/>
            </w:tcBorders>
            <w:tcMar>
              <w:top w:w="15" w:type="dxa"/>
              <w:left w:w="0" w:type="dxa"/>
              <w:bottom w:w="15" w:type="dxa"/>
              <w:right w:w="15" w:type="dxa"/>
            </w:tcMar>
            <w:vAlign w:val="center"/>
            <w:hideMark/>
          </w:tcPr>
          <w:p w14:paraId="0F5BF2C0"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557C5D28"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Addressing the needs of individuals with disabilities (e.g., blind, deaf)</w:t>
            </w:r>
          </w:p>
        </w:tc>
        <w:tc>
          <w:tcPr>
            <w:tcW w:w="0" w:type="auto"/>
            <w:tcBorders>
              <w:top w:val="single" w:sz="4" w:space="0" w:color="auto"/>
              <w:bottom w:val="single" w:sz="4" w:space="0" w:color="auto"/>
            </w:tcBorders>
            <w:vAlign w:val="center"/>
            <w:hideMark/>
          </w:tcPr>
          <w:p w14:paraId="1F0EA438"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Gatoo</w:t>
            </w:r>
            <w:proofErr w:type="spellEnd"/>
            <w:r w:rsidRPr="000101C1">
              <w:rPr>
                <w:rFonts w:asciiTheme="majorBidi" w:hAnsiTheme="majorBidi" w:cstheme="majorBidi"/>
                <w:sz w:val="20"/>
                <w:szCs w:val="20"/>
              </w:rPr>
              <w:t xml:space="preserve"> Jimenez de </w:t>
            </w:r>
            <w:proofErr w:type="spellStart"/>
            <w:r w:rsidRPr="000101C1">
              <w:rPr>
                <w:rFonts w:asciiTheme="majorBidi" w:hAnsiTheme="majorBidi" w:cstheme="majorBidi"/>
                <w:sz w:val="20"/>
                <w:szCs w:val="20"/>
              </w:rPr>
              <w:t>Laiglesia</w:t>
            </w:r>
            <w:proofErr w:type="spellEnd"/>
            <w:r w:rsidRPr="000101C1">
              <w:rPr>
                <w:rFonts w:asciiTheme="majorBidi" w:hAnsiTheme="majorBidi" w:cstheme="majorBidi"/>
                <w:sz w:val="20"/>
                <w:szCs w:val="20"/>
              </w:rPr>
              <w:t xml:space="preserve"> (2023)</w:t>
            </w:r>
          </w:p>
        </w:tc>
      </w:tr>
      <w:tr w:rsidR="000101C1" w:rsidRPr="000101C1" w14:paraId="69290C65" w14:textId="77777777" w:rsidTr="000101C1">
        <w:tc>
          <w:tcPr>
            <w:tcW w:w="0" w:type="auto"/>
            <w:tcBorders>
              <w:top w:val="single" w:sz="4" w:space="0" w:color="auto"/>
            </w:tcBorders>
            <w:tcMar>
              <w:top w:w="15" w:type="dxa"/>
              <w:left w:w="0" w:type="dxa"/>
              <w:bottom w:w="15" w:type="dxa"/>
              <w:right w:w="15" w:type="dxa"/>
            </w:tcMar>
            <w:vAlign w:val="center"/>
            <w:hideMark/>
          </w:tcPr>
          <w:p w14:paraId="24C91B50"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lastRenderedPageBreak/>
              <w:t>Design of Multipurpose and Flexible Spaces</w:t>
            </w:r>
          </w:p>
        </w:tc>
        <w:tc>
          <w:tcPr>
            <w:tcW w:w="0" w:type="auto"/>
            <w:tcBorders>
              <w:top w:val="single" w:sz="4" w:space="0" w:color="auto"/>
              <w:bottom w:val="single" w:sz="4" w:space="0" w:color="auto"/>
            </w:tcBorders>
            <w:vAlign w:val="center"/>
            <w:hideMark/>
          </w:tcPr>
          <w:p w14:paraId="52298229"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Variety in appearance for multiple building roles</w:t>
            </w:r>
          </w:p>
        </w:tc>
        <w:tc>
          <w:tcPr>
            <w:tcW w:w="0" w:type="auto"/>
            <w:tcBorders>
              <w:top w:val="single" w:sz="4" w:space="0" w:color="auto"/>
              <w:bottom w:val="single" w:sz="4" w:space="0" w:color="auto"/>
            </w:tcBorders>
            <w:vAlign w:val="center"/>
            <w:hideMark/>
          </w:tcPr>
          <w:p w14:paraId="1D733E48"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 xml:space="preserve">Okereke &amp; </w:t>
            </w:r>
            <w:proofErr w:type="spellStart"/>
            <w:r w:rsidRPr="000101C1">
              <w:rPr>
                <w:rFonts w:asciiTheme="majorBidi" w:hAnsiTheme="majorBidi" w:cstheme="majorBidi"/>
                <w:sz w:val="20"/>
                <w:szCs w:val="20"/>
              </w:rPr>
              <w:t>Okanya</w:t>
            </w:r>
            <w:proofErr w:type="spellEnd"/>
            <w:r w:rsidRPr="000101C1">
              <w:rPr>
                <w:rFonts w:asciiTheme="majorBidi" w:hAnsiTheme="majorBidi" w:cstheme="majorBidi"/>
                <w:sz w:val="20"/>
                <w:szCs w:val="20"/>
              </w:rPr>
              <w:t xml:space="preserve"> (2024)</w:t>
            </w:r>
          </w:p>
        </w:tc>
      </w:tr>
      <w:tr w:rsidR="000101C1" w:rsidRPr="000101C1" w14:paraId="7808E233" w14:textId="77777777" w:rsidTr="000101C1">
        <w:tc>
          <w:tcPr>
            <w:tcW w:w="0" w:type="auto"/>
            <w:tcMar>
              <w:top w:w="15" w:type="dxa"/>
              <w:left w:w="0" w:type="dxa"/>
              <w:bottom w:w="15" w:type="dxa"/>
              <w:right w:w="15" w:type="dxa"/>
            </w:tcMar>
            <w:vAlign w:val="center"/>
            <w:hideMark/>
          </w:tcPr>
          <w:p w14:paraId="66CD8064"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74C36646"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Reducing the number of load-bearing walls</w:t>
            </w:r>
          </w:p>
        </w:tc>
        <w:tc>
          <w:tcPr>
            <w:tcW w:w="0" w:type="auto"/>
            <w:tcBorders>
              <w:top w:val="single" w:sz="4" w:space="0" w:color="auto"/>
              <w:bottom w:val="single" w:sz="4" w:space="0" w:color="auto"/>
            </w:tcBorders>
            <w:vAlign w:val="center"/>
            <w:hideMark/>
          </w:tcPr>
          <w:p w14:paraId="0737857E"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Gatoo</w:t>
            </w:r>
            <w:proofErr w:type="spellEnd"/>
            <w:r w:rsidRPr="000101C1">
              <w:rPr>
                <w:rFonts w:asciiTheme="majorBidi" w:hAnsiTheme="majorBidi" w:cstheme="majorBidi"/>
                <w:sz w:val="20"/>
                <w:szCs w:val="20"/>
              </w:rPr>
              <w:t xml:space="preserve"> Jimenez de </w:t>
            </w:r>
            <w:proofErr w:type="spellStart"/>
            <w:r w:rsidRPr="000101C1">
              <w:rPr>
                <w:rFonts w:asciiTheme="majorBidi" w:hAnsiTheme="majorBidi" w:cstheme="majorBidi"/>
                <w:sz w:val="20"/>
                <w:szCs w:val="20"/>
              </w:rPr>
              <w:t>Laiglesia</w:t>
            </w:r>
            <w:proofErr w:type="spellEnd"/>
            <w:r w:rsidRPr="000101C1">
              <w:rPr>
                <w:rFonts w:asciiTheme="majorBidi" w:hAnsiTheme="majorBidi" w:cstheme="majorBidi"/>
                <w:sz w:val="20"/>
                <w:szCs w:val="20"/>
              </w:rPr>
              <w:t xml:space="preserve"> (2023)</w:t>
            </w:r>
          </w:p>
        </w:tc>
      </w:tr>
      <w:tr w:rsidR="000101C1" w:rsidRPr="000101C1" w14:paraId="364E9B2C" w14:textId="77777777" w:rsidTr="000101C1">
        <w:tc>
          <w:tcPr>
            <w:tcW w:w="0" w:type="auto"/>
            <w:tcMar>
              <w:top w:w="15" w:type="dxa"/>
              <w:left w:w="0" w:type="dxa"/>
              <w:bottom w:w="15" w:type="dxa"/>
              <w:right w:w="15" w:type="dxa"/>
            </w:tcMar>
            <w:vAlign w:val="center"/>
            <w:hideMark/>
          </w:tcPr>
          <w:p w14:paraId="07DABDE9"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DB43F07"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Presence of perimeter lines inside or outside spaces</w:t>
            </w:r>
          </w:p>
        </w:tc>
        <w:tc>
          <w:tcPr>
            <w:tcW w:w="0" w:type="auto"/>
            <w:tcBorders>
              <w:top w:val="single" w:sz="4" w:space="0" w:color="auto"/>
              <w:bottom w:val="single" w:sz="4" w:space="0" w:color="auto"/>
            </w:tcBorders>
            <w:vAlign w:val="center"/>
            <w:hideMark/>
          </w:tcPr>
          <w:p w14:paraId="36E2CFE7"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Bici</w:t>
            </w:r>
            <w:proofErr w:type="spellEnd"/>
            <w:r w:rsidRPr="000101C1">
              <w:rPr>
                <w:rFonts w:asciiTheme="majorBidi" w:hAnsiTheme="majorBidi" w:cstheme="majorBidi"/>
                <w:sz w:val="20"/>
                <w:szCs w:val="20"/>
              </w:rPr>
              <w:t xml:space="preserve"> &amp; </w:t>
            </w:r>
            <w:proofErr w:type="spellStart"/>
            <w:r w:rsidRPr="000101C1">
              <w:rPr>
                <w:rFonts w:asciiTheme="majorBidi" w:hAnsiTheme="majorBidi" w:cstheme="majorBidi"/>
                <w:sz w:val="20"/>
                <w:szCs w:val="20"/>
              </w:rPr>
              <w:t>Yunitsyna</w:t>
            </w:r>
            <w:proofErr w:type="spellEnd"/>
            <w:r w:rsidRPr="000101C1">
              <w:rPr>
                <w:rFonts w:asciiTheme="majorBidi" w:hAnsiTheme="majorBidi" w:cstheme="majorBidi"/>
                <w:sz w:val="20"/>
                <w:szCs w:val="20"/>
              </w:rPr>
              <w:t xml:space="preserve"> (2023)</w:t>
            </w:r>
          </w:p>
        </w:tc>
      </w:tr>
      <w:tr w:rsidR="000101C1" w:rsidRPr="000101C1" w14:paraId="23D2D3D5" w14:textId="77777777" w:rsidTr="000101C1">
        <w:tc>
          <w:tcPr>
            <w:tcW w:w="0" w:type="auto"/>
            <w:tcMar>
              <w:top w:w="15" w:type="dxa"/>
              <w:left w:w="0" w:type="dxa"/>
              <w:bottom w:w="15" w:type="dxa"/>
              <w:right w:w="15" w:type="dxa"/>
            </w:tcMar>
            <w:vAlign w:val="center"/>
            <w:hideMark/>
          </w:tcPr>
          <w:p w14:paraId="00A3C10D"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2531CFF0"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Creating spaces with height and plan integration principles</w:t>
            </w:r>
          </w:p>
        </w:tc>
        <w:tc>
          <w:tcPr>
            <w:tcW w:w="0" w:type="auto"/>
            <w:tcBorders>
              <w:top w:val="single" w:sz="4" w:space="0" w:color="auto"/>
              <w:bottom w:val="single" w:sz="4" w:space="0" w:color="auto"/>
            </w:tcBorders>
            <w:vAlign w:val="center"/>
            <w:hideMark/>
          </w:tcPr>
          <w:p w14:paraId="0302F738"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Muthigani</w:t>
            </w:r>
            <w:proofErr w:type="spellEnd"/>
            <w:r w:rsidRPr="000101C1">
              <w:rPr>
                <w:rFonts w:asciiTheme="majorBidi" w:hAnsiTheme="majorBidi" w:cstheme="majorBidi"/>
                <w:sz w:val="20"/>
                <w:szCs w:val="20"/>
              </w:rPr>
              <w:t xml:space="preserve"> (2024)</w:t>
            </w:r>
          </w:p>
        </w:tc>
      </w:tr>
      <w:tr w:rsidR="000101C1" w:rsidRPr="000101C1" w14:paraId="3D6FD220" w14:textId="77777777" w:rsidTr="000101C1">
        <w:tc>
          <w:tcPr>
            <w:tcW w:w="0" w:type="auto"/>
            <w:tcBorders>
              <w:bottom w:val="single" w:sz="4" w:space="0" w:color="auto"/>
            </w:tcBorders>
            <w:tcMar>
              <w:top w:w="15" w:type="dxa"/>
              <w:left w:w="0" w:type="dxa"/>
              <w:bottom w:w="15" w:type="dxa"/>
              <w:right w:w="15" w:type="dxa"/>
            </w:tcMar>
            <w:vAlign w:val="center"/>
            <w:hideMark/>
          </w:tcPr>
          <w:p w14:paraId="6A156237"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5165CA48"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Standardization of functions</w:t>
            </w:r>
          </w:p>
        </w:tc>
        <w:tc>
          <w:tcPr>
            <w:tcW w:w="0" w:type="auto"/>
            <w:tcBorders>
              <w:top w:val="single" w:sz="4" w:space="0" w:color="auto"/>
              <w:bottom w:val="single" w:sz="4" w:space="0" w:color="auto"/>
            </w:tcBorders>
            <w:vAlign w:val="center"/>
            <w:hideMark/>
          </w:tcPr>
          <w:p w14:paraId="490E1CB3"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Zapaśnik</w:t>
            </w:r>
            <w:proofErr w:type="spellEnd"/>
            <w:r w:rsidRPr="000101C1">
              <w:rPr>
                <w:rFonts w:asciiTheme="majorBidi" w:hAnsiTheme="majorBidi" w:cstheme="majorBidi"/>
                <w:sz w:val="20"/>
                <w:szCs w:val="20"/>
              </w:rPr>
              <w:t xml:space="preserve"> (2024)</w:t>
            </w:r>
          </w:p>
        </w:tc>
      </w:tr>
      <w:tr w:rsidR="000101C1" w:rsidRPr="000101C1" w14:paraId="4F19F6BB" w14:textId="77777777" w:rsidTr="000101C1">
        <w:tc>
          <w:tcPr>
            <w:tcW w:w="0" w:type="auto"/>
            <w:tcBorders>
              <w:top w:val="single" w:sz="4" w:space="0" w:color="auto"/>
            </w:tcBorders>
            <w:tcMar>
              <w:top w:w="15" w:type="dxa"/>
              <w:left w:w="0" w:type="dxa"/>
              <w:bottom w:w="15" w:type="dxa"/>
              <w:right w:w="15" w:type="dxa"/>
            </w:tcMar>
            <w:vAlign w:val="center"/>
            <w:hideMark/>
          </w:tcPr>
          <w:p w14:paraId="05DCD9F7"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Reduction of Construction Waste and Waste Management</w:t>
            </w:r>
          </w:p>
        </w:tc>
        <w:tc>
          <w:tcPr>
            <w:tcW w:w="0" w:type="auto"/>
            <w:tcBorders>
              <w:top w:val="single" w:sz="4" w:space="0" w:color="auto"/>
              <w:bottom w:val="single" w:sz="4" w:space="0" w:color="auto"/>
            </w:tcBorders>
            <w:vAlign w:val="center"/>
            <w:hideMark/>
          </w:tcPr>
          <w:p w14:paraId="04A27F06"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Compatibility with various materials</w:t>
            </w:r>
          </w:p>
        </w:tc>
        <w:tc>
          <w:tcPr>
            <w:tcW w:w="0" w:type="auto"/>
            <w:tcBorders>
              <w:top w:val="single" w:sz="4" w:space="0" w:color="auto"/>
              <w:bottom w:val="single" w:sz="4" w:space="0" w:color="auto"/>
            </w:tcBorders>
            <w:vAlign w:val="center"/>
            <w:hideMark/>
          </w:tcPr>
          <w:p w14:paraId="68EFB5AF"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Dourado</w:t>
            </w:r>
            <w:proofErr w:type="spellEnd"/>
            <w:r w:rsidRPr="000101C1">
              <w:rPr>
                <w:rFonts w:asciiTheme="majorBidi" w:hAnsiTheme="majorBidi" w:cstheme="majorBidi"/>
                <w:sz w:val="20"/>
                <w:szCs w:val="20"/>
              </w:rPr>
              <w:t xml:space="preserve"> et al. (2024)</w:t>
            </w:r>
          </w:p>
        </w:tc>
      </w:tr>
      <w:tr w:rsidR="000101C1" w:rsidRPr="000101C1" w14:paraId="26E2AE3D" w14:textId="77777777" w:rsidTr="000101C1">
        <w:tc>
          <w:tcPr>
            <w:tcW w:w="0" w:type="auto"/>
            <w:tcMar>
              <w:top w:w="15" w:type="dxa"/>
              <w:left w:w="0" w:type="dxa"/>
              <w:bottom w:w="15" w:type="dxa"/>
              <w:right w:w="15" w:type="dxa"/>
            </w:tcMar>
            <w:vAlign w:val="center"/>
            <w:hideMark/>
          </w:tcPr>
          <w:p w14:paraId="321B3CF3"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59FE0806"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Determining unit size based on customer needs</w:t>
            </w:r>
          </w:p>
        </w:tc>
        <w:tc>
          <w:tcPr>
            <w:tcW w:w="0" w:type="auto"/>
            <w:tcBorders>
              <w:top w:val="single" w:sz="4" w:space="0" w:color="auto"/>
              <w:bottom w:val="single" w:sz="4" w:space="0" w:color="auto"/>
            </w:tcBorders>
            <w:vAlign w:val="center"/>
            <w:hideMark/>
          </w:tcPr>
          <w:p w14:paraId="0186AE8B"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Nurmawati</w:t>
            </w:r>
            <w:proofErr w:type="spellEnd"/>
            <w:r w:rsidRPr="000101C1">
              <w:rPr>
                <w:rFonts w:asciiTheme="majorBidi" w:hAnsiTheme="majorBidi" w:cstheme="majorBidi"/>
                <w:sz w:val="20"/>
                <w:szCs w:val="20"/>
              </w:rPr>
              <w:t xml:space="preserve"> et al. (2023)</w:t>
            </w:r>
          </w:p>
        </w:tc>
      </w:tr>
      <w:tr w:rsidR="000101C1" w:rsidRPr="000101C1" w14:paraId="5CC9D8A5" w14:textId="77777777" w:rsidTr="000101C1">
        <w:tc>
          <w:tcPr>
            <w:tcW w:w="0" w:type="auto"/>
            <w:tcMar>
              <w:top w:w="15" w:type="dxa"/>
              <w:left w:w="0" w:type="dxa"/>
              <w:bottom w:w="15" w:type="dxa"/>
              <w:right w:w="15" w:type="dxa"/>
            </w:tcMar>
            <w:vAlign w:val="center"/>
            <w:hideMark/>
          </w:tcPr>
          <w:p w14:paraId="61432649"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820B8D6"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Main structure meeting structural requirements</w:t>
            </w:r>
          </w:p>
        </w:tc>
        <w:tc>
          <w:tcPr>
            <w:tcW w:w="0" w:type="auto"/>
            <w:tcBorders>
              <w:top w:val="single" w:sz="4" w:space="0" w:color="auto"/>
              <w:bottom w:val="single" w:sz="4" w:space="0" w:color="auto"/>
            </w:tcBorders>
            <w:vAlign w:val="center"/>
            <w:hideMark/>
          </w:tcPr>
          <w:p w14:paraId="4A5FEB11"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Bici</w:t>
            </w:r>
            <w:proofErr w:type="spellEnd"/>
            <w:r w:rsidRPr="000101C1">
              <w:rPr>
                <w:rFonts w:asciiTheme="majorBidi" w:hAnsiTheme="majorBidi" w:cstheme="majorBidi"/>
                <w:sz w:val="20"/>
                <w:szCs w:val="20"/>
              </w:rPr>
              <w:t xml:space="preserve"> &amp; </w:t>
            </w:r>
            <w:proofErr w:type="spellStart"/>
            <w:r w:rsidRPr="000101C1">
              <w:rPr>
                <w:rFonts w:asciiTheme="majorBidi" w:hAnsiTheme="majorBidi" w:cstheme="majorBidi"/>
                <w:sz w:val="20"/>
                <w:szCs w:val="20"/>
              </w:rPr>
              <w:t>Yunitsyna</w:t>
            </w:r>
            <w:proofErr w:type="spellEnd"/>
            <w:r w:rsidRPr="000101C1">
              <w:rPr>
                <w:rFonts w:asciiTheme="majorBidi" w:hAnsiTheme="majorBidi" w:cstheme="majorBidi"/>
                <w:sz w:val="20"/>
                <w:szCs w:val="20"/>
              </w:rPr>
              <w:t xml:space="preserve"> (2023)</w:t>
            </w:r>
          </w:p>
        </w:tc>
      </w:tr>
      <w:tr w:rsidR="000101C1" w:rsidRPr="000101C1" w14:paraId="5A6F2DA4" w14:textId="77777777" w:rsidTr="000101C1">
        <w:tc>
          <w:tcPr>
            <w:tcW w:w="0" w:type="auto"/>
            <w:tcBorders>
              <w:bottom w:val="single" w:sz="4" w:space="0" w:color="auto"/>
            </w:tcBorders>
            <w:tcMar>
              <w:top w:w="15" w:type="dxa"/>
              <w:left w:w="0" w:type="dxa"/>
              <w:bottom w:w="15" w:type="dxa"/>
              <w:right w:w="15" w:type="dxa"/>
            </w:tcMar>
            <w:vAlign w:val="center"/>
            <w:hideMark/>
          </w:tcPr>
          <w:p w14:paraId="46891A3E"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14C0905F"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Increased user participation in design and construction processes</w:t>
            </w:r>
          </w:p>
        </w:tc>
        <w:tc>
          <w:tcPr>
            <w:tcW w:w="0" w:type="auto"/>
            <w:tcBorders>
              <w:top w:val="single" w:sz="4" w:space="0" w:color="auto"/>
              <w:bottom w:val="single" w:sz="4" w:space="0" w:color="auto"/>
            </w:tcBorders>
            <w:vAlign w:val="center"/>
            <w:hideMark/>
          </w:tcPr>
          <w:p w14:paraId="3A6F49CE"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Nurmawati</w:t>
            </w:r>
            <w:proofErr w:type="spellEnd"/>
            <w:r w:rsidRPr="000101C1">
              <w:rPr>
                <w:rFonts w:asciiTheme="majorBidi" w:hAnsiTheme="majorBidi" w:cstheme="majorBidi"/>
                <w:sz w:val="20"/>
                <w:szCs w:val="20"/>
              </w:rPr>
              <w:t xml:space="preserve"> et al. (2023)</w:t>
            </w:r>
          </w:p>
        </w:tc>
      </w:tr>
      <w:tr w:rsidR="000101C1" w:rsidRPr="000101C1" w14:paraId="70A51AD7" w14:textId="77777777" w:rsidTr="000101C1">
        <w:tc>
          <w:tcPr>
            <w:tcW w:w="0" w:type="auto"/>
            <w:tcBorders>
              <w:top w:val="single" w:sz="4" w:space="0" w:color="auto"/>
            </w:tcBorders>
            <w:tcMar>
              <w:top w:w="15" w:type="dxa"/>
              <w:left w:w="0" w:type="dxa"/>
              <w:bottom w:w="15" w:type="dxa"/>
              <w:right w:w="15" w:type="dxa"/>
            </w:tcMar>
            <w:vAlign w:val="center"/>
            <w:hideMark/>
          </w:tcPr>
          <w:p w14:paraId="7636C331"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Optimization of Energy Costs and Ventilation Systems</w:t>
            </w:r>
          </w:p>
        </w:tc>
        <w:tc>
          <w:tcPr>
            <w:tcW w:w="0" w:type="auto"/>
            <w:tcBorders>
              <w:top w:val="single" w:sz="4" w:space="0" w:color="auto"/>
              <w:bottom w:val="single" w:sz="4" w:space="0" w:color="auto"/>
            </w:tcBorders>
            <w:vAlign w:val="center"/>
            <w:hideMark/>
          </w:tcPr>
          <w:p w14:paraId="2DEB2E1B"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Ease of modification for any family type</w:t>
            </w:r>
          </w:p>
        </w:tc>
        <w:tc>
          <w:tcPr>
            <w:tcW w:w="0" w:type="auto"/>
            <w:tcBorders>
              <w:top w:val="single" w:sz="4" w:space="0" w:color="auto"/>
              <w:bottom w:val="single" w:sz="4" w:space="0" w:color="auto"/>
            </w:tcBorders>
            <w:vAlign w:val="center"/>
            <w:hideMark/>
          </w:tcPr>
          <w:p w14:paraId="32548CAA"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Dourado</w:t>
            </w:r>
            <w:proofErr w:type="spellEnd"/>
            <w:r w:rsidRPr="000101C1">
              <w:rPr>
                <w:rFonts w:asciiTheme="majorBidi" w:hAnsiTheme="majorBidi" w:cstheme="majorBidi"/>
                <w:sz w:val="20"/>
                <w:szCs w:val="20"/>
              </w:rPr>
              <w:t xml:space="preserve"> et al. (2024)</w:t>
            </w:r>
          </w:p>
        </w:tc>
      </w:tr>
      <w:tr w:rsidR="000101C1" w:rsidRPr="000101C1" w14:paraId="67341A49" w14:textId="77777777" w:rsidTr="000101C1">
        <w:tc>
          <w:tcPr>
            <w:tcW w:w="0" w:type="auto"/>
            <w:tcMar>
              <w:top w:w="15" w:type="dxa"/>
              <w:left w:w="0" w:type="dxa"/>
              <w:bottom w:w="15" w:type="dxa"/>
              <w:right w:w="15" w:type="dxa"/>
            </w:tcMar>
            <w:vAlign w:val="center"/>
            <w:hideMark/>
          </w:tcPr>
          <w:p w14:paraId="09039615"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9A14D5D"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Increased user participation in design and construction processes</w:t>
            </w:r>
          </w:p>
        </w:tc>
        <w:tc>
          <w:tcPr>
            <w:tcW w:w="0" w:type="auto"/>
            <w:tcBorders>
              <w:top w:val="single" w:sz="4" w:space="0" w:color="auto"/>
              <w:bottom w:val="single" w:sz="4" w:space="0" w:color="auto"/>
            </w:tcBorders>
            <w:vAlign w:val="center"/>
            <w:hideMark/>
          </w:tcPr>
          <w:p w14:paraId="6C21C94A"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Muthigani</w:t>
            </w:r>
            <w:proofErr w:type="spellEnd"/>
            <w:r w:rsidRPr="000101C1">
              <w:rPr>
                <w:rFonts w:asciiTheme="majorBidi" w:hAnsiTheme="majorBidi" w:cstheme="majorBidi"/>
                <w:sz w:val="20"/>
                <w:szCs w:val="20"/>
              </w:rPr>
              <w:t xml:space="preserve"> (2024)</w:t>
            </w:r>
          </w:p>
        </w:tc>
      </w:tr>
      <w:tr w:rsidR="000101C1" w:rsidRPr="000101C1" w14:paraId="5B243601" w14:textId="77777777" w:rsidTr="000101C1">
        <w:tc>
          <w:tcPr>
            <w:tcW w:w="0" w:type="auto"/>
            <w:tcMar>
              <w:top w:w="15" w:type="dxa"/>
              <w:left w:w="0" w:type="dxa"/>
              <w:bottom w:w="15" w:type="dxa"/>
              <w:right w:w="15" w:type="dxa"/>
            </w:tcMar>
            <w:vAlign w:val="center"/>
            <w:hideMark/>
          </w:tcPr>
          <w:p w14:paraId="54E14CD8"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24DCAA4"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Identifying user intervention points and allowing freedom in them</w:t>
            </w:r>
          </w:p>
        </w:tc>
        <w:tc>
          <w:tcPr>
            <w:tcW w:w="0" w:type="auto"/>
            <w:tcBorders>
              <w:top w:val="single" w:sz="4" w:space="0" w:color="auto"/>
              <w:bottom w:val="single" w:sz="4" w:space="0" w:color="auto"/>
            </w:tcBorders>
            <w:vAlign w:val="center"/>
            <w:hideMark/>
          </w:tcPr>
          <w:p w14:paraId="5D63DD0D"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Bici</w:t>
            </w:r>
            <w:proofErr w:type="spellEnd"/>
            <w:r w:rsidRPr="000101C1">
              <w:rPr>
                <w:rFonts w:asciiTheme="majorBidi" w:hAnsiTheme="majorBidi" w:cstheme="majorBidi"/>
                <w:sz w:val="20"/>
                <w:szCs w:val="20"/>
              </w:rPr>
              <w:t xml:space="preserve"> &amp; </w:t>
            </w:r>
            <w:proofErr w:type="spellStart"/>
            <w:r w:rsidRPr="000101C1">
              <w:rPr>
                <w:rFonts w:asciiTheme="majorBidi" w:hAnsiTheme="majorBidi" w:cstheme="majorBidi"/>
                <w:sz w:val="20"/>
                <w:szCs w:val="20"/>
              </w:rPr>
              <w:t>Yunitsyna</w:t>
            </w:r>
            <w:proofErr w:type="spellEnd"/>
            <w:r w:rsidRPr="000101C1">
              <w:rPr>
                <w:rFonts w:asciiTheme="majorBidi" w:hAnsiTheme="majorBidi" w:cstheme="majorBidi"/>
                <w:sz w:val="20"/>
                <w:szCs w:val="20"/>
              </w:rPr>
              <w:t xml:space="preserve"> (2023)</w:t>
            </w:r>
          </w:p>
        </w:tc>
      </w:tr>
      <w:tr w:rsidR="000101C1" w:rsidRPr="000101C1" w14:paraId="3D83201C" w14:textId="77777777" w:rsidTr="000101C1">
        <w:tc>
          <w:tcPr>
            <w:tcW w:w="0" w:type="auto"/>
            <w:tcBorders>
              <w:bottom w:val="single" w:sz="4" w:space="0" w:color="auto"/>
            </w:tcBorders>
            <w:tcMar>
              <w:top w:w="15" w:type="dxa"/>
              <w:left w:w="0" w:type="dxa"/>
              <w:bottom w:w="15" w:type="dxa"/>
              <w:right w:w="15" w:type="dxa"/>
            </w:tcMar>
            <w:vAlign w:val="center"/>
            <w:hideMark/>
          </w:tcPr>
          <w:p w14:paraId="1738AEFD"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749DE597"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Presence of comfort factors for residents</w:t>
            </w:r>
          </w:p>
        </w:tc>
        <w:tc>
          <w:tcPr>
            <w:tcW w:w="0" w:type="auto"/>
            <w:tcBorders>
              <w:top w:val="single" w:sz="4" w:space="0" w:color="auto"/>
              <w:bottom w:val="single" w:sz="4" w:space="0" w:color="auto"/>
            </w:tcBorders>
            <w:vAlign w:val="center"/>
            <w:hideMark/>
          </w:tcPr>
          <w:p w14:paraId="687DCF35"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Nurmawati</w:t>
            </w:r>
            <w:proofErr w:type="spellEnd"/>
            <w:r w:rsidRPr="000101C1">
              <w:rPr>
                <w:rFonts w:asciiTheme="majorBidi" w:hAnsiTheme="majorBidi" w:cstheme="majorBidi"/>
                <w:sz w:val="20"/>
                <w:szCs w:val="20"/>
              </w:rPr>
              <w:t xml:space="preserve"> et al. (2023)</w:t>
            </w:r>
          </w:p>
        </w:tc>
      </w:tr>
      <w:tr w:rsidR="000101C1" w:rsidRPr="000101C1" w14:paraId="5CBF59F7" w14:textId="77777777" w:rsidTr="000101C1">
        <w:tc>
          <w:tcPr>
            <w:tcW w:w="0" w:type="auto"/>
            <w:tcBorders>
              <w:top w:val="single" w:sz="4" w:space="0" w:color="auto"/>
            </w:tcBorders>
            <w:tcMar>
              <w:top w:w="15" w:type="dxa"/>
              <w:left w:w="0" w:type="dxa"/>
              <w:bottom w:w="15" w:type="dxa"/>
              <w:right w:w="15" w:type="dxa"/>
            </w:tcMar>
            <w:vAlign w:val="center"/>
            <w:hideMark/>
          </w:tcPr>
          <w:p w14:paraId="6A73B5AD"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Provision of Natural Light and Optimal Use of Sunlight</w:t>
            </w:r>
          </w:p>
        </w:tc>
        <w:tc>
          <w:tcPr>
            <w:tcW w:w="0" w:type="auto"/>
            <w:tcBorders>
              <w:top w:val="single" w:sz="4" w:space="0" w:color="auto"/>
              <w:bottom w:val="single" w:sz="4" w:space="0" w:color="auto"/>
            </w:tcBorders>
            <w:vAlign w:val="center"/>
            <w:hideMark/>
          </w:tcPr>
          <w:p w14:paraId="740D9013"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Identifying user intervention points and allowing freedom in them</w:t>
            </w:r>
          </w:p>
        </w:tc>
        <w:tc>
          <w:tcPr>
            <w:tcW w:w="0" w:type="auto"/>
            <w:tcBorders>
              <w:top w:val="single" w:sz="4" w:space="0" w:color="auto"/>
              <w:bottom w:val="single" w:sz="4" w:space="0" w:color="auto"/>
            </w:tcBorders>
            <w:vAlign w:val="center"/>
            <w:hideMark/>
          </w:tcPr>
          <w:p w14:paraId="475D2E20"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Gatoo</w:t>
            </w:r>
            <w:proofErr w:type="spellEnd"/>
            <w:r w:rsidRPr="000101C1">
              <w:rPr>
                <w:rFonts w:asciiTheme="majorBidi" w:hAnsiTheme="majorBidi" w:cstheme="majorBidi"/>
                <w:sz w:val="20"/>
                <w:szCs w:val="20"/>
              </w:rPr>
              <w:t xml:space="preserve"> Jimenez de </w:t>
            </w:r>
            <w:proofErr w:type="spellStart"/>
            <w:r w:rsidRPr="000101C1">
              <w:rPr>
                <w:rFonts w:asciiTheme="majorBidi" w:hAnsiTheme="majorBidi" w:cstheme="majorBidi"/>
                <w:sz w:val="20"/>
                <w:szCs w:val="20"/>
              </w:rPr>
              <w:t>Laiglesia</w:t>
            </w:r>
            <w:proofErr w:type="spellEnd"/>
            <w:r w:rsidRPr="000101C1">
              <w:rPr>
                <w:rFonts w:asciiTheme="majorBidi" w:hAnsiTheme="majorBidi" w:cstheme="majorBidi"/>
                <w:sz w:val="20"/>
                <w:szCs w:val="20"/>
              </w:rPr>
              <w:t xml:space="preserve"> (2023)</w:t>
            </w:r>
          </w:p>
        </w:tc>
      </w:tr>
      <w:tr w:rsidR="000101C1" w:rsidRPr="000101C1" w14:paraId="242A0879" w14:textId="77777777" w:rsidTr="000101C1">
        <w:tc>
          <w:tcPr>
            <w:tcW w:w="0" w:type="auto"/>
            <w:tcMar>
              <w:top w:w="15" w:type="dxa"/>
              <w:left w:w="0" w:type="dxa"/>
              <w:bottom w:w="15" w:type="dxa"/>
              <w:right w:w="15" w:type="dxa"/>
            </w:tcMar>
            <w:vAlign w:val="center"/>
            <w:hideMark/>
          </w:tcPr>
          <w:p w14:paraId="33EB387D"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1E2F27E"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Anticipating potential spaces for customer participation</w:t>
            </w:r>
          </w:p>
        </w:tc>
        <w:tc>
          <w:tcPr>
            <w:tcW w:w="0" w:type="auto"/>
            <w:tcBorders>
              <w:top w:val="single" w:sz="4" w:space="0" w:color="auto"/>
              <w:bottom w:val="single" w:sz="4" w:space="0" w:color="auto"/>
            </w:tcBorders>
            <w:vAlign w:val="center"/>
            <w:hideMark/>
          </w:tcPr>
          <w:p w14:paraId="5A7DB8DE"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Nurmawati</w:t>
            </w:r>
            <w:proofErr w:type="spellEnd"/>
            <w:r w:rsidRPr="000101C1">
              <w:rPr>
                <w:rFonts w:asciiTheme="majorBidi" w:hAnsiTheme="majorBidi" w:cstheme="majorBidi"/>
                <w:sz w:val="20"/>
                <w:szCs w:val="20"/>
              </w:rPr>
              <w:t xml:space="preserve"> et al. (2023)</w:t>
            </w:r>
          </w:p>
        </w:tc>
      </w:tr>
      <w:tr w:rsidR="000101C1" w:rsidRPr="000101C1" w14:paraId="05AF9E42" w14:textId="77777777" w:rsidTr="000101C1">
        <w:tc>
          <w:tcPr>
            <w:tcW w:w="0" w:type="auto"/>
            <w:tcBorders>
              <w:bottom w:val="single" w:sz="4" w:space="0" w:color="auto"/>
            </w:tcBorders>
            <w:tcMar>
              <w:top w:w="15" w:type="dxa"/>
              <w:left w:w="0" w:type="dxa"/>
              <w:bottom w:w="15" w:type="dxa"/>
              <w:right w:w="15" w:type="dxa"/>
            </w:tcMar>
            <w:vAlign w:val="center"/>
            <w:hideMark/>
          </w:tcPr>
          <w:p w14:paraId="7B93CC0A"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7007A3C6"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Improving quality and living standards for residents</w:t>
            </w:r>
          </w:p>
        </w:tc>
        <w:tc>
          <w:tcPr>
            <w:tcW w:w="0" w:type="auto"/>
            <w:tcBorders>
              <w:top w:val="single" w:sz="4" w:space="0" w:color="auto"/>
              <w:bottom w:val="single" w:sz="4" w:space="0" w:color="auto"/>
            </w:tcBorders>
            <w:vAlign w:val="center"/>
            <w:hideMark/>
          </w:tcPr>
          <w:p w14:paraId="7022E4C7"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Kim (2023)</w:t>
            </w:r>
          </w:p>
        </w:tc>
      </w:tr>
      <w:tr w:rsidR="000101C1" w:rsidRPr="000101C1" w14:paraId="12481AFF" w14:textId="77777777" w:rsidTr="000101C1">
        <w:tc>
          <w:tcPr>
            <w:tcW w:w="0" w:type="auto"/>
            <w:tcBorders>
              <w:top w:val="single" w:sz="4" w:space="0" w:color="auto"/>
            </w:tcBorders>
            <w:tcMar>
              <w:top w:w="15" w:type="dxa"/>
              <w:left w:w="0" w:type="dxa"/>
              <w:bottom w:w="15" w:type="dxa"/>
              <w:right w:w="15" w:type="dxa"/>
            </w:tcMar>
            <w:vAlign w:val="center"/>
            <w:hideMark/>
          </w:tcPr>
          <w:p w14:paraId="3D56F61C"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Reduction of Dependence on Human Labor</w:t>
            </w:r>
          </w:p>
        </w:tc>
        <w:tc>
          <w:tcPr>
            <w:tcW w:w="0" w:type="auto"/>
            <w:tcBorders>
              <w:top w:val="single" w:sz="4" w:space="0" w:color="auto"/>
              <w:bottom w:val="single" w:sz="4" w:space="0" w:color="auto"/>
            </w:tcBorders>
            <w:vAlign w:val="center"/>
            <w:hideMark/>
          </w:tcPr>
          <w:p w14:paraId="4C2C697C"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Dimensional standardization</w:t>
            </w:r>
          </w:p>
        </w:tc>
        <w:tc>
          <w:tcPr>
            <w:tcW w:w="0" w:type="auto"/>
            <w:tcBorders>
              <w:top w:val="single" w:sz="4" w:space="0" w:color="auto"/>
              <w:bottom w:val="single" w:sz="4" w:space="0" w:color="auto"/>
            </w:tcBorders>
            <w:vAlign w:val="center"/>
            <w:hideMark/>
          </w:tcPr>
          <w:p w14:paraId="5ED7A7AA"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 xml:space="preserve">Okereke &amp; </w:t>
            </w:r>
            <w:proofErr w:type="spellStart"/>
            <w:r w:rsidRPr="000101C1">
              <w:rPr>
                <w:rFonts w:asciiTheme="majorBidi" w:hAnsiTheme="majorBidi" w:cstheme="majorBidi"/>
                <w:sz w:val="20"/>
                <w:szCs w:val="20"/>
              </w:rPr>
              <w:t>Okanya</w:t>
            </w:r>
            <w:proofErr w:type="spellEnd"/>
            <w:r w:rsidRPr="000101C1">
              <w:rPr>
                <w:rFonts w:asciiTheme="majorBidi" w:hAnsiTheme="majorBidi" w:cstheme="majorBidi"/>
                <w:sz w:val="20"/>
                <w:szCs w:val="20"/>
              </w:rPr>
              <w:t xml:space="preserve"> (2024)</w:t>
            </w:r>
          </w:p>
        </w:tc>
      </w:tr>
      <w:tr w:rsidR="000101C1" w:rsidRPr="000101C1" w14:paraId="4C499175" w14:textId="77777777" w:rsidTr="000101C1">
        <w:tc>
          <w:tcPr>
            <w:tcW w:w="0" w:type="auto"/>
            <w:tcMar>
              <w:top w:w="15" w:type="dxa"/>
              <w:left w:w="0" w:type="dxa"/>
              <w:bottom w:w="15" w:type="dxa"/>
              <w:right w:w="15" w:type="dxa"/>
            </w:tcMar>
            <w:vAlign w:val="center"/>
            <w:hideMark/>
          </w:tcPr>
          <w:p w14:paraId="7340743D"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0AB82C91"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Standardization of functions</w:t>
            </w:r>
          </w:p>
        </w:tc>
        <w:tc>
          <w:tcPr>
            <w:tcW w:w="0" w:type="auto"/>
            <w:tcBorders>
              <w:top w:val="single" w:sz="4" w:space="0" w:color="auto"/>
              <w:bottom w:val="single" w:sz="4" w:space="0" w:color="auto"/>
            </w:tcBorders>
            <w:vAlign w:val="center"/>
            <w:hideMark/>
          </w:tcPr>
          <w:p w14:paraId="56927970"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Dourado</w:t>
            </w:r>
            <w:proofErr w:type="spellEnd"/>
            <w:r w:rsidRPr="000101C1">
              <w:rPr>
                <w:rFonts w:asciiTheme="majorBidi" w:hAnsiTheme="majorBidi" w:cstheme="majorBidi"/>
                <w:sz w:val="20"/>
                <w:szCs w:val="20"/>
              </w:rPr>
              <w:t xml:space="preserve"> et al. (2024), P2, P5</w:t>
            </w:r>
          </w:p>
        </w:tc>
      </w:tr>
      <w:tr w:rsidR="000101C1" w:rsidRPr="000101C1" w14:paraId="47DC3006" w14:textId="77777777" w:rsidTr="000101C1">
        <w:tc>
          <w:tcPr>
            <w:tcW w:w="0" w:type="auto"/>
            <w:tcMar>
              <w:top w:w="15" w:type="dxa"/>
              <w:left w:w="0" w:type="dxa"/>
              <w:bottom w:w="15" w:type="dxa"/>
              <w:right w:w="15" w:type="dxa"/>
            </w:tcMar>
            <w:vAlign w:val="center"/>
            <w:hideMark/>
          </w:tcPr>
          <w:p w14:paraId="3D5E1231"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5CECAFBA"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Standardization of elements</w:t>
            </w:r>
          </w:p>
        </w:tc>
        <w:tc>
          <w:tcPr>
            <w:tcW w:w="0" w:type="auto"/>
            <w:tcBorders>
              <w:top w:val="single" w:sz="4" w:space="0" w:color="auto"/>
              <w:bottom w:val="single" w:sz="4" w:space="0" w:color="auto"/>
            </w:tcBorders>
            <w:vAlign w:val="center"/>
            <w:hideMark/>
          </w:tcPr>
          <w:p w14:paraId="7F1E48CF"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Muthigani</w:t>
            </w:r>
            <w:proofErr w:type="spellEnd"/>
            <w:r w:rsidRPr="000101C1">
              <w:rPr>
                <w:rFonts w:asciiTheme="majorBidi" w:hAnsiTheme="majorBidi" w:cstheme="majorBidi"/>
                <w:sz w:val="20"/>
                <w:szCs w:val="20"/>
              </w:rPr>
              <w:t xml:space="preserve"> (2024)</w:t>
            </w:r>
          </w:p>
        </w:tc>
      </w:tr>
      <w:tr w:rsidR="000101C1" w:rsidRPr="000101C1" w14:paraId="584FE31B" w14:textId="77777777" w:rsidTr="000101C1">
        <w:tc>
          <w:tcPr>
            <w:tcW w:w="0" w:type="auto"/>
            <w:tcMar>
              <w:top w:w="15" w:type="dxa"/>
              <w:left w:w="0" w:type="dxa"/>
              <w:bottom w:w="15" w:type="dxa"/>
              <w:right w:w="15" w:type="dxa"/>
            </w:tcMar>
            <w:vAlign w:val="center"/>
            <w:hideMark/>
          </w:tcPr>
          <w:p w14:paraId="652B35B6"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45B877A9"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Plans for partitioning spaces for combined uses</w:t>
            </w:r>
          </w:p>
        </w:tc>
        <w:tc>
          <w:tcPr>
            <w:tcW w:w="0" w:type="auto"/>
            <w:tcBorders>
              <w:top w:val="single" w:sz="4" w:space="0" w:color="auto"/>
              <w:bottom w:val="single" w:sz="4" w:space="0" w:color="auto"/>
            </w:tcBorders>
            <w:vAlign w:val="center"/>
            <w:hideMark/>
          </w:tcPr>
          <w:p w14:paraId="50D3617D"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Bici</w:t>
            </w:r>
            <w:proofErr w:type="spellEnd"/>
            <w:r w:rsidRPr="000101C1">
              <w:rPr>
                <w:rFonts w:asciiTheme="majorBidi" w:hAnsiTheme="majorBidi" w:cstheme="majorBidi"/>
                <w:sz w:val="20"/>
                <w:szCs w:val="20"/>
              </w:rPr>
              <w:t xml:space="preserve"> &amp; </w:t>
            </w:r>
            <w:proofErr w:type="spellStart"/>
            <w:r w:rsidRPr="000101C1">
              <w:rPr>
                <w:rFonts w:asciiTheme="majorBidi" w:hAnsiTheme="majorBidi" w:cstheme="majorBidi"/>
                <w:sz w:val="20"/>
                <w:szCs w:val="20"/>
              </w:rPr>
              <w:t>Yunitsyna</w:t>
            </w:r>
            <w:proofErr w:type="spellEnd"/>
            <w:r w:rsidRPr="000101C1">
              <w:rPr>
                <w:rFonts w:asciiTheme="majorBidi" w:hAnsiTheme="majorBidi" w:cstheme="majorBidi"/>
                <w:sz w:val="20"/>
                <w:szCs w:val="20"/>
              </w:rPr>
              <w:t xml:space="preserve"> (2023)</w:t>
            </w:r>
          </w:p>
        </w:tc>
      </w:tr>
      <w:tr w:rsidR="000101C1" w:rsidRPr="000101C1" w14:paraId="1273FEFA" w14:textId="77777777" w:rsidTr="000101C1">
        <w:tc>
          <w:tcPr>
            <w:tcW w:w="0" w:type="auto"/>
            <w:tcMar>
              <w:top w:w="15" w:type="dxa"/>
              <w:left w:w="0" w:type="dxa"/>
              <w:bottom w:w="15" w:type="dxa"/>
              <w:right w:w="15" w:type="dxa"/>
            </w:tcMar>
            <w:vAlign w:val="center"/>
            <w:hideMark/>
          </w:tcPr>
          <w:p w14:paraId="0BC875D4"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245CF286"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Optimizing the number of modules for maximum usable area</w:t>
            </w:r>
          </w:p>
        </w:tc>
        <w:tc>
          <w:tcPr>
            <w:tcW w:w="0" w:type="auto"/>
            <w:tcBorders>
              <w:top w:val="single" w:sz="4" w:space="0" w:color="auto"/>
              <w:bottom w:val="single" w:sz="4" w:space="0" w:color="auto"/>
            </w:tcBorders>
            <w:vAlign w:val="center"/>
            <w:hideMark/>
          </w:tcPr>
          <w:p w14:paraId="1CD0D47A"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Kim (2023)</w:t>
            </w:r>
          </w:p>
        </w:tc>
      </w:tr>
      <w:tr w:rsidR="000101C1" w:rsidRPr="000101C1" w14:paraId="1389F730" w14:textId="77777777" w:rsidTr="000101C1">
        <w:tc>
          <w:tcPr>
            <w:tcW w:w="0" w:type="auto"/>
            <w:tcBorders>
              <w:bottom w:val="single" w:sz="4" w:space="0" w:color="auto"/>
            </w:tcBorders>
            <w:tcMar>
              <w:top w:w="15" w:type="dxa"/>
              <w:left w:w="0" w:type="dxa"/>
              <w:bottom w:w="15" w:type="dxa"/>
              <w:right w:w="15" w:type="dxa"/>
            </w:tcMar>
            <w:vAlign w:val="center"/>
            <w:hideMark/>
          </w:tcPr>
          <w:p w14:paraId="07096835"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0EEF7340"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Addressing the needs of individuals with disabilities (e.g., blind, deaf)</w:t>
            </w:r>
          </w:p>
        </w:tc>
        <w:tc>
          <w:tcPr>
            <w:tcW w:w="0" w:type="auto"/>
            <w:tcBorders>
              <w:top w:val="single" w:sz="4" w:space="0" w:color="auto"/>
              <w:bottom w:val="single" w:sz="4" w:space="0" w:color="auto"/>
            </w:tcBorders>
            <w:vAlign w:val="center"/>
            <w:hideMark/>
          </w:tcPr>
          <w:p w14:paraId="1325285B"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 xml:space="preserve">Okereke &amp; </w:t>
            </w:r>
            <w:proofErr w:type="spellStart"/>
            <w:r w:rsidRPr="000101C1">
              <w:rPr>
                <w:rFonts w:asciiTheme="majorBidi" w:hAnsiTheme="majorBidi" w:cstheme="majorBidi"/>
                <w:sz w:val="20"/>
                <w:szCs w:val="20"/>
              </w:rPr>
              <w:t>Okanya</w:t>
            </w:r>
            <w:proofErr w:type="spellEnd"/>
            <w:r w:rsidRPr="000101C1">
              <w:rPr>
                <w:rFonts w:asciiTheme="majorBidi" w:hAnsiTheme="majorBidi" w:cstheme="majorBidi"/>
                <w:sz w:val="20"/>
                <w:szCs w:val="20"/>
              </w:rPr>
              <w:t xml:space="preserve"> (2024), P4, P5</w:t>
            </w:r>
          </w:p>
        </w:tc>
      </w:tr>
      <w:tr w:rsidR="000101C1" w:rsidRPr="000101C1" w14:paraId="7EC0E3F1" w14:textId="77777777" w:rsidTr="000101C1">
        <w:tc>
          <w:tcPr>
            <w:tcW w:w="0" w:type="auto"/>
            <w:tcBorders>
              <w:top w:val="single" w:sz="4" w:space="0" w:color="auto"/>
            </w:tcBorders>
            <w:tcMar>
              <w:top w:w="15" w:type="dxa"/>
              <w:left w:w="0" w:type="dxa"/>
              <w:bottom w:w="15" w:type="dxa"/>
              <w:right w:w="15" w:type="dxa"/>
            </w:tcMar>
            <w:vAlign w:val="center"/>
            <w:hideMark/>
          </w:tcPr>
          <w:p w14:paraId="2EDCB4E5"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Future-Oriented Design and Expandability</w:t>
            </w:r>
          </w:p>
        </w:tc>
        <w:tc>
          <w:tcPr>
            <w:tcW w:w="0" w:type="auto"/>
            <w:tcBorders>
              <w:top w:val="single" w:sz="4" w:space="0" w:color="auto"/>
              <w:bottom w:val="single" w:sz="4" w:space="0" w:color="auto"/>
            </w:tcBorders>
            <w:vAlign w:val="center"/>
            <w:hideMark/>
          </w:tcPr>
          <w:p w14:paraId="64148177"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Reducing the number of load-bearing walls</w:t>
            </w:r>
          </w:p>
        </w:tc>
        <w:tc>
          <w:tcPr>
            <w:tcW w:w="0" w:type="auto"/>
            <w:tcBorders>
              <w:top w:val="single" w:sz="4" w:space="0" w:color="auto"/>
              <w:bottom w:val="single" w:sz="4" w:space="0" w:color="auto"/>
            </w:tcBorders>
            <w:vAlign w:val="center"/>
            <w:hideMark/>
          </w:tcPr>
          <w:p w14:paraId="01B7AEFD"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Wilson et al. (2024)</w:t>
            </w:r>
          </w:p>
        </w:tc>
      </w:tr>
      <w:tr w:rsidR="000101C1" w:rsidRPr="000101C1" w14:paraId="0DF8A082" w14:textId="77777777" w:rsidTr="000101C1">
        <w:tc>
          <w:tcPr>
            <w:tcW w:w="0" w:type="auto"/>
            <w:tcMar>
              <w:top w:w="15" w:type="dxa"/>
              <w:left w:w="0" w:type="dxa"/>
              <w:bottom w:w="15" w:type="dxa"/>
              <w:right w:w="15" w:type="dxa"/>
            </w:tcMar>
            <w:vAlign w:val="center"/>
            <w:hideMark/>
          </w:tcPr>
          <w:p w14:paraId="48F5920F"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0FF11D72"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Activity zoning to ensure space independence while maintaining connectivity</w:t>
            </w:r>
          </w:p>
        </w:tc>
        <w:tc>
          <w:tcPr>
            <w:tcW w:w="0" w:type="auto"/>
            <w:tcBorders>
              <w:top w:val="single" w:sz="4" w:space="0" w:color="auto"/>
              <w:bottom w:val="single" w:sz="4" w:space="0" w:color="auto"/>
            </w:tcBorders>
            <w:vAlign w:val="center"/>
            <w:hideMark/>
          </w:tcPr>
          <w:p w14:paraId="300369A5"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Kim (2023), P1, P2</w:t>
            </w:r>
          </w:p>
        </w:tc>
      </w:tr>
      <w:tr w:rsidR="000101C1" w:rsidRPr="000101C1" w14:paraId="742B0E6C" w14:textId="77777777" w:rsidTr="000101C1">
        <w:tc>
          <w:tcPr>
            <w:tcW w:w="0" w:type="auto"/>
            <w:tcMar>
              <w:top w:w="15" w:type="dxa"/>
              <w:left w:w="0" w:type="dxa"/>
              <w:bottom w:w="15" w:type="dxa"/>
              <w:right w:w="15" w:type="dxa"/>
            </w:tcMar>
            <w:vAlign w:val="center"/>
            <w:hideMark/>
          </w:tcPr>
          <w:p w14:paraId="16324C3C"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22A34555"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Use of BIM for structural, architectural, and MEP integration (virtual design and construction)</w:t>
            </w:r>
          </w:p>
        </w:tc>
        <w:tc>
          <w:tcPr>
            <w:tcW w:w="0" w:type="auto"/>
            <w:tcBorders>
              <w:top w:val="single" w:sz="4" w:space="0" w:color="auto"/>
              <w:bottom w:val="single" w:sz="4" w:space="0" w:color="auto"/>
            </w:tcBorders>
            <w:vAlign w:val="center"/>
            <w:hideMark/>
          </w:tcPr>
          <w:p w14:paraId="6CA795CF"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Bici</w:t>
            </w:r>
            <w:proofErr w:type="spellEnd"/>
            <w:r w:rsidRPr="000101C1">
              <w:rPr>
                <w:rFonts w:asciiTheme="majorBidi" w:hAnsiTheme="majorBidi" w:cstheme="majorBidi"/>
                <w:sz w:val="20"/>
                <w:szCs w:val="20"/>
              </w:rPr>
              <w:t xml:space="preserve"> &amp; </w:t>
            </w:r>
            <w:proofErr w:type="spellStart"/>
            <w:r w:rsidRPr="000101C1">
              <w:rPr>
                <w:rFonts w:asciiTheme="majorBidi" w:hAnsiTheme="majorBidi" w:cstheme="majorBidi"/>
                <w:sz w:val="20"/>
                <w:szCs w:val="20"/>
              </w:rPr>
              <w:t>Yunitsyna</w:t>
            </w:r>
            <w:proofErr w:type="spellEnd"/>
            <w:r w:rsidRPr="000101C1">
              <w:rPr>
                <w:rFonts w:asciiTheme="majorBidi" w:hAnsiTheme="majorBidi" w:cstheme="majorBidi"/>
                <w:sz w:val="20"/>
                <w:szCs w:val="20"/>
              </w:rPr>
              <w:t xml:space="preserve"> (2023)</w:t>
            </w:r>
          </w:p>
        </w:tc>
      </w:tr>
      <w:tr w:rsidR="000101C1" w:rsidRPr="000101C1" w14:paraId="24E79DCE" w14:textId="77777777" w:rsidTr="000101C1">
        <w:tc>
          <w:tcPr>
            <w:tcW w:w="0" w:type="auto"/>
            <w:tcBorders>
              <w:bottom w:val="single" w:sz="4" w:space="0" w:color="auto"/>
            </w:tcBorders>
            <w:tcMar>
              <w:top w:w="15" w:type="dxa"/>
              <w:left w:w="0" w:type="dxa"/>
              <w:bottom w:w="15" w:type="dxa"/>
              <w:right w:w="15" w:type="dxa"/>
            </w:tcMar>
            <w:vAlign w:val="center"/>
            <w:hideMark/>
          </w:tcPr>
          <w:p w14:paraId="32D5388D"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38E741AE"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User-centric and people-oriented approach</w:t>
            </w:r>
          </w:p>
        </w:tc>
        <w:tc>
          <w:tcPr>
            <w:tcW w:w="0" w:type="auto"/>
            <w:tcBorders>
              <w:top w:val="single" w:sz="4" w:space="0" w:color="auto"/>
              <w:bottom w:val="single" w:sz="4" w:space="0" w:color="auto"/>
            </w:tcBorders>
            <w:vAlign w:val="center"/>
            <w:hideMark/>
          </w:tcPr>
          <w:p w14:paraId="1ACF7C7E"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Wilson et al. (2024)</w:t>
            </w:r>
          </w:p>
        </w:tc>
      </w:tr>
      <w:tr w:rsidR="000101C1" w:rsidRPr="000101C1" w14:paraId="0A6900FA" w14:textId="77777777" w:rsidTr="000101C1">
        <w:tc>
          <w:tcPr>
            <w:tcW w:w="0" w:type="auto"/>
            <w:tcBorders>
              <w:top w:val="single" w:sz="4" w:space="0" w:color="auto"/>
            </w:tcBorders>
            <w:tcMar>
              <w:top w:w="15" w:type="dxa"/>
              <w:left w:w="0" w:type="dxa"/>
              <w:bottom w:w="15" w:type="dxa"/>
              <w:right w:w="15" w:type="dxa"/>
            </w:tcMar>
            <w:vAlign w:val="center"/>
            <w:hideMark/>
          </w:tcPr>
          <w:p w14:paraId="649DABDE"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0FD76128"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Presence of comfort factors for residents</w:t>
            </w:r>
          </w:p>
        </w:tc>
        <w:tc>
          <w:tcPr>
            <w:tcW w:w="0" w:type="auto"/>
            <w:tcBorders>
              <w:top w:val="single" w:sz="4" w:space="0" w:color="auto"/>
              <w:bottom w:val="single" w:sz="4" w:space="0" w:color="auto"/>
            </w:tcBorders>
            <w:vAlign w:val="center"/>
            <w:hideMark/>
          </w:tcPr>
          <w:p w14:paraId="54B6F886"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Gatoo</w:t>
            </w:r>
            <w:proofErr w:type="spellEnd"/>
            <w:r w:rsidRPr="000101C1">
              <w:rPr>
                <w:rFonts w:asciiTheme="majorBidi" w:hAnsiTheme="majorBidi" w:cstheme="majorBidi"/>
                <w:sz w:val="20"/>
                <w:szCs w:val="20"/>
              </w:rPr>
              <w:t xml:space="preserve"> Jimenez de </w:t>
            </w:r>
            <w:proofErr w:type="spellStart"/>
            <w:r w:rsidRPr="000101C1">
              <w:rPr>
                <w:rFonts w:asciiTheme="majorBidi" w:hAnsiTheme="majorBidi" w:cstheme="majorBidi"/>
                <w:sz w:val="20"/>
                <w:szCs w:val="20"/>
              </w:rPr>
              <w:t>Laiglesia</w:t>
            </w:r>
            <w:proofErr w:type="spellEnd"/>
            <w:r w:rsidRPr="000101C1">
              <w:rPr>
                <w:rFonts w:asciiTheme="majorBidi" w:hAnsiTheme="majorBidi" w:cstheme="majorBidi"/>
                <w:sz w:val="20"/>
                <w:szCs w:val="20"/>
              </w:rPr>
              <w:t xml:space="preserve"> (2023)</w:t>
            </w:r>
          </w:p>
        </w:tc>
      </w:tr>
      <w:tr w:rsidR="000101C1" w:rsidRPr="000101C1" w14:paraId="0256C2D9" w14:textId="77777777" w:rsidTr="000101C1">
        <w:tc>
          <w:tcPr>
            <w:tcW w:w="0" w:type="auto"/>
            <w:tcMar>
              <w:top w:w="15" w:type="dxa"/>
              <w:left w:w="0" w:type="dxa"/>
              <w:bottom w:w="15" w:type="dxa"/>
              <w:right w:w="15" w:type="dxa"/>
            </w:tcMar>
            <w:vAlign w:val="center"/>
            <w:hideMark/>
          </w:tcPr>
          <w:p w14:paraId="7957378E"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Reduction of Environmental Impact in Construction and Operation</w:t>
            </w:r>
          </w:p>
        </w:tc>
        <w:tc>
          <w:tcPr>
            <w:tcW w:w="0" w:type="auto"/>
            <w:tcBorders>
              <w:top w:val="single" w:sz="4" w:space="0" w:color="auto"/>
              <w:bottom w:val="single" w:sz="4" w:space="0" w:color="auto"/>
            </w:tcBorders>
            <w:vAlign w:val="center"/>
            <w:hideMark/>
          </w:tcPr>
          <w:p w14:paraId="21FB4065"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Anticipating space performance over the lifecycle and enabling internal changes for new functions</w:t>
            </w:r>
          </w:p>
        </w:tc>
        <w:tc>
          <w:tcPr>
            <w:tcW w:w="0" w:type="auto"/>
            <w:tcBorders>
              <w:top w:val="single" w:sz="4" w:space="0" w:color="auto"/>
              <w:bottom w:val="single" w:sz="4" w:space="0" w:color="auto"/>
            </w:tcBorders>
            <w:vAlign w:val="center"/>
            <w:hideMark/>
          </w:tcPr>
          <w:p w14:paraId="3EE21545"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Archer &amp; Wilson (2023)</w:t>
            </w:r>
          </w:p>
        </w:tc>
      </w:tr>
      <w:tr w:rsidR="000101C1" w:rsidRPr="000101C1" w14:paraId="37D3643C" w14:textId="77777777" w:rsidTr="000101C1">
        <w:tc>
          <w:tcPr>
            <w:tcW w:w="0" w:type="auto"/>
            <w:tcMar>
              <w:top w:w="15" w:type="dxa"/>
              <w:left w:w="0" w:type="dxa"/>
              <w:bottom w:w="15" w:type="dxa"/>
              <w:right w:w="15" w:type="dxa"/>
            </w:tcMar>
            <w:vAlign w:val="center"/>
            <w:hideMark/>
          </w:tcPr>
          <w:p w14:paraId="557DBCF2"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53C68002"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Compatibility with various materials</w:t>
            </w:r>
          </w:p>
        </w:tc>
        <w:tc>
          <w:tcPr>
            <w:tcW w:w="0" w:type="auto"/>
            <w:tcBorders>
              <w:top w:val="single" w:sz="4" w:space="0" w:color="auto"/>
              <w:bottom w:val="single" w:sz="4" w:space="0" w:color="auto"/>
            </w:tcBorders>
            <w:vAlign w:val="center"/>
            <w:hideMark/>
          </w:tcPr>
          <w:p w14:paraId="0129B362"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Muthigani</w:t>
            </w:r>
            <w:proofErr w:type="spellEnd"/>
            <w:r w:rsidRPr="000101C1">
              <w:rPr>
                <w:rFonts w:asciiTheme="majorBidi" w:hAnsiTheme="majorBidi" w:cstheme="majorBidi"/>
                <w:sz w:val="20"/>
                <w:szCs w:val="20"/>
              </w:rPr>
              <w:t xml:space="preserve"> (2024)</w:t>
            </w:r>
          </w:p>
        </w:tc>
      </w:tr>
      <w:tr w:rsidR="000101C1" w:rsidRPr="000101C1" w14:paraId="532F9F84" w14:textId="77777777" w:rsidTr="000101C1">
        <w:tc>
          <w:tcPr>
            <w:tcW w:w="0" w:type="auto"/>
            <w:tcMar>
              <w:top w:w="15" w:type="dxa"/>
              <w:left w:w="0" w:type="dxa"/>
              <w:bottom w:w="15" w:type="dxa"/>
              <w:right w:w="15" w:type="dxa"/>
            </w:tcMar>
            <w:vAlign w:val="center"/>
            <w:hideMark/>
          </w:tcPr>
          <w:p w14:paraId="43B91D07"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2F9B6292"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Determining unit size based on customer needs</w:t>
            </w:r>
          </w:p>
        </w:tc>
        <w:tc>
          <w:tcPr>
            <w:tcW w:w="0" w:type="auto"/>
            <w:tcBorders>
              <w:top w:val="single" w:sz="4" w:space="0" w:color="auto"/>
              <w:bottom w:val="single" w:sz="4" w:space="0" w:color="auto"/>
            </w:tcBorders>
            <w:vAlign w:val="center"/>
            <w:hideMark/>
          </w:tcPr>
          <w:p w14:paraId="77214A63"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Archer &amp; Wilson (2023), P3</w:t>
            </w:r>
          </w:p>
        </w:tc>
      </w:tr>
      <w:tr w:rsidR="000101C1" w:rsidRPr="000101C1" w14:paraId="6226CECF" w14:textId="77777777" w:rsidTr="000101C1">
        <w:tc>
          <w:tcPr>
            <w:tcW w:w="0" w:type="auto"/>
            <w:tcMar>
              <w:top w:w="15" w:type="dxa"/>
              <w:left w:w="0" w:type="dxa"/>
              <w:bottom w:w="15" w:type="dxa"/>
              <w:right w:w="15" w:type="dxa"/>
            </w:tcMar>
            <w:vAlign w:val="center"/>
            <w:hideMark/>
          </w:tcPr>
          <w:p w14:paraId="650765FD"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7E08F59"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Main structure meeting structural requirements</w:t>
            </w:r>
          </w:p>
        </w:tc>
        <w:tc>
          <w:tcPr>
            <w:tcW w:w="0" w:type="auto"/>
            <w:tcBorders>
              <w:top w:val="single" w:sz="4" w:space="0" w:color="auto"/>
              <w:bottom w:val="single" w:sz="4" w:space="0" w:color="auto"/>
            </w:tcBorders>
            <w:vAlign w:val="center"/>
            <w:hideMark/>
          </w:tcPr>
          <w:p w14:paraId="2CE82D83"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 xml:space="preserve">Okereke &amp; </w:t>
            </w:r>
            <w:proofErr w:type="spellStart"/>
            <w:r w:rsidRPr="000101C1">
              <w:rPr>
                <w:rFonts w:asciiTheme="majorBidi" w:hAnsiTheme="majorBidi" w:cstheme="majorBidi"/>
                <w:sz w:val="20"/>
                <w:szCs w:val="20"/>
              </w:rPr>
              <w:t>Okanya</w:t>
            </w:r>
            <w:proofErr w:type="spellEnd"/>
            <w:r w:rsidRPr="000101C1">
              <w:rPr>
                <w:rFonts w:asciiTheme="majorBidi" w:hAnsiTheme="majorBidi" w:cstheme="majorBidi"/>
                <w:sz w:val="20"/>
                <w:szCs w:val="20"/>
              </w:rPr>
              <w:t xml:space="preserve"> (2024)</w:t>
            </w:r>
          </w:p>
        </w:tc>
      </w:tr>
      <w:tr w:rsidR="000101C1" w:rsidRPr="000101C1" w14:paraId="0520E5D5" w14:textId="77777777" w:rsidTr="000101C1">
        <w:tc>
          <w:tcPr>
            <w:tcW w:w="0" w:type="auto"/>
            <w:tcMar>
              <w:top w:w="15" w:type="dxa"/>
              <w:left w:w="0" w:type="dxa"/>
              <w:bottom w:w="15" w:type="dxa"/>
              <w:right w:w="15" w:type="dxa"/>
            </w:tcMar>
            <w:vAlign w:val="center"/>
            <w:hideMark/>
          </w:tcPr>
          <w:p w14:paraId="05D8BB56"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6978770"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Increased user participation in design and construction processes</w:t>
            </w:r>
          </w:p>
        </w:tc>
        <w:tc>
          <w:tcPr>
            <w:tcW w:w="0" w:type="auto"/>
            <w:tcBorders>
              <w:top w:val="single" w:sz="4" w:space="0" w:color="auto"/>
              <w:bottom w:val="single" w:sz="4" w:space="0" w:color="auto"/>
            </w:tcBorders>
            <w:vAlign w:val="center"/>
            <w:hideMark/>
          </w:tcPr>
          <w:p w14:paraId="5E33D28A"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Delehant</w:t>
            </w:r>
            <w:proofErr w:type="spellEnd"/>
            <w:r w:rsidRPr="000101C1">
              <w:rPr>
                <w:rFonts w:asciiTheme="majorBidi" w:hAnsiTheme="majorBidi" w:cstheme="majorBidi"/>
                <w:sz w:val="20"/>
                <w:szCs w:val="20"/>
              </w:rPr>
              <w:t xml:space="preserve"> et al. (2024)</w:t>
            </w:r>
          </w:p>
        </w:tc>
      </w:tr>
      <w:tr w:rsidR="000101C1" w:rsidRPr="000101C1" w14:paraId="74B9DAC4" w14:textId="77777777" w:rsidTr="000101C1">
        <w:tc>
          <w:tcPr>
            <w:tcW w:w="0" w:type="auto"/>
            <w:tcMar>
              <w:top w:w="15" w:type="dxa"/>
              <w:left w:w="0" w:type="dxa"/>
              <w:bottom w:w="15" w:type="dxa"/>
              <w:right w:w="15" w:type="dxa"/>
            </w:tcMar>
            <w:vAlign w:val="center"/>
            <w:hideMark/>
          </w:tcPr>
          <w:p w14:paraId="5A1DCCDB"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4448DB67"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Identifying user intervention points and allowing freedom in them</w:t>
            </w:r>
          </w:p>
        </w:tc>
        <w:tc>
          <w:tcPr>
            <w:tcW w:w="0" w:type="auto"/>
            <w:tcBorders>
              <w:top w:val="single" w:sz="4" w:space="0" w:color="auto"/>
              <w:bottom w:val="single" w:sz="4" w:space="0" w:color="auto"/>
            </w:tcBorders>
            <w:vAlign w:val="center"/>
            <w:hideMark/>
          </w:tcPr>
          <w:p w14:paraId="3A15E332"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Wilson et al. (2024)</w:t>
            </w:r>
          </w:p>
        </w:tc>
      </w:tr>
      <w:tr w:rsidR="000101C1" w:rsidRPr="000101C1" w14:paraId="25DA3457" w14:textId="77777777" w:rsidTr="000101C1">
        <w:tc>
          <w:tcPr>
            <w:tcW w:w="0" w:type="auto"/>
            <w:tcBorders>
              <w:bottom w:val="single" w:sz="4" w:space="0" w:color="auto"/>
            </w:tcBorders>
            <w:tcMar>
              <w:top w:w="15" w:type="dxa"/>
              <w:left w:w="0" w:type="dxa"/>
              <w:bottom w:w="15" w:type="dxa"/>
              <w:right w:w="15" w:type="dxa"/>
            </w:tcMar>
            <w:vAlign w:val="center"/>
            <w:hideMark/>
          </w:tcPr>
          <w:p w14:paraId="190A76BC"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4179C291"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Activity zoning to ensure space independence while maintaining connectivity</w:t>
            </w:r>
          </w:p>
        </w:tc>
        <w:tc>
          <w:tcPr>
            <w:tcW w:w="0" w:type="auto"/>
            <w:tcBorders>
              <w:top w:val="single" w:sz="4" w:space="0" w:color="auto"/>
              <w:bottom w:val="single" w:sz="4" w:space="0" w:color="auto"/>
            </w:tcBorders>
            <w:vAlign w:val="center"/>
            <w:hideMark/>
          </w:tcPr>
          <w:p w14:paraId="772A1E52"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Bici</w:t>
            </w:r>
            <w:proofErr w:type="spellEnd"/>
            <w:r w:rsidRPr="000101C1">
              <w:rPr>
                <w:rFonts w:asciiTheme="majorBidi" w:hAnsiTheme="majorBidi" w:cstheme="majorBidi"/>
                <w:sz w:val="20"/>
                <w:szCs w:val="20"/>
              </w:rPr>
              <w:t xml:space="preserve"> &amp; </w:t>
            </w:r>
            <w:proofErr w:type="spellStart"/>
            <w:r w:rsidRPr="000101C1">
              <w:rPr>
                <w:rFonts w:asciiTheme="majorBidi" w:hAnsiTheme="majorBidi" w:cstheme="majorBidi"/>
                <w:sz w:val="20"/>
                <w:szCs w:val="20"/>
              </w:rPr>
              <w:t>Yunitsyna</w:t>
            </w:r>
            <w:proofErr w:type="spellEnd"/>
            <w:r w:rsidRPr="000101C1">
              <w:rPr>
                <w:rFonts w:asciiTheme="majorBidi" w:hAnsiTheme="majorBidi" w:cstheme="majorBidi"/>
                <w:sz w:val="20"/>
                <w:szCs w:val="20"/>
              </w:rPr>
              <w:t xml:space="preserve"> (2023)</w:t>
            </w:r>
          </w:p>
        </w:tc>
      </w:tr>
      <w:tr w:rsidR="000101C1" w:rsidRPr="000101C1" w14:paraId="2341CAAC" w14:textId="77777777" w:rsidTr="000101C1">
        <w:tc>
          <w:tcPr>
            <w:tcW w:w="0" w:type="auto"/>
            <w:tcBorders>
              <w:top w:val="single" w:sz="4" w:space="0" w:color="auto"/>
            </w:tcBorders>
            <w:tcMar>
              <w:top w:w="15" w:type="dxa"/>
              <w:left w:w="0" w:type="dxa"/>
              <w:bottom w:w="15" w:type="dxa"/>
              <w:right w:w="15" w:type="dxa"/>
            </w:tcMar>
            <w:vAlign w:val="center"/>
            <w:hideMark/>
          </w:tcPr>
          <w:p w14:paraId="3F16AD85"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Coordination Between Structural and Mechanical Systems</w:t>
            </w:r>
          </w:p>
        </w:tc>
        <w:tc>
          <w:tcPr>
            <w:tcW w:w="0" w:type="auto"/>
            <w:tcBorders>
              <w:top w:val="single" w:sz="4" w:space="0" w:color="auto"/>
              <w:bottom w:val="single" w:sz="4" w:space="0" w:color="auto"/>
            </w:tcBorders>
            <w:vAlign w:val="center"/>
            <w:hideMark/>
          </w:tcPr>
          <w:p w14:paraId="640B9ED5"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Creating spaces with height and plan integration principles</w:t>
            </w:r>
          </w:p>
        </w:tc>
        <w:tc>
          <w:tcPr>
            <w:tcW w:w="0" w:type="auto"/>
            <w:tcBorders>
              <w:top w:val="single" w:sz="4" w:space="0" w:color="auto"/>
              <w:bottom w:val="single" w:sz="4" w:space="0" w:color="auto"/>
            </w:tcBorders>
            <w:vAlign w:val="center"/>
            <w:hideMark/>
          </w:tcPr>
          <w:p w14:paraId="2CD93137"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Wilson et al. (2024)</w:t>
            </w:r>
          </w:p>
        </w:tc>
      </w:tr>
      <w:tr w:rsidR="000101C1" w:rsidRPr="000101C1" w14:paraId="162B005E" w14:textId="77777777" w:rsidTr="000101C1">
        <w:tc>
          <w:tcPr>
            <w:tcW w:w="0" w:type="auto"/>
            <w:tcMar>
              <w:top w:w="15" w:type="dxa"/>
              <w:left w:w="0" w:type="dxa"/>
              <w:bottom w:w="15" w:type="dxa"/>
              <w:right w:w="15" w:type="dxa"/>
            </w:tcMar>
            <w:vAlign w:val="center"/>
            <w:hideMark/>
          </w:tcPr>
          <w:p w14:paraId="2E08EB19"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272FE3EB"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Simplifying unit shapes</w:t>
            </w:r>
          </w:p>
        </w:tc>
        <w:tc>
          <w:tcPr>
            <w:tcW w:w="0" w:type="auto"/>
            <w:tcBorders>
              <w:top w:val="single" w:sz="4" w:space="0" w:color="auto"/>
              <w:bottom w:val="single" w:sz="4" w:space="0" w:color="auto"/>
            </w:tcBorders>
            <w:vAlign w:val="center"/>
            <w:hideMark/>
          </w:tcPr>
          <w:p w14:paraId="73476CEF"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Kim (2023)</w:t>
            </w:r>
          </w:p>
        </w:tc>
      </w:tr>
      <w:tr w:rsidR="000101C1" w:rsidRPr="000101C1" w14:paraId="7E823574" w14:textId="77777777" w:rsidTr="000101C1">
        <w:tc>
          <w:tcPr>
            <w:tcW w:w="0" w:type="auto"/>
            <w:tcMar>
              <w:top w:w="15" w:type="dxa"/>
              <w:left w:w="0" w:type="dxa"/>
              <w:bottom w:w="15" w:type="dxa"/>
              <w:right w:w="15" w:type="dxa"/>
            </w:tcMar>
            <w:vAlign w:val="center"/>
            <w:hideMark/>
          </w:tcPr>
          <w:p w14:paraId="0AB9CD39"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1502CA98"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Dimensional standardization</w:t>
            </w:r>
          </w:p>
        </w:tc>
        <w:tc>
          <w:tcPr>
            <w:tcW w:w="0" w:type="auto"/>
            <w:tcBorders>
              <w:top w:val="single" w:sz="4" w:space="0" w:color="auto"/>
              <w:bottom w:val="single" w:sz="4" w:space="0" w:color="auto"/>
            </w:tcBorders>
            <w:vAlign w:val="center"/>
            <w:hideMark/>
          </w:tcPr>
          <w:p w14:paraId="2722D641"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Walton et al. (2024)</w:t>
            </w:r>
          </w:p>
        </w:tc>
      </w:tr>
      <w:tr w:rsidR="000101C1" w:rsidRPr="000101C1" w14:paraId="019CEDE2" w14:textId="77777777" w:rsidTr="000101C1">
        <w:tc>
          <w:tcPr>
            <w:tcW w:w="0" w:type="auto"/>
            <w:tcMar>
              <w:top w:w="15" w:type="dxa"/>
              <w:left w:w="0" w:type="dxa"/>
              <w:bottom w:w="15" w:type="dxa"/>
              <w:right w:w="15" w:type="dxa"/>
            </w:tcMar>
            <w:vAlign w:val="center"/>
            <w:hideMark/>
          </w:tcPr>
          <w:p w14:paraId="6449AC08"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7959A9B6"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Optimizing the number of modules for maximum usable area</w:t>
            </w:r>
          </w:p>
        </w:tc>
        <w:tc>
          <w:tcPr>
            <w:tcW w:w="0" w:type="auto"/>
            <w:tcBorders>
              <w:top w:val="single" w:sz="4" w:space="0" w:color="auto"/>
              <w:bottom w:val="single" w:sz="4" w:space="0" w:color="auto"/>
            </w:tcBorders>
            <w:vAlign w:val="center"/>
            <w:hideMark/>
          </w:tcPr>
          <w:p w14:paraId="7FD0A027"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Archer &amp; Wilson (2023), P5</w:t>
            </w:r>
          </w:p>
        </w:tc>
      </w:tr>
      <w:tr w:rsidR="000101C1" w:rsidRPr="000101C1" w14:paraId="21DA81E3" w14:textId="77777777" w:rsidTr="000101C1">
        <w:tc>
          <w:tcPr>
            <w:tcW w:w="0" w:type="auto"/>
            <w:tcMar>
              <w:top w:w="15" w:type="dxa"/>
              <w:left w:w="0" w:type="dxa"/>
              <w:bottom w:w="15" w:type="dxa"/>
              <w:right w:w="15" w:type="dxa"/>
            </w:tcMar>
            <w:vAlign w:val="center"/>
            <w:hideMark/>
          </w:tcPr>
          <w:p w14:paraId="7C5EB85C"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58D3A9A4"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Meeting health requirements</w:t>
            </w:r>
          </w:p>
        </w:tc>
        <w:tc>
          <w:tcPr>
            <w:tcW w:w="0" w:type="auto"/>
            <w:tcBorders>
              <w:top w:val="single" w:sz="4" w:space="0" w:color="auto"/>
              <w:bottom w:val="single" w:sz="4" w:space="0" w:color="auto"/>
            </w:tcBorders>
            <w:vAlign w:val="center"/>
            <w:hideMark/>
          </w:tcPr>
          <w:p w14:paraId="4B1FE67F"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Hick et al. (2024)</w:t>
            </w:r>
          </w:p>
        </w:tc>
      </w:tr>
      <w:tr w:rsidR="000101C1" w:rsidRPr="000101C1" w14:paraId="432060FD" w14:textId="77777777" w:rsidTr="000101C1">
        <w:tc>
          <w:tcPr>
            <w:tcW w:w="0" w:type="auto"/>
            <w:tcBorders>
              <w:bottom w:val="single" w:sz="4" w:space="0" w:color="auto"/>
            </w:tcBorders>
            <w:tcMar>
              <w:top w:w="15" w:type="dxa"/>
              <w:left w:w="0" w:type="dxa"/>
              <w:bottom w:w="15" w:type="dxa"/>
              <w:right w:w="15" w:type="dxa"/>
            </w:tcMar>
            <w:vAlign w:val="center"/>
            <w:hideMark/>
          </w:tcPr>
          <w:p w14:paraId="56B59C95"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1044E609"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Designing products with maximum lifespan and minimal maintenance needs</w:t>
            </w:r>
          </w:p>
        </w:tc>
        <w:tc>
          <w:tcPr>
            <w:tcW w:w="0" w:type="auto"/>
            <w:tcBorders>
              <w:top w:val="single" w:sz="4" w:space="0" w:color="auto"/>
              <w:bottom w:val="single" w:sz="4" w:space="0" w:color="auto"/>
            </w:tcBorders>
            <w:vAlign w:val="center"/>
            <w:hideMark/>
          </w:tcPr>
          <w:p w14:paraId="3E399BF2"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Mumtaz &amp; Hussain (2024)</w:t>
            </w:r>
          </w:p>
        </w:tc>
      </w:tr>
      <w:tr w:rsidR="000101C1" w:rsidRPr="000101C1" w14:paraId="798AAA54" w14:textId="77777777" w:rsidTr="000101C1">
        <w:tc>
          <w:tcPr>
            <w:tcW w:w="0" w:type="auto"/>
            <w:tcBorders>
              <w:top w:val="single" w:sz="4" w:space="0" w:color="auto"/>
            </w:tcBorders>
            <w:tcMar>
              <w:top w:w="15" w:type="dxa"/>
              <w:left w:w="0" w:type="dxa"/>
              <w:bottom w:w="15" w:type="dxa"/>
              <w:right w:w="15" w:type="dxa"/>
            </w:tcMar>
            <w:vAlign w:val="center"/>
            <w:hideMark/>
          </w:tcPr>
          <w:p w14:paraId="4C35AE17"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Use of Passive Ventilation and Climate Solutions</w:t>
            </w:r>
          </w:p>
        </w:tc>
        <w:tc>
          <w:tcPr>
            <w:tcW w:w="0" w:type="auto"/>
            <w:tcBorders>
              <w:top w:val="single" w:sz="4" w:space="0" w:color="auto"/>
              <w:bottom w:val="single" w:sz="4" w:space="0" w:color="auto"/>
            </w:tcBorders>
            <w:vAlign w:val="center"/>
            <w:hideMark/>
          </w:tcPr>
          <w:p w14:paraId="42647C93"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Identifying user intervention points and allowing freedom in them</w:t>
            </w:r>
          </w:p>
        </w:tc>
        <w:tc>
          <w:tcPr>
            <w:tcW w:w="0" w:type="auto"/>
            <w:tcBorders>
              <w:top w:val="single" w:sz="4" w:space="0" w:color="auto"/>
              <w:bottom w:val="single" w:sz="4" w:space="0" w:color="auto"/>
            </w:tcBorders>
            <w:vAlign w:val="center"/>
            <w:hideMark/>
          </w:tcPr>
          <w:p w14:paraId="240BF38A" w14:textId="77777777" w:rsidR="000101C1" w:rsidRPr="000101C1" w:rsidRDefault="000101C1" w:rsidP="00DD24AD">
            <w:pPr>
              <w:spacing w:after="0" w:line="240" w:lineRule="auto"/>
              <w:contextualSpacing/>
              <w:jc w:val="center"/>
              <w:rPr>
                <w:rFonts w:asciiTheme="majorBidi" w:hAnsiTheme="majorBidi" w:cstheme="majorBidi"/>
                <w:sz w:val="20"/>
                <w:szCs w:val="20"/>
              </w:rPr>
            </w:pPr>
            <w:proofErr w:type="spellStart"/>
            <w:r w:rsidRPr="000101C1">
              <w:rPr>
                <w:rFonts w:asciiTheme="majorBidi" w:hAnsiTheme="majorBidi" w:cstheme="majorBidi"/>
                <w:sz w:val="20"/>
                <w:szCs w:val="20"/>
              </w:rPr>
              <w:t>Delehant</w:t>
            </w:r>
            <w:proofErr w:type="spellEnd"/>
            <w:r w:rsidRPr="000101C1">
              <w:rPr>
                <w:rFonts w:asciiTheme="majorBidi" w:hAnsiTheme="majorBidi" w:cstheme="majorBidi"/>
                <w:sz w:val="20"/>
                <w:szCs w:val="20"/>
              </w:rPr>
              <w:t xml:space="preserve"> et al. (2024)</w:t>
            </w:r>
          </w:p>
        </w:tc>
      </w:tr>
      <w:tr w:rsidR="000101C1" w:rsidRPr="000101C1" w14:paraId="2C987D70" w14:textId="77777777" w:rsidTr="000101C1">
        <w:tc>
          <w:tcPr>
            <w:tcW w:w="0" w:type="auto"/>
            <w:tcMar>
              <w:top w:w="15" w:type="dxa"/>
              <w:left w:w="0" w:type="dxa"/>
              <w:bottom w:w="15" w:type="dxa"/>
              <w:right w:w="15" w:type="dxa"/>
            </w:tcMar>
            <w:vAlign w:val="center"/>
            <w:hideMark/>
          </w:tcPr>
          <w:p w14:paraId="57B5575E"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2E59EEB"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Anticipating potential spaces for customer participation</w:t>
            </w:r>
          </w:p>
        </w:tc>
        <w:tc>
          <w:tcPr>
            <w:tcW w:w="0" w:type="auto"/>
            <w:tcBorders>
              <w:top w:val="single" w:sz="4" w:space="0" w:color="auto"/>
              <w:bottom w:val="single" w:sz="4" w:space="0" w:color="auto"/>
            </w:tcBorders>
            <w:vAlign w:val="center"/>
            <w:hideMark/>
          </w:tcPr>
          <w:p w14:paraId="1E0E7B2F"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 xml:space="preserve">Okereke &amp; </w:t>
            </w:r>
            <w:proofErr w:type="spellStart"/>
            <w:r w:rsidRPr="000101C1">
              <w:rPr>
                <w:rFonts w:asciiTheme="majorBidi" w:hAnsiTheme="majorBidi" w:cstheme="majorBidi"/>
                <w:sz w:val="20"/>
                <w:szCs w:val="20"/>
              </w:rPr>
              <w:t>Okanya</w:t>
            </w:r>
            <w:proofErr w:type="spellEnd"/>
            <w:r w:rsidRPr="000101C1">
              <w:rPr>
                <w:rFonts w:asciiTheme="majorBidi" w:hAnsiTheme="majorBidi" w:cstheme="majorBidi"/>
                <w:sz w:val="20"/>
                <w:szCs w:val="20"/>
              </w:rPr>
              <w:t xml:space="preserve"> (2024)</w:t>
            </w:r>
          </w:p>
        </w:tc>
      </w:tr>
      <w:tr w:rsidR="000101C1" w:rsidRPr="000101C1" w14:paraId="0A2EB3EA" w14:textId="77777777" w:rsidTr="000101C1">
        <w:tc>
          <w:tcPr>
            <w:tcW w:w="0" w:type="auto"/>
            <w:tcMar>
              <w:top w:w="15" w:type="dxa"/>
              <w:left w:w="0" w:type="dxa"/>
              <w:bottom w:w="15" w:type="dxa"/>
              <w:right w:w="15" w:type="dxa"/>
            </w:tcMar>
            <w:vAlign w:val="center"/>
            <w:hideMark/>
          </w:tcPr>
          <w:p w14:paraId="7110F07A"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31E65A67"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Improving quality and living standards for residents</w:t>
            </w:r>
          </w:p>
        </w:tc>
        <w:tc>
          <w:tcPr>
            <w:tcW w:w="0" w:type="auto"/>
            <w:tcBorders>
              <w:top w:val="single" w:sz="4" w:space="0" w:color="auto"/>
              <w:bottom w:val="single" w:sz="4" w:space="0" w:color="auto"/>
            </w:tcBorders>
            <w:vAlign w:val="center"/>
            <w:hideMark/>
          </w:tcPr>
          <w:p w14:paraId="6D26F26A"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Walton et al. (2024)</w:t>
            </w:r>
          </w:p>
        </w:tc>
      </w:tr>
      <w:tr w:rsidR="000101C1" w:rsidRPr="000101C1" w14:paraId="34B03226" w14:textId="77777777" w:rsidTr="000101C1">
        <w:tc>
          <w:tcPr>
            <w:tcW w:w="0" w:type="auto"/>
            <w:tcMar>
              <w:top w:w="15" w:type="dxa"/>
              <w:left w:w="0" w:type="dxa"/>
              <w:bottom w:w="15" w:type="dxa"/>
              <w:right w:w="15" w:type="dxa"/>
            </w:tcMar>
            <w:vAlign w:val="center"/>
            <w:hideMark/>
          </w:tcPr>
          <w:p w14:paraId="3CB8BE99"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1674BBF7"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Presence of comfort factors for residents</w:t>
            </w:r>
          </w:p>
        </w:tc>
        <w:tc>
          <w:tcPr>
            <w:tcW w:w="0" w:type="auto"/>
            <w:tcBorders>
              <w:top w:val="single" w:sz="4" w:space="0" w:color="auto"/>
              <w:bottom w:val="single" w:sz="4" w:space="0" w:color="auto"/>
            </w:tcBorders>
            <w:vAlign w:val="center"/>
            <w:hideMark/>
          </w:tcPr>
          <w:p w14:paraId="175BB80B"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Perreault (2023), P1, P2</w:t>
            </w:r>
          </w:p>
        </w:tc>
      </w:tr>
      <w:tr w:rsidR="000101C1" w:rsidRPr="000101C1" w14:paraId="075BF3E2" w14:textId="77777777" w:rsidTr="000101C1">
        <w:tc>
          <w:tcPr>
            <w:tcW w:w="0" w:type="auto"/>
            <w:tcBorders>
              <w:bottom w:val="single" w:sz="4" w:space="0" w:color="auto"/>
            </w:tcBorders>
            <w:tcMar>
              <w:top w:w="15" w:type="dxa"/>
              <w:left w:w="0" w:type="dxa"/>
              <w:bottom w:w="15" w:type="dxa"/>
              <w:right w:w="15" w:type="dxa"/>
            </w:tcMar>
            <w:vAlign w:val="center"/>
            <w:hideMark/>
          </w:tcPr>
          <w:p w14:paraId="66809F77"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F7272E4"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Central placement of service and communication spaces for maximum living space efficiency</w:t>
            </w:r>
          </w:p>
        </w:tc>
        <w:tc>
          <w:tcPr>
            <w:tcW w:w="0" w:type="auto"/>
            <w:tcBorders>
              <w:top w:val="single" w:sz="4" w:space="0" w:color="auto"/>
              <w:bottom w:val="single" w:sz="4" w:space="0" w:color="auto"/>
            </w:tcBorders>
            <w:vAlign w:val="center"/>
            <w:hideMark/>
          </w:tcPr>
          <w:p w14:paraId="14AE8CCB"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Wilson et al. (2024)</w:t>
            </w:r>
          </w:p>
        </w:tc>
      </w:tr>
      <w:tr w:rsidR="000101C1" w:rsidRPr="000101C1" w14:paraId="7690C4F0" w14:textId="77777777" w:rsidTr="000101C1">
        <w:tc>
          <w:tcPr>
            <w:tcW w:w="0" w:type="auto"/>
            <w:tcBorders>
              <w:top w:val="single" w:sz="4" w:space="0" w:color="auto"/>
            </w:tcBorders>
            <w:tcMar>
              <w:top w:w="15" w:type="dxa"/>
              <w:left w:w="0" w:type="dxa"/>
              <w:bottom w:w="15" w:type="dxa"/>
              <w:right w:w="15" w:type="dxa"/>
            </w:tcMar>
            <w:vAlign w:val="center"/>
            <w:hideMark/>
          </w:tcPr>
          <w:p w14:paraId="6DA7D80D"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Increased Speed and Efficiency in Production and Execution Processes</w:t>
            </w:r>
          </w:p>
        </w:tc>
        <w:tc>
          <w:tcPr>
            <w:tcW w:w="0" w:type="auto"/>
            <w:tcBorders>
              <w:top w:val="single" w:sz="4" w:space="0" w:color="auto"/>
              <w:bottom w:val="single" w:sz="4" w:space="0" w:color="auto"/>
            </w:tcBorders>
            <w:vAlign w:val="center"/>
            <w:hideMark/>
          </w:tcPr>
          <w:p w14:paraId="5B185857"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Optimizing the number of modules for maximum usable area</w:t>
            </w:r>
          </w:p>
        </w:tc>
        <w:tc>
          <w:tcPr>
            <w:tcW w:w="0" w:type="auto"/>
            <w:tcBorders>
              <w:top w:val="single" w:sz="4" w:space="0" w:color="auto"/>
              <w:bottom w:val="single" w:sz="4" w:space="0" w:color="auto"/>
            </w:tcBorders>
            <w:vAlign w:val="center"/>
            <w:hideMark/>
          </w:tcPr>
          <w:p w14:paraId="5001F7EB"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Perreault et al. (2022)</w:t>
            </w:r>
          </w:p>
        </w:tc>
      </w:tr>
      <w:tr w:rsidR="000101C1" w:rsidRPr="000101C1" w14:paraId="4BC98FE2" w14:textId="77777777" w:rsidTr="000101C1">
        <w:tc>
          <w:tcPr>
            <w:tcW w:w="0" w:type="auto"/>
            <w:tcMar>
              <w:top w:w="15" w:type="dxa"/>
              <w:left w:w="0" w:type="dxa"/>
              <w:bottom w:w="15" w:type="dxa"/>
              <w:right w:w="15" w:type="dxa"/>
            </w:tcMar>
            <w:vAlign w:val="center"/>
            <w:hideMark/>
          </w:tcPr>
          <w:p w14:paraId="2AE031D6"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75E4A1F3"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Use of BIM for structural, architectural, and MEP integration (virtual design and construction)</w:t>
            </w:r>
          </w:p>
        </w:tc>
        <w:tc>
          <w:tcPr>
            <w:tcW w:w="0" w:type="auto"/>
            <w:tcBorders>
              <w:top w:val="single" w:sz="4" w:space="0" w:color="auto"/>
              <w:bottom w:val="single" w:sz="4" w:space="0" w:color="auto"/>
            </w:tcBorders>
            <w:vAlign w:val="center"/>
            <w:hideMark/>
          </w:tcPr>
          <w:p w14:paraId="5F25E4DB"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Mumtaz &amp; Hussain (2024)</w:t>
            </w:r>
          </w:p>
        </w:tc>
      </w:tr>
      <w:tr w:rsidR="000101C1" w:rsidRPr="000101C1" w14:paraId="74107026" w14:textId="77777777" w:rsidTr="000101C1">
        <w:tc>
          <w:tcPr>
            <w:tcW w:w="0" w:type="auto"/>
            <w:tcMar>
              <w:top w:w="15" w:type="dxa"/>
              <w:left w:w="0" w:type="dxa"/>
              <w:bottom w:w="15" w:type="dxa"/>
              <w:right w:w="15" w:type="dxa"/>
            </w:tcMar>
            <w:vAlign w:val="center"/>
            <w:hideMark/>
          </w:tcPr>
          <w:p w14:paraId="0EA1A147"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69B4E1E7"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User-centric and people-oriented approach</w:t>
            </w:r>
          </w:p>
        </w:tc>
        <w:tc>
          <w:tcPr>
            <w:tcW w:w="0" w:type="auto"/>
            <w:tcBorders>
              <w:top w:val="single" w:sz="4" w:space="0" w:color="auto"/>
              <w:bottom w:val="single" w:sz="4" w:space="0" w:color="auto"/>
            </w:tcBorders>
            <w:vAlign w:val="center"/>
            <w:hideMark/>
          </w:tcPr>
          <w:p w14:paraId="5B4B5533"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Hick et al. (2024)</w:t>
            </w:r>
          </w:p>
        </w:tc>
      </w:tr>
      <w:tr w:rsidR="000101C1" w:rsidRPr="000101C1" w14:paraId="0C1A42E1" w14:textId="77777777" w:rsidTr="000101C1">
        <w:tc>
          <w:tcPr>
            <w:tcW w:w="0" w:type="auto"/>
            <w:tcBorders>
              <w:bottom w:val="single" w:sz="4" w:space="0" w:color="auto"/>
            </w:tcBorders>
            <w:tcMar>
              <w:top w:w="15" w:type="dxa"/>
              <w:left w:w="0" w:type="dxa"/>
              <w:bottom w:w="15" w:type="dxa"/>
              <w:right w:w="15" w:type="dxa"/>
            </w:tcMar>
            <w:vAlign w:val="center"/>
            <w:hideMark/>
          </w:tcPr>
          <w:p w14:paraId="35AB4DDA"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07D67B57"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Ability to create dynamic and diverse interior spaces</w:t>
            </w:r>
          </w:p>
        </w:tc>
        <w:tc>
          <w:tcPr>
            <w:tcW w:w="0" w:type="auto"/>
            <w:tcBorders>
              <w:top w:val="single" w:sz="4" w:space="0" w:color="auto"/>
              <w:bottom w:val="single" w:sz="4" w:space="0" w:color="auto"/>
            </w:tcBorders>
            <w:vAlign w:val="center"/>
            <w:hideMark/>
          </w:tcPr>
          <w:p w14:paraId="4A467599"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Perreault (2023), P2, P3</w:t>
            </w:r>
          </w:p>
        </w:tc>
      </w:tr>
      <w:tr w:rsidR="000101C1" w:rsidRPr="000101C1" w14:paraId="0DEEA192" w14:textId="77777777" w:rsidTr="000101C1">
        <w:tc>
          <w:tcPr>
            <w:tcW w:w="0" w:type="auto"/>
            <w:tcBorders>
              <w:top w:val="single" w:sz="4" w:space="0" w:color="auto"/>
            </w:tcBorders>
            <w:tcMar>
              <w:top w:w="15" w:type="dxa"/>
              <w:left w:w="0" w:type="dxa"/>
              <w:bottom w:w="15" w:type="dxa"/>
              <w:right w:w="15" w:type="dxa"/>
            </w:tcMar>
            <w:vAlign w:val="center"/>
            <w:hideMark/>
          </w:tcPr>
          <w:p w14:paraId="66847279"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022889C4"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Free configuration of facades</w:t>
            </w:r>
          </w:p>
        </w:tc>
        <w:tc>
          <w:tcPr>
            <w:tcW w:w="0" w:type="auto"/>
            <w:tcBorders>
              <w:top w:val="single" w:sz="4" w:space="0" w:color="auto"/>
              <w:bottom w:val="single" w:sz="4" w:space="0" w:color="auto"/>
            </w:tcBorders>
            <w:vAlign w:val="center"/>
            <w:hideMark/>
          </w:tcPr>
          <w:p w14:paraId="6839D6B4"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Perreault et al. (2020)</w:t>
            </w:r>
          </w:p>
        </w:tc>
      </w:tr>
      <w:tr w:rsidR="000101C1" w:rsidRPr="000101C1" w14:paraId="62E3318E" w14:textId="77777777" w:rsidTr="000101C1">
        <w:tc>
          <w:tcPr>
            <w:tcW w:w="0" w:type="auto"/>
            <w:tcMar>
              <w:top w:w="15" w:type="dxa"/>
              <w:left w:w="0" w:type="dxa"/>
              <w:bottom w:w="15" w:type="dxa"/>
              <w:right w:w="15" w:type="dxa"/>
            </w:tcMar>
            <w:vAlign w:val="center"/>
            <w:hideMark/>
          </w:tcPr>
          <w:p w14:paraId="16B910EB"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b/>
                <w:bCs/>
                <w:sz w:val="20"/>
                <w:szCs w:val="20"/>
              </w:rPr>
              <w:t>Provision of Psychological Comfort and Prevention of Environmental Stress</w:t>
            </w:r>
          </w:p>
        </w:tc>
        <w:tc>
          <w:tcPr>
            <w:tcW w:w="0" w:type="auto"/>
            <w:tcBorders>
              <w:top w:val="single" w:sz="4" w:space="0" w:color="auto"/>
              <w:bottom w:val="single" w:sz="4" w:space="0" w:color="auto"/>
            </w:tcBorders>
            <w:vAlign w:val="center"/>
            <w:hideMark/>
          </w:tcPr>
          <w:p w14:paraId="54CAC7A9"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Use of decks with larger spans</w:t>
            </w:r>
          </w:p>
        </w:tc>
        <w:tc>
          <w:tcPr>
            <w:tcW w:w="0" w:type="auto"/>
            <w:tcBorders>
              <w:top w:val="single" w:sz="4" w:space="0" w:color="auto"/>
              <w:bottom w:val="single" w:sz="4" w:space="0" w:color="auto"/>
            </w:tcBorders>
            <w:vAlign w:val="center"/>
            <w:hideMark/>
          </w:tcPr>
          <w:p w14:paraId="025A7265"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Walton et al. (2024), P1, P4</w:t>
            </w:r>
          </w:p>
        </w:tc>
      </w:tr>
      <w:tr w:rsidR="000101C1" w:rsidRPr="000101C1" w14:paraId="1F79EE49" w14:textId="77777777" w:rsidTr="000101C1">
        <w:tc>
          <w:tcPr>
            <w:tcW w:w="0" w:type="auto"/>
            <w:tcMar>
              <w:top w:w="15" w:type="dxa"/>
              <w:left w:w="0" w:type="dxa"/>
              <w:bottom w:w="15" w:type="dxa"/>
              <w:right w:w="15" w:type="dxa"/>
            </w:tcMar>
            <w:vAlign w:val="center"/>
            <w:hideMark/>
          </w:tcPr>
          <w:p w14:paraId="40F0FC84"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78141BF5"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Use of decks with larger spans</w:t>
            </w:r>
          </w:p>
        </w:tc>
        <w:tc>
          <w:tcPr>
            <w:tcW w:w="0" w:type="auto"/>
            <w:tcBorders>
              <w:top w:val="single" w:sz="4" w:space="0" w:color="auto"/>
              <w:bottom w:val="single" w:sz="4" w:space="0" w:color="auto"/>
            </w:tcBorders>
            <w:vAlign w:val="center"/>
            <w:hideMark/>
          </w:tcPr>
          <w:p w14:paraId="36817533"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Perreault et al. (2020)</w:t>
            </w:r>
          </w:p>
        </w:tc>
      </w:tr>
      <w:tr w:rsidR="000101C1" w:rsidRPr="000101C1" w14:paraId="6C2CCC4E" w14:textId="77777777" w:rsidTr="000101C1">
        <w:tc>
          <w:tcPr>
            <w:tcW w:w="0" w:type="auto"/>
            <w:tcMar>
              <w:top w:w="15" w:type="dxa"/>
              <w:left w:w="0" w:type="dxa"/>
              <w:bottom w:w="15" w:type="dxa"/>
              <w:right w:w="15" w:type="dxa"/>
            </w:tcMar>
            <w:vAlign w:val="center"/>
            <w:hideMark/>
          </w:tcPr>
          <w:p w14:paraId="23B7284F"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4492249B"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Optimization of panel dimensions</w:t>
            </w:r>
          </w:p>
        </w:tc>
        <w:tc>
          <w:tcPr>
            <w:tcW w:w="0" w:type="auto"/>
            <w:tcBorders>
              <w:top w:val="single" w:sz="4" w:space="0" w:color="auto"/>
              <w:bottom w:val="single" w:sz="4" w:space="0" w:color="auto"/>
            </w:tcBorders>
            <w:vAlign w:val="center"/>
            <w:hideMark/>
          </w:tcPr>
          <w:p w14:paraId="35933A35"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Perreault et al. (2020)</w:t>
            </w:r>
          </w:p>
        </w:tc>
      </w:tr>
      <w:tr w:rsidR="000101C1" w:rsidRPr="000101C1" w14:paraId="7CB9D86A" w14:textId="77777777" w:rsidTr="000101C1">
        <w:tc>
          <w:tcPr>
            <w:tcW w:w="0" w:type="auto"/>
            <w:tcMar>
              <w:top w:w="15" w:type="dxa"/>
              <w:left w:w="0" w:type="dxa"/>
              <w:bottom w:w="15" w:type="dxa"/>
              <w:right w:w="15" w:type="dxa"/>
            </w:tcMar>
            <w:vAlign w:val="center"/>
            <w:hideMark/>
          </w:tcPr>
          <w:p w14:paraId="0DA6D05D"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5394355C"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Adaptability to future needs</w:t>
            </w:r>
          </w:p>
        </w:tc>
        <w:tc>
          <w:tcPr>
            <w:tcW w:w="0" w:type="auto"/>
            <w:tcBorders>
              <w:top w:val="single" w:sz="4" w:space="0" w:color="auto"/>
              <w:bottom w:val="single" w:sz="4" w:space="0" w:color="auto"/>
            </w:tcBorders>
            <w:vAlign w:val="center"/>
            <w:hideMark/>
          </w:tcPr>
          <w:p w14:paraId="77CFDF63"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Perreault (2023)</w:t>
            </w:r>
          </w:p>
        </w:tc>
      </w:tr>
      <w:tr w:rsidR="000101C1" w:rsidRPr="000101C1" w14:paraId="2C9943B6" w14:textId="77777777" w:rsidTr="000101C1">
        <w:tc>
          <w:tcPr>
            <w:tcW w:w="0" w:type="auto"/>
            <w:tcBorders>
              <w:bottom w:val="single" w:sz="4" w:space="0" w:color="auto"/>
            </w:tcBorders>
            <w:tcMar>
              <w:top w:w="15" w:type="dxa"/>
              <w:left w:w="0" w:type="dxa"/>
              <w:bottom w:w="15" w:type="dxa"/>
              <w:right w:w="15" w:type="dxa"/>
            </w:tcMar>
            <w:vAlign w:val="center"/>
            <w:hideMark/>
          </w:tcPr>
          <w:p w14:paraId="00B059AA" w14:textId="77777777" w:rsidR="000101C1" w:rsidRPr="000101C1" w:rsidRDefault="000101C1" w:rsidP="00DD24AD">
            <w:pPr>
              <w:spacing w:after="0" w:line="240" w:lineRule="auto"/>
              <w:contextualSpacing/>
              <w:jc w:val="center"/>
              <w:rPr>
                <w:rFonts w:asciiTheme="majorBidi" w:hAnsiTheme="majorBidi" w:cstheme="majorBidi"/>
                <w:sz w:val="20"/>
                <w:szCs w:val="20"/>
              </w:rPr>
            </w:pPr>
          </w:p>
        </w:tc>
        <w:tc>
          <w:tcPr>
            <w:tcW w:w="0" w:type="auto"/>
            <w:tcBorders>
              <w:top w:val="single" w:sz="4" w:space="0" w:color="auto"/>
              <w:bottom w:val="single" w:sz="4" w:space="0" w:color="auto"/>
            </w:tcBorders>
            <w:vAlign w:val="center"/>
            <w:hideMark/>
          </w:tcPr>
          <w:p w14:paraId="086C8BAE" w14:textId="77777777" w:rsidR="000101C1" w:rsidRPr="000101C1" w:rsidRDefault="000101C1" w:rsidP="00DD24AD">
            <w:pPr>
              <w:spacing w:after="0" w:line="240" w:lineRule="auto"/>
              <w:contextualSpacing/>
              <w:rPr>
                <w:rFonts w:asciiTheme="majorBidi" w:hAnsiTheme="majorBidi" w:cstheme="majorBidi"/>
                <w:sz w:val="20"/>
                <w:szCs w:val="20"/>
              </w:rPr>
            </w:pPr>
            <w:r w:rsidRPr="000101C1">
              <w:rPr>
                <w:rFonts w:asciiTheme="majorBidi" w:hAnsiTheme="majorBidi" w:cstheme="majorBidi"/>
                <w:sz w:val="20"/>
                <w:szCs w:val="20"/>
              </w:rPr>
              <w:t>Flexibility at micro and macro scales (ability to change the type and proportion of residential units)</w:t>
            </w:r>
          </w:p>
        </w:tc>
        <w:tc>
          <w:tcPr>
            <w:tcW w:w="0" w:type="auto"/>
            <w:tcBorders>
              <w:top w:val="single" w:sz="4" w:space="0" w:color="auto"/>
              <w:bottom w:val="single" w:sz="4" w:space="0" w:color="auto"/>
            </w:tcBorders>
            <w:vAlign w:val="center"/>
            <w:hideMark/>
          </w:tcPr>
          <w:p w14:paraId="4737392D" w14:textId="77777777" w:rsidR="000101C1" w:rsidRPr="000101C1" w:rsidRDefault="000101C1" w:rsidP="00DD24AD">
            <w:pPr>
              <w:spacing w:after="0" w:line="240" w:lineRule="auto"/>
              <w:contextualSpacing/>
              <w:jc w:val="center"/>
              <w:rPr>
                <w:rFonts w:asciiTheme="majorBidi" w:hAnsiTheme="majorBidi" w:cstheme="majorBidi"/>
                <w:sz w:val="20"/>
                <w:szCs w:val="20"/>
              </w:rPr>
            </w:pPr>
            <w:r w:rsidRPr="000101C1">
              <w:rPr>
                <w:rFonts w:asciiTheme="majorBidi" w:hAnsiTheme="majorBidi" w:cstheme="majorBidi"/>
                <w:sz w:val="20"/>
                <w:szCs w:val="20"/>
              </w:rPr>
              <w:t>Mumtaz &amp; Hussain (2024)</w:t>
            </w:r>
          </w:p>
        </w:tc>
      </w:tr>
    </w:tbl>
    <w:p w14:paraId="74BF9236" w14:textId="77777777" w:rsidR="000101C1" w:rsidRPr="00C45F76" w:rsidRDefault="000101C1" w:rsidP="00C45F76">
      <w:pPr>
        <w:spacing w:after="0" w:line="240" w:lineRule="auto"/>
        <w:contextualSpacing/>
        <w:jc w:val="both"/>
        <w:rPr>
          <w:rFonts w:asciiTheme="majorBidi" w:hAnsiTheme="majorBidi" w:cstheme="majorBidi"/>
        </w:rPr>
      </w:pPr>
    </w:p>
    <w:p w14:paraId="4D3533CE" w14:textId="24C028BF" w:rsidR="00C45F76" w:rsidRDefault="00A22325" w:rsidP="00A22325">
      <w:pPr>
        <w:spacing w:after="0" w:line="240" w:lineRule="auto"/>
        <w:contextualSpacing/>
        <w:jc w:val="both"/>
        <w:rPr>
          <w:rFonts w:asciiTheme="majorBidi" w:hAnsiTheme="majorBidi" w:cstheme="majorBidi"/>
        </w:rPr>
      </w:pPr>
      <w:r w:rsidRPr="00A22325">
        <w:rPr>
          <w:rFonts w:asciiTheme="majorBidi" w:hAnsiTheme="majorBidi" w:cstheme="majorBidi"/>
        </w:rPr>
        <w:t>In the next step, a researcher-made questionnaire derived from the above table was used to perform confirmatory factor analysis. Figure (1) shows the structural equation model related to the factors identified in this process, based on the factor loadings of latent and observed variables. The numbers on the arrows represent the factor loadings, and the numbers inside the blue circles represent the coefficient of determination.</w:t>
      </w:r>
    </w:p>
    <w:p w14:paraId="7AE7EBCB" w14:textId="2E4DC4BB" w:rsidR="00A22325" w:rsidRDefault="00A22325" w:rsidP="00A22325">
      <w:pPr>
        <w:spacing w:after="0" w:line="240" w:lineRule="auto"/>
        <w:contextualSpacing/>
        <w:jc w:val="both"/>
        <w:rPr>
          <w:rFonts w:asciiTheme="majorBidi" w:hAnsiTheme="majorBidi" w:cstheme="majorBidi"/>
        </w:rPr>
      </w:pPr>
    </w:p>
    <w:p w14:paraId="788108AE" w14:textId="3375F463" w:rsidR="00A22325" w:rsidRDefault="00A22325" w:rsidP="00F81835">
      <w:pPr>
        <w:spacing w:after="0" w:line="240" w:lineRule="auto"/>
        <w:contextualSpacing/>
        <w:jc w:val="center"/>
        <w:rPr>
          <w:rFonts w:asciiTheme="majorBidi" w:hAnsiTheme="majorBidi" w:cstheme="majorBidi"/>
          <w:rtl/>
          <w:lang w:bidi="fa-IR"/>
        </w:rPr>
      </w:pPr>
      <w:r>
        <w:rPr>
          <w:noProof/>
        </w:rPr>
        <w:drawing>
          <wp:inline distT="0" distB="0" distL="0" distR="0" wp14:anchorId="47F1AFD7" wp14:editId="27BECE72">
            <wp:extent cx="4423144" cy="224096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74021" cy="2266744"/>
                    </a:xfrm>
                    <a:prstGeom prst="rect">
                      <a:avLst/>
                    </a:prstGeom>
                  </pic:spPr>
                </pic:pic>
              </a:graphicData>
            </a:graphic>
          </wp:inline>
        </w:drawing>
      </w:r>
    </w:p>
    <w:p w14:paraId="25098A8C" w14:textId="2B528942" w:rsidR="00D07030" w:rsidRDefault="00D07030" w:rsidP="00D07030">
      <w:pPr>
        <w:spacing w:after="0" w:line="240" w:lineRule="auto"/>
        <w:contextualSpacing/>
        <w:jc w:val="center"/>
        <w:rPr>
          <w:rFonts w:asciiTheme="majorBidi" w:hAnsiTheme="majorBidi" w:cstheme="majorBidi"/>
          <w:b/>
          <w:bCs/>
          <w:sz w:val="20"/>
          <w:szCs w:val="20"/>
          <w:lang w:bidi="fa-IR"/>
        </w:rPr>
      </w:pPr>
      <w:r w:rsidRPr="00D07030">
        <w:rPr>
          <w:rFonts w:asciiTheme="majorBidi" w:hAnsiTheme="majorBidi" w:cstheme="majorBidi"/>
          <w:b/>
          <w:bCs/>
          <w:sz w:val="20"/>
          <w:szCs w:val="20"/>
          <w:lang w:bidi="fa-IR"/>
        </w:rPr>
        <w:t>Figure (1) Structural Equation Model of the Drivers of Affordable Housing Based on the Socio-Cultural Patterns of Iran According to Factor Load Values</w:t>
      </w:r>
    </w:p>
    <w:p w14:paraId="18686AD7" w14:textId="77777777" w:rsidR="00186732" w:rsidRDefault="00186732" w:rsidP="00D07030">
      <w:pPr>
        <w:spacing w:after="0" w:line="240" w:lineRule="auto"/>
        <w:contextualSpacing/>
        <w:jc w:val="center"/>
        <w:rPr>
          <w:rFonts w:asciiTheme="majorBidi" w:hAnsiTheme="majorBidi" w:cstheme="majorBidi"/>
          <w:b/>
          <w:bCs/>
          <w:sz w:val="20"/>
          <w:szCs w:val="20"/>
          <w:lang w:bidi="fa-IR"/>
        </w:rPr>
      </w:pPr>
    </w:p>
    <w:p w14:paraId="53092E36" w14:textId="1698D9A7" w:rsidR="00D07030" w:rsidRDefault="00D07030" w:rsidP="00D07030">
      <w:pPr>
        <w:spacing w:after="0" w:line="240" w:lineRule="auto"/>
        <w:contextualSpacing/>
        <w:jc w:val="both"/>
        <w:rPr>
          <w:rFonts w:asciiTheme="majorBidi" w:hAnsiTheme="majorBidi" w:cstheme="majorBidi"/>
          <w:lang w:bidi="fa-IR"/>
        </w:rPr>
      </w:pPr>
      <w:r w:rsidRPr="00D07030">
        <w:rPr>
          <w:rFonts w:asciiTheme="majorBidi" w:hAnsiTheme="majorBidi" w:cstheme="majorBidi"/>
          <w:lang w:bidi="fa-IR"/>
        </w:rPr>
        <w:t xml:space="preserve">Figure (1) presents the structural equation model of the drivers of affordable housing supply based on socio-cultural patterns in Iran, according to factor loadings. As shown in Figure (1), all factors have factor loadings close to or greater than 0.5. Although the factor for reducing environmental impacts has a factor loading of less than 0.5, according to Table 6 and based on the </w:t>
      </w:r>
      <w:proofErr w:type="gramStart"/>
      <w:r w:rsidRPr="00D07030">
        <w:rPr>
          <w:rFonts w:asciiTheme="majorBidi" w:hAnsiTheme="majorBidi" w:cstheme="majorBidi"/>
          <w:lang w:bidi="fa-IR"/>
        </w:rPr>
        <w:t>Student's</w:t>
      </w:r>
      <w:proofErr w:type="gramEnd"/>
      <w:r w:rsidRPr="00D07030">
        <w:rPr>
          <w:rFonts w:asciiTheme="majorBidi" w:hAnsiTheme="majorBidi" w:cstheme="majorBidi"/>
          <w:lang w:bidi="fa-IR"/>
        </w:rPr>
        <w:t xml:space="preserve"> t-test, the t-statistic is greater than 1.96, and the significance value is less than 0.05. Therefore, this factor is also significant and should remain in the model. Additionally, the values inside the blue circles represent the coefficient of determination, indicating the contribution of each component to the study. In other words, increasing productivity in production and execution processes and providing psychological comfort and preventing environmental stress explain more than 60% of the variations, while aesthetics and preserving architectural identity explain 17% of the total variations. This indicates that, currently, in the system of affordable housing supply based on cultural patterns, the primary focus is on productivity in production and execution processes due to the shortage of affordable housing, while the least attention is given to aesthetics and preserving architectural identity. Table 6 shows the factor loadings along with the t-test and the significance level of each factor.</w:t>
      </w:r>
    </w:p>
    <w:p w14:paraId="00E2A806" w14:textId="77777777" w:rsidR="00D07030" w:rsidRPr="00D07030" w:rsidRDefault="00D07030" w:rsidP="00D07030">
      <w:pPr>
        <w:spacing w:after="0" w:line="240" w:lineRule="auto"/>
        <w:contextualSpacing/>
        <w:jc w:val="both"/>
        <w:rPr>
          <w:rFonts w:asciiTheme="majorBidi" w:hAnsiTheme="majorBidi" w:cstheme="majorBidi"/>
          <w:lang w:bidi="fa-IR"/>
        </w:rPr>
      </w:pPr>
    </w:p>
    <w:p w14:paraId="223EC07C"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b/>
          <w:bCs/>
          <w:sz w:val="20"/>
          <w:szCs w:val="20"/>
          <w:lang w:bidi="fa-IR"/>
        </w:rPr>
        <w:t>Table (6): t-test for the drivers of affordable housing supply based on socio-cultural patterns</w:t>
      </w:r>
    </w:p>
    <w:tbl>
      <w:tblPr>
        <w:tblW w:w="0" w:type="auto"/>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5183"/>
        <w:gridCol w:w="1231"/>
        <w:gridCol w:w="1056"/>
        <w:gridCol w:w="990"/>
        <w:gridCol w:w="900"/>
      </w:tblGrid>
      <w:tr w:rsidR="00D07030" w:rsidRPr="00D07030" w14:paraId="3CDC2643" w14:textId="77777777" w:rsidTr="00D07030">
        <w:trPr>
          <w:tblHeader/>
        </w:trPr>
        <w:tc>
          <w:tcPr>
            <w:tcW w:w="0" w:type="auto"/>
            <w:tcMar>
              <w:top w:w="15" w:type="dxa"/>
              <w:left w:w="0" w:type="dxa"/>
              <w:bottom w:w="15" w:type="dxa"/>
              <w:right w:w="15" w:type="dxa"/>
            </w:tcMar>
            <w:vAlign w:val="center"/>
            <w:hideMark/>
          </w:tcPr>
          <w:p w14:paraId="5C6B19FB" w14:textId="77777777" w:rsidR="00D07030" w:rsidRPr="00D07030" w:rsidRDefault="00D07030" w:rsidP="00D07030">
            <w:pPr>
              <w:spacing w:after="0" w:line="240" w:lineRule="auto"/>
              <w:contextualSpacing/>
              <w:jc w:val="both"/>
              <w:rPr>
                <w:rFonts w:asciiTheme="majorBidi" w:hAnsiTheme="majorBidi" w:cstheme="majorBidi"/>
                <w:b/>
                <w:bCs/>
                <w:sz w:val="20"/>
                <w:szCs w:val="20"/>
                <w:lang w:bidi="fa-IR"/>
              </w:rPr>
            </w:pPr>
            <w:r w:rsidRPr="00D07030">
              <w:rPr>
                <w:rFonts w:asciiTheme="majorBidi" w:hAnsiTheme="majorBidi" w:cstheme="majorBidi"/>
                <w:b/>
                <w:bCs/>
                <w:sz w:val="20"/>
                <w:szCs w:val="20"/>
                <w:lang w:bidi="fa-IR"/>
              </w:rPr>
              <w:t>Factor</w:t>
            </w:r>
          </w:p>
        </w:tc>
        <w:tc>
          <w:tcPr>
            <w:tcW w:w="0" w:type="auto"/>
            <w:vAlign w:val="center"/>
            <w:hideMark/>
          </w:tcPr>
          <w:p w14:paraId="13D09039" w14:textId="77777777" w:rsidR="00D07030" w:rsidRPr="00D07030" w:rsidRDefault="00D07030" w:rsidP="00D07030">
            <w:pPr>
              <w:spacing w:after="0" w:line="240" w:lineRule="auto"/>
              <w:contextualSpacing/>
              <w:jc w:val="both"/>
              <w:rPr>
                <w:rFonts w:asciiTheme="majorBidi" w:hAnsiTheme="majorBidi" w:cstheme="majorBidi"/>
                <w:b/>
                <w:bCs/>
                <w:sz w:val="20"/>
                <w:szCs w:val="20"/>
                <w:lang w:bidi="fa-IR"/>
              </w:rPr>
            </w:pPr>
            <w:r w:rsidRPr="00D07030">
              <w:rPr>
                <w:rFonts w:asciiTheme="majorBidi" w:hAnsiTheme="majorBidi" w:cstheme="majorBidi"/>
                <w:b/>
                <w:bCs/>
                <w:sz w:val="20"/>
                <w:szCs w:val="20"/>
                <w:lang w:bidi="fa-IR"/>
              </w:rPr>
              <w:t>Factor Loading</w:t>
            </w:r>
          </w:p>
        </w:tc>
        <w:tc>
          <w:tcPr>
            <w:tcW w:w="1056" w:type="dxa"/>
            <w:vAlign w:val="center"/>
            <w:hideMark/>
          </w:tcPr>
          <w:p w14:paraId="43398C9C" w14:textId="77777777" w:rsidR="00D07030" w:rsidRPr="00D07030" w:rsidRDefault="00D07030" w:rsidP="00D07030">
            <w:pPr>
              <w:spacing w:after="0" w:line="240" w:lineRule="auto"/>
              <w:contextualSpacing/>
              <w:jc w:val="both"/>
              <w:rPr>
                <w:rFonts w:asciiTheme="majorBidi" w:hAnsiTheme="majorBidi" w:cstheme="majorBidi"/>
                <w:b/>
                <w:bCs/>
                <w:sz w:val="20"/>
                <w:szCs w:val="20"/>
                <w:lang w:bidi="fa-IR"/>
              </w:rPr>
            </w:pPr>
            <w:r w:rsidRPr="00D07030">
              <w:rPr>
                <w:rFonts w:asciiTheme="majorBidi" w:hAnsiTheme="majorBidi" w:cstheme="majorBidi"/>
                <w:b/>
                <w:bCs/>
                <w:sz w:val="20"/>
                <w:szCs w:val="20"/>
                <w:lang w:bidi="fa-IR"/>
              </w:rPr>
              <w:t>Standard Deviation</w:t>
            </w:r>
          </w:p>
        </w:tc>
        <w:tc>
          <w:tcPr>
            <w:tcW w:w="990" w:type="dxa"/>
            <w:vAlign w:val="center"/>
            <w:hideMark/>
          </w:tcPr>
          <w:p w14:paraId="11D41577" w14:textId="77777777" w:rsidR="00D07030" w:rsidRPr="00D07030" w:rsidRDefault="00D07030" w:rsidP="00D07030">
            <w:pPr>
              <w:spacing w:after="0" w:line="240" w:lineRule="auto"/>
              <w:contextualSpacing/>
              <w:jc w:val="both"/>
              <w:rPr>
                <w:rFonts w:asciiTheme="majorBidi" w:hAnsiTheme="majorBidi" w:cstheme="majorBidi"/>
                <w:b/>
                <w:bCs/>
                <w:sz w:val="20"/>
                <w:szCs w:val="20"/>
                <w:lang w:bidi="fa-IR"/>
              </w:rPr>
            </w:pPr>
            <w:r w:rsidRPr="00D07030">
              <w:rPr>
                <w:rFonts w:asciiTheme="majorBidi" w:hAnsiTheme="majorBidi" w:cstheme="majorBidi"/>
                <w:b/>
                <w:bCs/>
                <w:sz w:val="20"/>
                <w:szCs w:val="20"/>
                <w:lang w:bidi="fa-IR"/>
              </w:rPr>
              <w:t>t-statistic</w:t>
            </w:r>
          </w:p>
        </w:tc>
        <w:tc>
          <w:tcPr>
            <w:tcW w:w="900" w:type="dxa"/>
            <w:vAlign w:val="center"/>
            <w:hideMark/>
          </w:tcPr>
          <w:p w14:paraId="10483313" w14:textId="77777777" w:rsidR="00D07030" w:rsidRPr="00D07030" w:rsidRDefault="00D07030" w:rsidP="00D07030">
            <w:pPr>
              <w:spacing w:after="0" w:line="240" w:lineRule="auto"/>
              <w:contextualSpacing/>
              <w:jc w:val="both"/>
              <w:rPr>
                <w:rFonts w:asciiTheme="majorBidi" w:hAnsiTheme="majorBidi" w:cstheme="majorBidi"/>
                <w:b/>
                <w:bCs/>
                <w:sz w:val="20"/>
                <w:szCs w:val="20"/>
                <w:lang w:bidi="fa-IR"/>
              </w:rPr>
            </w:pPr>
            <w:r w:rsidRPr="00D07030">
              <w:rPr>
                <w:rFonts w:asciiTheme="majorBidi" w:hAnsiTheme="majorBidi" w:cstheme="majorBidi"/>
                <w:b/>
                <w:bCs/>
                <w:sz w:val="20"/>
                <w:szCs w:val="20"/>
                <w:lang w:bidi="fa-IR"/>
              </w:rPr>
              <w:t>p-value</w:t>
            </w:r>
          </w:p>
        </w:tc>
      </w:tr>
      <w:tr w:rsidR="00D07030" w:rsidRPr="00D07030" w14:paraId="7499AFDA" w14:textId="77777777" w:rsidTr="00D07030">
        <w:tc>
          <w:tcPr>
            <w:tcW w:w="0" w:type="auto"/>
            <w:tcMar>
              <w:top w:w="15" w:type="dxa"/>
              <w:left w:w="0" w:type="dxa"/>
              <w:bottom w:w="15" w:type="dxa"/>
              <w:right w:w="15" w:type="dxa"/>
            </w:tcMar>
            <w:vAlign w:val="center"/>
            <w:hideMark/>
          </w:tcPr>
          <w:p w14:paraId="64B4A151"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Standardization and modularization of design and construction</w:t>
            </w:r>
          </w:p>
        </w:tc>
        <w:tc>
          <w:tcPr>
            <w:tcW w:w="0" w:type="auto"/>
            <w:vAlign w:val="center"/>
            <w:hideMark/>
          </w:tcPr>
          <w:p w14:paraId="009D9D7C"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0.635</w:t>
            </w:r>
          </w:p>
        </w:tc>
        <w:tc>
          <w:tcPr>
            <w:tcW w:w="1056" w:type="dxa"/>
            <w:vAlign w:val="center"/>
            <w:hideMark/>
          </w:tcPr>
          <w:p w14:paraId="39AF5798"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0.049</w:t>
            </w:r>
          </w:p>
        </w:tc>
        <w:tc>
          <w:tcPr>
            <w:tcW w:w="990" w:type="dxa"/>
            <w:vAlign w:val="center"/>
            <w:hideMark/>
          </w:tcPr>
          <w:p w14:paraId="16C028E1"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13.062</w:t>
            </w:r>
          </w:p>
        </w:tc>
        <w:tc>
          <w:tcPr>
            <w:tcW w:w="900" w:type="dxa"/>
            <w:vAlign w:val="center"/>
            <w:hideMark/>
          </w:tcPr>
          <w:p w14:paraId="64ED09B1"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27ED9638" w14:textId="77777777" w:rsidTr="00D07030">
        <w:tc>
          <w:tcPr>
            <w:tcW w:w="0" w:type="auto"/>
            <w:tcMar>
              <w:top w:w="15" w:type="dxa"/>
              <w:left w:w="0" w:type="dxa"/>
              <w:bottom w:w="15" w:type="dxa"/>
              <w:right w:w="15" w:type="dxa"/>
            </w:tcMar>
            <w:vAlign w:val="center"/>
            <w:hideMark/>
          </w:tcPr>
          <w:p w14:paraId="46FC3542"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Use of passive ventilation and climatic strategies</w:t>
            </w:r>
          </w:p>
        </w:tc>
        <w:tc>
          <w:tcPr>
            <w:tcW w:w="0" w:type="auto"/>
            <w:vAlign w:val="center"/>
            <w:hideMark/>
          </w:tcPr>
          <w:p w14:paraId="5493F094"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0.655</w:t>
            </w:r>
          </w:p>
        </w:tc>
        <w:tc>
          <w:tcPr>
            <w:tcW w:w="1056" w:type="dxa"/>
            <w:vAlign w:val="center"/>
            <w:hideMark/>
          </w:tcPr>
          <w:p w14:paraId="4A81422B"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0.045</w:t>
            </w:r>
          </w:p>
        </w:tc>
        <w:tc>
          <w:tcPr>
            <w:tcW w:w="990" w:type="dxa"/>
            <w:vAlign w:val="center"/>
            <w:hideMark/>
          </w:tcPr>
          <w:p w14:paraId="5BD454BE"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14.359</w:t>
            </w:r>
          </w:p>
        </w:tc>
        <w:tc>
          <w:tcPr>
            <w:tcW w:w="900" w:type="dxa"/>
            <w:vAlign w:val="center"/>
            <w:hideMark/>
          </w:tcPr>
          <w:p w14:paraId="7BC3F727"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6B99654C" w14:textId="77777777" w:rsidTr="00D07030">
        <w:tc>
          <w:tcPr>
            <w:tcW w:w="0" w:type="auto"/>
            <w:tcMar>
              <w:top w:w="15" w:type="dxa"/>
              <w:left w:w="0" w:type="dxa"/>
              <w:bottom w:w="15" w:type="dxa"/>
              <w:right w:w="15" w:type="dxa"/>
            </w:tcMar>
            <w:vAlign w:val="center"/>
            <w:hideMark/>
          </w:tcPr>
          <w:p w14:paraId="60A8B058"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Use of modern technologies in construction and design</w:t>
            </w:r>
          </w:p>
        </w:tc>
        <w:tc>
          <w:tcPr>
            <w:tcW w:w="0" w:type="auto"/>
            <w:vAlign w:val="center"/>
            <w:hideMark/>
          </w:tcPr>
          <w:p w14:paraId="4281FD2E"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0.594</w:t>
            </w:r>
          </w:p>
        </w:tc>
        <w:tc>
          <w:tcPr>
            <w:tcW w:w="1056" w:type="dxa"/>
            <w:vAlign w:val="center"/>
            <w:hideMark/>
          </w:tcPr>
          <w:p w14:paraId="0FDAA60E"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0.053</w:t>
            </w:r>
          </w:p>
        </w:tc>
        <w:tc>
          <w:tcPr>
            <w:tcW w:w="990" w:type="dxa"/>
            <w:vAlign w:val="center"/>
            <w:hideMark/>
          </w:tcPr>
          <w:p w14:paraId="5221207B"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11.117</w:t>
            </w:r>
          </w:p>
        </w:tc>
        <w:tc>
          <w:tcPr>
            <w:tcW w:w="900" w:type="dxa"/>
            <w:vAlign w:val="center"/>
            <w:hideMark/>
          </w:tcPr>
          <w:p w14:paraId="5BE7EDC4"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3DEE0A96" w14:textId="77777777" w:rsidTr="00D07030">
        <w:tc>
          <w:tcPr>
            <w:tcW w:w="0" w:type="auto"/>
            <w:tcMar>
              <w:top w:w="15" w:type="dxa"/>
              <w:left w:w="0" w:type="dxa"/>
              <w:bottom w:w="15" w:type="dxa"/>
              <w:right w:w="15" w:type="dxa"/>
            </w:tcMar>
            <w:vAlign w:val="center"/>
            <w:hideMark/>
          </w:tcPr>
          <w:p w14:paraId="76D0006E"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Use of sustainable and recyclable materials</w:t>
            </w:r>
          </w:p>
        </w:tc>
        <w:tc>
          <w:tcPr>
            <w:tcW w:w="0" w:type="auto"/>
            <w:vAlign w:val="center"/>
            <w:hideMark/>
          </w:tcPr>
          <w:p w14:paraId="24AD647D"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0.628</w:t>
            </w:r>
          </w:p>
        </w:tc>
        <w:tc>
          <w:tcPr>
            <w:tcW w:w="1056" w:type="dxa"/>
            <w:vAlign w:val="center"/>
            <w:hideMark/>
          </w:tcPr>
          <w:p w14:paraId="2AF4D1E0"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0.049</w:t>
            </w:r>
          </w:p>
        </w:tc>
        <w:tc>
          <w:tcPr>
            <w:tcW w:w="990" w:type="dxa"/>
            <w:vAlign w:val="center"/>
            <w:hideMark/>
          </w:tcPr>
          <w:p w14:paraId="0D243646"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12.936</w:t>
            </w:r>
          </w:p>
        </w:tc>
        <w:tc>
          <w:tcPr>
            <w:tcW w:w="900" w:type="dxa"/>
            <w:vAlign w:val="center"/>
            <w:hideMark/>
          </w:tcPr>
          <w:p w14:paraId="4142E23D"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1AA9A502" w14:textId="77777777" w:rsidTr="00D07030">
        <w:tc>
          <w:tcPr>
            <w:tcW w:w="0" w:type="auto"/>
            <w:tcMar>
              <w:top w:w="15" w:type="dxa"/>
              <w:left w:w="0" w:type="dxa"/>
              <w:bottom w:w="15" w:type="dxa"/>
              <w:right w:w="15" w:type="dxa"/>
            </w:tcMar>
            <w:vAlign w:val="center"/>
            <w:hideMark/>
          </w:tcPr>
          <w:p w14:paraId="701900D2"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Increasing speed and productivity in production and execution processes</w:t>
            </w:r>
          </w:p>
        </w:tc>
        <w:tc>
          <w:tcPr>
            <w:tcW w:w="0" w:type="auto"/>
            <w:vAlign w:val="center"/>
            <w:hideMark/>
          </w:tcPr>
          <w:p w14:paraId="0A415A73"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0.782</w:t>
            </w:r>
          </w:p>
        </w:tc>
        <w:tc>
          <w:tcPr>
            <w:tcW w:w="1056" w:type="dxa"/>
            <w:vAlign w:val="center"/>
            <w:hideMark/>
          </w:tcPr>
          <w:p w14:paraId="08379F75"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0.034</w:t>
            </w:r>
          </w:p>
        </w:tc>
        <w:tc>
          <w:tcPr>
            <w:tcW w:w="990" w:type="dxa"/>
            <w:vAlign w:val="center"/>
            <w:hideMark/>
          </w:tcPr>
          <w:p w14:paraId="58ED0F63"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22.912</w:t>
            </w:r>
          </w:p>
        </w:tc>
        <w:tc>
          <w:tcPr>
            <w:tcW w:w="900" w:type="dxa"/>
            <w:vAlign w:val="center"/>
            <w:hideMark/>
          </w:tcPr>
          <w:p w14:paraId="19743889"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3A8F1E69" w14:textId="77777777" w:rsidTr="00D07030">
        <w:tc>
          <w:tcPr>
            <w:tcW w:w="0" w:type="auto"/>
            <w:tcMar>
              <w:top w:w="15" w:type="dxa"/>
              <w:left w:w="0" w:type="dxa"/>
              <w:bottom w:w="15" w:type="dxa"/>
              <w:right w:w="15" w:type="dxa"/>
            </w:tcMar>
            <w:vAlign w:val="center"/>
            <w:hideMark/>
          </w:tcPr>
          <w:p w14:paraId="792BEAE8"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Adaptability to user and family needs</w:t>
            </w:r>
          </w:p>
        </w:tc>
        <w:tc>
          <w:tcPr>
            <w:tcW w:w="0" w:type="auto"/>
            <w:vAlign w:val="center"/>
            <w:hideMark/>
          </w:tcPr>
          <w:p w14:paraId="24DFB46E"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0.723</w:t>
            </w:r>
          </w:p>
        </w:tc>
        <w:tc>
          <w:tcPr>
            <w:tcW w:w="1056" w:type="dxa"/>
            <w:vAlign w:val="center"/>
            <w:hideMark/>
          </w:tcPr>
          <w:p w14:paraId="35199409"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0.043</w:t>
            </w:r>
          </w:p>
        </w:tc>
        <w:tc>
          <w:tcPr>
            <w:tcW w:w="990" w:type="dxa"/>
            <w:vAlign w:val="center"/>
            <w:hideMark/>
          </w:tcPr>
          <w:p w14:paraId="31510053"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16.977</w:t>
            </w:r>
          </w:p>
        </w:tc>
        <w:tc>
          <w:tcPr>
            <w:tcW w:w="900" w:type="dxa"/>
            <w:vAlign w:val="center"/>
            <w:hideMark/>
          </w:tcPr>
          <w:p w14:paraId="0B864EF1"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43D4362B" w14:textId="77777777" w:rsidTr="00D07030">
        <w:tc>
          <w:tcPr>
            <w:tcW w:w="0" w:type="auto"/>
            <w:tcMar>
              <w:top w:w="15" w:type="dxa"/>
              <w:left w:w="0" w:type="dxa"/>
              <w:bottom w:w="15" w:type="dxa"/>
              <w:right w:w="15" w:type="dxa"/>
            </w:tcMar>
            <w:vAlign w:val="center"/>
            <w:hideMark/>
          </w:tcPr>
          <w:p w14:paraId="1F8E7817"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Flexibility in design and space variability</w:t>
            </w:r>
          </w:p>
        </w:tc>
        <w:tc>
          <w:tcPr>
            <w:tcW w:w="0" w:type="auto"/>
            <w:vAlign w:val="center"/>
            <w:hideMark/>
          </w:tcPr>
          <w:p w14:paraId="37A1CAF2"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0.574</w:t>
            </w:r>
          </w:p>
        </w:tc>
        <w:tc>
          <w:tcPr>
            <w:tcW w:w="1056" w:type="dxa"/>
            <w:vAlign w:val="center"/>
            <w:hideMark/>
          </w:tcPr>
          <w:p w14:paraId="54F36F6B"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0.061</w:t>
            </w:r>
          </w:p>
        </w:tc>
        <w:tc>
          <w:tcPr>
            <w:tcW w:w="990" w:type="dxa"/>
            <w:vAlign w:val="center"/>
            <w:hideMark/>
          </w:tcPr>
          <w:p w14:paraId="1A063CFB"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9.452</w:t>
            </w:r>
          </w:p>
        </w:tc>
        <w:tc>
          <w:tcPr>
            <w:tcW w:w="900" w:type="dxa"/>
            <w:vAlign w:val="center"/>
            <w:hideMark/>
          </w:tcPr>
          <w:p w14:paraId="7C5E2C3E"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0B89B417" w14:textId="77777777" w:rsidTr="00D07030">
        <w:tc>
          <w:tcPr>
            <w:tcW w:w="0" w:type="auto"/>
            <w:tcMar>
              <w:top w:w="15" w:type="dxa"/>
              <w:left w:w="0" w:type="dxa"/>
              <w:bottom w:w="15" w:type="dxa"/>
              <w:right w:w="15" w:type="dxa"/>
            </w:tcMar>
            <w:vAlign w:val="center"/>
            <w:hideMark/>
          </w:tcPr>
          <w:p w14:paraId="3F2EDBF9"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Safety and structural reinforcement</w:t>
            </w:r>
          </w:p>
        </w:tc>
        <w:tc>
          <w:tcPr>
            <w:tcW w:w="0" w:type="auto"/>
            <w:vAlign w:val="center"/>
            <w:hideMark/>
          </w:tcPr>
          <w:p w14:paraId="03B9BCD2"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0.647</w:t>
            </w:r>
          </w:p>
        </w:tc>
        <w:tc>
          <w:tcPr>
            <w:tcW w:w="1056" w:type="dxa"/>
            <w:vAlign w:val="center"/>
            <w:hideMark/>
          </w:tcPr>
          <w:p w14:paraId="078D8435"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0.049</w:t>
            </w:r>
          </w:p>
        </w:tc>
        <w:tc>
          <w:tcPr>
            <w:tcW w:w="990" w:type="dxa"/>
            <w:vAlign w:val="center"/>
            <w:hideMark/>
          </w:tcPr>
          <w:p w14:paraId="5B159668"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12.955</w:t>
            </w:r>
          </w:p>
        </w:tc>
        <w:tc>
          <w:tcPr>
            <w:tcW w:w="900" w:type="dxa"/>
            <w:vAlign w:val="center"/>
            <w:hideMark/>
          </w:tcPr>
          <w:p w14:paraId="6637F39D"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3A40C64C" w14:textId="77777777" w:rsidTr="00D07030">
        <w:tc>
          <w:tcPr>
            <w:tcW w:w="0" w:type="auto"/>
            <w:tcMar>
              <w:top w:w="15" w:type="dxa"/>
              <w:left w:w="0" w:type="dxa"/>
              <w:bottom w:w="15" w:type="dxa"/>
              <w:right w:w="15" w:type="dxa"/>
            </w:tcMar>
            <w:vAlign w:val="center"/>
            <w:hideMark/>
          </w:tcPr>
          <w:p w14:paraId="3CCE98F8"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lastRenderedPageBreak/>
              <w:t>Optimization of energy consumption and reduction of environmental impacts</w:t>
            </w:r>
          </w:p>
        </w:tc>
        <w:tc>
          <w:tcPr>
            <w:tcW w:w="0" w:type="auto"/>
            <w:vAlign w:val="center"/>
            <w:hideMark/>
          </w:tcPr>
          <w:p w14:paraId="5CCF27ED"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0.633</w:t>
            </w:r>
          </w:p>
        </w:tc>
        <w:tc>
          <w:tcPr>
            <w:tcW w:w="1056" w:type="dxa"/>
            <w:vAlign w:val="center"/>
            <w:hideMark/>
          </w:tcPr>
          <w:p w14:paraId="123B9407"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0.054</w:t>
            </w:r>
          </w:p>
        </w:tc>
        <w:tc>
          <w:tcPr>
            <w:tcW w:w="990" w:type="dxa"/>
            <w:vAlign w:val="center"/>
            <w:hideMark/>
          </w:tcPr>
          <w:p w14:paraId="12AA9DB9"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11.712</w:t>
            </w:r>
          </w:p>
        </w:tc>
        <w:tc>
          <w:tcPr>
            <w:tcW w:w="900" w:type="dxa"/>
            <w:vAlign w:val="center"/>
            <w:hideMark/>
          </w:tcPr>
          <w:p w14:paraId="36717921"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2FE0E83A" w14:textId="77777777" w:rsidTr="00D07030">
        <w:tc>
          <w:tcPr>
            <w:tcW w:w="0" w:type="auto"/>
            <w:tcMar>
              <w:top w:w="15" w:type="dxa"/>
              <w:left w:w="0" w:type="dxa"/>
              <w:bottom w:w="15" w:type="dxa"/>
              <w:right w:w="15" w:type="dxa"/>
            </w:tcMar>
            <w:vAlign w:val="center"/>
            <w:hideMark/>
          </w:tcPr>
          <w:p w14:paraId="62042D3F"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Optimization of energy costs and ventilation systems</w:t>
            </w:r>
          </w:p>
        </w:tc>
        <w:tc>
          <w:tcPr>
            <w:tcW w:w="0" w:type="auto"/>
            <w:vAlign w:val="center"/>
            <w:hideMark/>
          </w:tcPr>
          <w:p w14:paraId="5548A958"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0.564</w:t>
            </w:r>
          </w:p>
        </w:tc>
        <w:tc>
          <w:tcPr>
            <w:tcW w:w="1056" w:type="dxa"/>
            <w:vAlign w:val="center"/>
            <w:hideMark/>
          </w:tcPr>
          <w:p w14:paraId="5F957E8B"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0.068</w:t>
            </w:r>
          </w:p>
        </w:tc>
        <w:tc>
          <w:tcPr>
            <w:tcW w:w="990" w:type="dxa"/>
            <w:vAlign w:val="center"/>
            <w:hideMark/>
          </w:tcPr>
          <w:p w14:paraId="052471B7"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8.303</w:t>
            </w:r>
          </w:p>
        </w:tc>
        <w:tc>
          <w:tcPr>
            <w:tcW w:w="900" w:type="dxa"/>
            <w:vAlign w:val="center"/>
            <w:hideMark/>
          </w:tcPr>
          <w:p w14:paraId="622B3D70"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735313A9" w14:textId="77777777" w:rsidTr="00D07030">
        <w:tc>
          <w:tcPr>
            <w:tcW w:w="0" w:type="auto"/>
            <w:tcMar>
              <w:top w:w="15" w:type="dxa"/>
              <w:left w:w="0" w:type="dxa"/>
              <w:bottom w:w="15" w:type="dxa"/>
              <w:right w:w="15" w:type="dxa"/>
            </w:tcMar>
            <w:vAlign w:val="center"/>
            <w:hideMark/>
          </w:tcPr>
          <w:p w14:paraId="6239BA2E"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Providing psychological comfort and preventing environmental stress</w:t>
            </w:r>
          </w:p>
        </w:tc>
        <w:tc>
          <w:tcPr>
            <w:tcW w:w="0" w:type="auto"/>
            <w:vAlign w:val="center"/>
            <w:hideMark/>
          </w:tcPr>
          <w:p w14:paraId="5BA870FE"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0.811</w:t>
            </w:r>
          </w:p>
        </w:tc>
        <w:tc>
          <w:tcPr>
            <w:tcW w:w="1056" w:type="dxa"/>
            <w:vAlign w:val="center"/>
            <w:hideMark/>
          </w:tcPr>
          <w:p w14:paraId="6803AAE5"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0.038</w:t>
            </w:r>
          </w:p>
        </w:tc>
        <w:tc>
          <w:tcPr>
            <w:tcW w:w="990" w:type="dxa"/>
            <w:vAlign w:val="center"/>
            <w:hideMark/>
          </w:tcPr>
          <w:p w14:paraId="6FBFFF3C"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21.318</w:t>
            </w:r>
          </w:p>
        </w:tc>
        <w:tc>
          <w:tcPr>
            <w:tcW w:w="900" w:type="dxa"/>
            <w:vAlign w:val="center"/>
            <w:hideMark/>
          </w:tcPr>
          <w:p w14:paraId="33AF9E27"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20C8777C" w14:textId="77777777" w:rsidTr="00D07030">
        <w:tc>
          <w:tcPr>
            <w:tcW w:w="0" w:type="auto"/>
            <w:tcMar>
              <w:top w:w="15" w:type="dxa"/>
              <w:left w:w="0" w:type="dxa"/>
              <w:bottom w:w="15" w:type="dxa"/>
              <w:right w:w="15" w:type="dxa"/>
            </w:tcMar>
            <w:vAlign w:val="center"/>
            <w:hideMark/>
          </w:tcPr>
          <w:p w14:paraId="55261DE6"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Providing natural light and optimal use of sunlight</w:t>
            </w:r>
          </w:p>
        </w:tc>
        <w:tc>
          <w:tcPr>
            <w:tcW w:w="0" w:type="auto"/>
            <w:vAlign w:val="center"/>
            <w:hideMark/>
          </w:tcPr>
          <w:p w14:paraId="3255E2C9"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0.549</w:t>
            </w:r>
          </w:p>
        </w:tc>
        <w:tc>
          <w:tcPr>
            <w:tcW w:w="1056" w:type="dxa"/>
            <w:vAlign w:val="center"/>
            <w:hideMark/>
          </w:tcPr>
          <w:p w14:paraId="23EA17E1"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0.066</w:t>
            </w:r>
          </w:p>
        </w:tc>
        <w:tc>
          <w:tcPr>
            <w:tcW w:w="990" w:type="dxa"/>
            <w:vAlign w:val="center"/>
            <w:hideMark/>
          </w:tcPr>
          <w:p w14:paraId="66A2EAED"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8.451</w:t>
            </w:r>
          </w:p>
        </w:tc>
        <w:tc>
          <w:tcPr>
            <w:tcW w:w="900" w:type="dxa"/>
            <w:vAlign w:val="center"/>
            <w:hideMark/>
          </w:tcPr>
          <w:p w14:paraId="131B7E49"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0596ADF4" w14:textId="77777777" w:rsidTr="00D07030">
        <w:tc>
          <w:tcPr>
            <w:tcW w:w="0" w:type="auto"/>
            <w:tcMar>
              <w:top w:w="15" w:type="dxa"/>
              <w:left w:w="0" w:type="dxa"/>
              <w:bottom w:w="15" w:type="dxa"/>
              <w:right w:w="15" w:type="dxa"/>
            </w:tcMar>
            <w:vAlign w:val="center"/>
            <w:hideMark/>
          </w:tcPr>
          <w:p w14:paraId="459C9608"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Strengthening neighborhood relationships and social interaction</w:t>
            </w:r>
          </w:p>
        </w:tc>
        <w:tc>
          <w:tcPr>
            <w:tcW w:w="0" w:type="auto"/>
            <w:vAlign w:val="center"/>
            <w:hideMark/>
          </w:tcPr>
          <w:p w14:paraId="23347D69"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0.595</w:t>
            </w:r>
          </w:p>
        </w:tc>
        <w:tc>
          <w:tcPr>
            <w:tcW w:w="1056" w:type="dxa"/>
            <w:vAlign w:val="center"/>
            <w:hideMark/>
          </w:tcPr>
          <w:p w14:paraId="2FBBEA14"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0.059</w:t>
            </w:r>
          </w:p>
        </w:tc>
        <w:tc>
          <w:tcPr>
            <w:tcW w:w="990" w:type="dxa"/>
            <w:vAlign w:val="center"/>
            <w:hideMark/>
          </w:tcPr>
          <w:p w14:paraId="570FDF4D"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10.214</w:t>
            </w:r>
          </w:p>
        </w:tc>
        <w:tc>
          <w:tcPr>
            <w:tcW w:w="900" w:type="dxa"/>
            <w:vAlign w:val="center"/>
            <w:hideMark/>
          </w:tcPr>
          <w:p w14:paraId="16F6653E"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715F12F0" w14:textId="77777777" w:rsidTr="00D07030">
        <w:tc>
          <w:tcPr>
            <w:tcW w:w="0" w:type="auto"/>
            <w:tcMar>
              <w:top w:w="15" w:type="dxa"/>
              <w:left w:w="0" w:type="dxa"/>
              <w:bottom w:w="15" w:type="dxa"/>
              <w:right w:w="15" w:type="dxa"/>
            </w:tcMar>
            <w:vAlign w:val="center"/>
            <w:hideMark/>
          </w:tcPr>
          <w:p w14:paraId="009C267D"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Aesthetics and preserving architectural identity</w:t>
            </w:r>
          </w:p>
        </w:tc>
        <w:tc>
          <w:tcPr>
            <w:tcW w:w="0" w:type="auto"/>
            <w:vAlign w:val="center"/>
            <w:hideMark/>
          </w:tcPr>
          <w:p w14:paraId="017D2969"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0.408</w:t>
            </w:r>
          </w:p>
        </w:tc>
        <w:tc>
          <w:tcPr>
            <w:tcW w:w="1056" w:type="dxa"/>
            <w:vAlign w:val="center"/>
            <w:hideMark/>
          </w:tcPr>
          <w:p w14:paraId="39AA43C3"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0.071</w:t>
            </w:r>
          </w:p>
        </w:tc>
        <w:tc>
          <w:tcPr>
            <w:tcW w:w="990" w:type="dxa"/>
            <w:vAlign w:val="center"/>
            <w:hideMark/>
          </w:tcPr>
          <w:p w14:paraId="53F67208"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5.800</w:t>
            </w:r>
          </w:p>
        </w:tc>
        <w:tc>
          <w:tcPr>
            <w:tcW w:w="900" w:type="dxa"/>
            <w:vAlign w:val="center"/>
            <w:hideMark/>
          </w:tcPr>
          <w:p w14:paraId="30817480"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797E6FBF" w14:textId="77777777" w:rsidTr="00D07030">
        <w:tc>
          <w:tcPr>
            <w:tcW w:w="0" w:type="auto"/>
            <w:tcMar>
              <w:top w:w="15" w:type="dxa"/>
              <w:left w:w="0" w:type="dxa"/>
              <w:bottom w:w="15" w:type="dxa"/>
              <w:right w:w="15" w:type="dxa"/>
            </w:tcMar>
            <w:vAlign w:val="center"/>
            <w:hideMark/>
          </w:tcPr>
          <w:p w14:paraId="6766631E"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Cost savings in construction and maintenance</w:t>
            </w:r>
          </w:p>
        </w:tc>
        <w:tc>
          <w:tcPr>
            <w:tcW w:w="0" w:type="auto"/>
            <w:vAlign w:val="center"/>
            <w:hideMark/>
          </w:tcPr>
          <w:p w14:paraId="5DF55F52"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0.672</w:t>
            </w:r>
          </w:p>
        </w:tc>
        <w:tc>
          <w:tcPr>
            <w:tcW w:w="1056" w:type="dxa"/>
            <w:vAlign w:val="center"/>
            <w:hideMark/>
          </w:tcPr>
          <w:p w14:paraId="2956BC6F"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0.043</w:t>
            </w:r>
          </w:p>
        </w:tc>
        <w:tc>
          <w:tcPr>
            <w:tcW w:w="990" w:type="dxa"/>
            <w:vAlign w:val="center"/>
            <w:hideMark/>
          </w:tcPr>
          <w:p w14:paraId="7F87BA86"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15.660</w:t>
            </w:r>
          </w:p>
        </w:tc>
        <w:tc>
          <w:tcPr>
            <w:tcW w:w="900" w:type="dxa"/>
            <w:vAlign w:val="center"/>
            <w:hideMark/>
          </w:tcPr>
          <w:p w14:paraId="150B9C78"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599462CE" w14:textId="77777777" w:rsidTr="00D07030">
        <w:tc>
          <w:tcPr>
            <w:tcW w:w="0" w:type="auto"/>
            <w:tcMar>
              <w:top w:w="15" w:type="dxa"/>
              <w:left w:w="0" w:type="dxa"/>
              <w:bottom w:w="15" w:type="dxa"/>
              <w:right w:w="15" w:type="dxa"/>
            </w:tcMar>
            <w:vAlign w:val="center"/>
            <w:hideMark/>
          </w:tcPr>
          <w:p w14:paraId="0291EF85"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Future-oriented design and expandability</w:t>
            </w:r>
          </w:p>
        </w:tc>
        <w:tc>
          <w:tcPr>
            <w:tcW w:w="0" w:type="auto"/>
            <w:vAlign w:val="center"/>
            <w:hideMark/>
          </w:tcPr>
          <w:p w14:paraId="339E81FB"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0.610</w:t>
            </w:r>
          </w:p>
        </w:tc>
        <w:tc>
          <w:tcPr>
            <w:tcW w:w="1056" w:type="dxa"/>
            <w:vAlign w:val="center"/>
            <w:hideMark/>
          </w:tcPr>
          <w:p w14:paraId="62ED4AA8"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0.060</w:t>
            </w:r>
          </w:p>
        </w:tc>
        <w:tc>
          <w:tcPr>
            <w:tcW w:w="990" w:type="dxa"/>
            <w:vAlign w:val="center"/>
            <w:hideMark/>
          </w:tcPr>
          <w:p w14:paraId="44560305"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10.216</w:t>
            </w:r>
          </w:p>
        </w:tc>
        <w:tc>
          <w:tcPr>
            <w:tcW w:w="900" w:type="dxa"/>
            <w:vAlign w:val="center"/>
            <w:hideMark/>
          </w:tcPr>
          <w:p w14:paraId="32BEB78D"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00011202" w14:textId="77777777" w:rsidTr="00D07030">
        <w:tc>
          <w:tcPr>
            <w:tcW w:w="0" w:type="auto"/>
            <w:tcMar>
              <w:top w:w="15" w:type="dxa"/>
              <w:left w:w="0" w:type="dxa"/>
              <w:bottom w:w="15" w:type="dxa"/>
              <w:right w:w="15" w:type="dxa"/>
            </w:tcMar>
            <w:vAlign w:val="center"/>
            <w:hideMark/>
          </w:tcPr>
          <w:p w14:paraId="2C9F56B9"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Design of multipurpose and flexible spaces</w:t>
            </w:r>
          </w:p>
        </w:tc>
        <w:tc>
          <w:tcPr>
            <w:tcW w:w="0" w:type="auto"/>
            <w:vAlign w:val="center"/>
            <w:hideMark/>
          </w:tcPr>
          <w:p w14:paraId="77CEC188"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0.572</w:t>
            </w:r>
          </w:p>
        </w:tc>
        <w:tc>
          <w:tcPr>
            <w:tcW w:w="1056" w:type="dxa"/>
            <w:vAlign w:val="center"/>
            <w:hideMark/>
          </w:tcPr>
          <w:p w14:paraId="51E385CD"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0.060</w:t>
            </w:r>
          </w:p>
        </w:tc>
        <w:tc>
          <w:tcPr>
            <w:tcW w:w="990" w:type="dxa"/>
            <w:vAlign w:val="center"/>
            <w:hideMark/>
          </w:tcPr>
          <w:p w14:paraId="2090EC01"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9.587</w:t>
            </w:r>
          </w:p>
        </w:tc>
        <w:tc>
          <w:tcPr>
            <w:tcW w:w="900" w:type="dxa"/>
            <w:vAlign w:val="center"/>
            <w:hideMark/>
          </w:tcPr>
          <w:p w14:paraId="72BAB6BB"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146C7294" w14:textId="77777777" w:rsidTr="00D07030">
        <w:tc>
          <w:tcPr>
            <w:tcW w:w="0" w:type="auto"/>
            <w:tcMar>
              <w:top w:w="15" w:type="dxa"/>
              <w:left w:w="0" w:type="dxa"/>
              <w:bottom w:w="15" w:type="dxa"/>
              <w:right w:w="15" w:type="dxa"/>
            </w:tcMar>
            <w:vAlign w:val="center"/>
            <w:hideMark/>
          </w:tcPr>
          <w:p w14:paraId="441C83C2"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Coordination between structural and mechanical systems</w:t>
            </w:r>
          </w:p>
        </w:tc>
        <w:tc>
          <w:tcPr>
            <w:tcW w:w="0" w:type="auto"/>
            <w:vAlign w:val="center"/>
            <w:hideMark/>
          </w:tcPr>
          <w:p w14:paraId="14F789B0"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0.660</w:t>
            </w:r>
          </w:p>
        </w:tc>
        <w:tc>
          <w:tcPr>
            <w:tcW w:w="1056" w:type="dxa"/>
            <w:vAlign w:val="center"/>
            <w:hideMark/>
          </w:tcPr>
          <w:p w14:paraId="7769EEF7"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0.055</w:t>
            </w:r>
          </w:p>
        </w:tc>
        <w:tc>
          <w:tcPr>
            <w:tcW w:w="990" w:type="dxa"/>
            <w:vAlign w:val="center"/>
            <w:hideMark/>
          </w:tcPr>
          <w:p w14:paraId="36016541"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12.115</w:t>
            </w:r>
          </w:p>
        </w:tc>
        <w:tc>
          <w:tcPr>
            <w:tcW w:w="900" w:type="dxa"/>
            <w:vAlign w:val="center"/>
            <w:hideMark/>
          </w:tcPr>
          <w:p w14:paraId="6E963B43"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10A58E45" w14:textId="77777777" w:rsidTr="00D07030">
        <w:tc>
          <w:tcPr>
            <w:tcW w:w="0" w:type="auto"/>
            <w:tcMar>
              <w:top w:w="15" w:type="dxa"/>
              <w:left w:w="0" w:type="dxa"/>
              <w:bottom w:w="15" w:type="dxa"/>
              <w:right w:w="15" w:type="dxa"/>
            </w:tcMar>
            <w:vAlign w:val="center"/>
            <w:hideMark/>
          </w:tcPr>
          <w:p w14:paraId="1F744759"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Reduction of environmental impacts during construction and operation</w:t>
            </w:r>
          </w:p>
        </w:tc>
        <w:tc>
          <w:tcPr>
            <w:tcW w:w="0" w:type="auto"/>
            <w:vAlign w:val="center"/>
            <w:hideMark/>
          </w:tcPr>
          <w:p w14:paraId="4AE1E1EB"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0.497</w:t>
            </w:r>
          </w:p>
        </w:tc>
        <w:tc>
          <w:tcPr>
            <w:tcW w:w="1056" w:type="dxa"/>
            <w:vAlign w:val="center"/>
            <w:hideMark/>
          </w:tcPr>
          <w:p w14:paraId="56A4E43D"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0.075</w:t>
            </w:r>
          </w:p>
        </w:tc>
        <w:tc>
          <w:tcPr>
            <w:tcW w:w="990" w:type="dxa"/>
            <w:vAlign w:val="center"/>
            <w:hideMark/>
          </w:tcPr>
          <w:p w14:paraId="0ED4D945"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6.613</w:t>
            </w:r>
          </w:p>
        </w:tc>
        <w:tc>
          <w:tcPr>
            <w:tcW w:w="900" w:type="dxa"/>
            <w:vAlign w:val="center"/>
            <w:hideMark/>
          </w:tcPr>
          <w:p w14:paraId="169FEF21"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1045E8D1" w14:textId="77777777" w:rsidTr="00D07030">
        <w:tc>
          <w:tcPr>
            <w:tcW w:w="0" w:type="auto"/>
            <w:tcMar>
              <w:top w:w="15" w:type="dxa"/>
              <w:left w:w="0" w:type="dxa"/>
              <w:bottom w:w="15" w:type="dxa"/>
              <w:right w:w="15" w:type="dxa"/>
            </w:tcMar>
            <w:vAlign w:val="center"/>
            <w:hideMark/>
          </w:tcPr>
          <w:p w14:paraId="3A4FB945"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Reduction of construction waste and waste management</w:t>
            </w:r>
          </w:p>
        </w:tc>
        <w:tc>
          <w:tcPr>
            <w:tcW w:w="0" w:type="auto"/>
            <w:vAlign w:val="center"/>
            <w:hideMark/>
          </w:tcPr>
          <w:p w14:paraId="1F835B7E"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0.573</w:t>
            </w:r>
          </w:p>
        </w:tc>
        <w:tc>
          <w:tcPr>
            <w:tcW w:w="1056" w:type="dxa"/>
            <w:vAlign w:val="center"/>
            <w:hideMark/>
          </w:tcPr>
          <w:p w14:paraId="0D59B8EF"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0.058</w:t>
            </w:r>
          </w:p>
        </w:tc>
        <w:tc>
          <w:tcPr>
            <w:tcW w:w="990" w:type="dxa"/>
            <w:vAlign w:val="center"/>
            <w:hideMark/>
          </w:tcPr>
          <w:p w14:paraId="4618593A"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9.967</w:t>
            </w:r>
          </w:p>
        </w:tc>
        <w:tc>
          <w:tcPr>
            <w:tcW w:w="900" w:type="dxa"/>
            <w:vAlign w:val="center"/>
            <w:hideMark/>
          </w:tcPr>
          <w:p w14:paraId="2F23ECF3"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02686509" w14:textId="77777777" w:rsidTr="00D07030">
        <w:tc>
          <w:tcPr>
            <w:tcW w:w="0" w:type="auto"/>
            <w:tcMar>
              <w:top w:w="15" w:type="dxa"/>
              <w:left w:w="0" w:type="dxa"/>
              <w:bottom w:w="15" w:type="dxa"/>
              <w:right w:w="15" w:type="dxa"/>
            </w:tcMar>
            <w:vAlign w:val="center"/>
            <w:hideMark/>
          </w:tcPr>
          <w:p w14:paraId="650158CA"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Reducing dependence on human labor</w:t>
            </w:r>
          </w:p>
        </w:tc>
        <w:tc>
          <w:tcPr>
            <w:tcW w:w="0" w:type="auto"/>
            <w:vAlign w:val="center"/>
            <w:hideMark/>
          </w:tcPr>
          <w:p w14:paraId="7FB8266E"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0.542</w:t>
            </w:r>
          </w:p>
        </w:tc>
        <w:tc>
          <w:tcPr>
            <w:tcW w:w="1056" w:type="dxa"/>
            <w:vAlign w:val="center"/>
            <w:hideMark/>
          </w:tcPr>
          <w:p w14:paraId="56A73D20"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0.068</w:t>
            </w:r>
          </w:p>
        </w:tc>
        <w:tc>
          <w:tcPr>
            <w:tcW w:w="990" w:type="dxa"/>
            <w:vAlign w:val="center"/>
            <w:hideMark/>
          </w:tcPr>
          <w:p w14:paraId="68E0D581"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7.936</w:t>
            </w:r>
          </w:p>
        </w:tc>
        <w:tc>
          <w:tcPr>
            <w:tcW w:w="900" w:type="dxa"/>
            <w:vAlign w:val="center"/>
            <w:hideMark/>
          </w:tcPr>
          <w:p w14:paraId="146BB0C0"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r w:rsidR="00D07030" w:rsidRPr="00D07030" w14:paraId="28A09483" w14:textId="77777777" w:rsidTr="00D07030">
        <w:tc>
          <w:tcPr>
            <w:tcW w:w="0" w:type="auto"/>
            <w:tcMar>
              <w:top w:w="15" w:type="dxa"/>
              <w:left w:w="0" w:type="dxa"/>
              <w:bottom w:w="15" w:type="dxa"/>
              <w:right w:w="15" w:type="dxa"/>
            </w:tcMar>
            <w:vAlign w:val="center"/>
            <w:hideMark/>
          </w:tcPr>
          <w:p w14:paraId="79F8AEFB"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High quality of residential space and providing occupant comfort</w:t>
            </w:r>
          </w:p>
        </w:tc>
        <w:tc>
          <w:tcPr>
            <w:tcW w:w="0" w:type="auto"/>
            <w:vAlign w:val="center"/>
            <w:hideMark/>
          </w:tcPr>
          <w:p w14:paraId="545DD38A"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0.498</w:t>
            </w:r>
          </w:p>
        </w:tc>
        <w:tc>
          <w:tcPr>
            <w:tcW w:w="1056" w:type="dxa"/>
            <w:vAlign w:val="center"/>
            <w:hideMark/>
          </w:tcPr>
          <w:p w14:paraId="2E892562"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0.059</w:t>
            </w:r>
          </w:p>
        </w:tc>
        <w:tc>
          <w:tcPr>
            <w:tcW w:w="990" w:type="dxa"/>
            <w:vAlign w:val="center"/>
            <w:hideMark/>
          </w:tcPr>
          <w:p w14:paraId="5E6BE8AE"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8.545</w:t>
            </w:r>
          </w:p>
        </w:tc>
        <w:tc>
          <w:tcPr>
            <w:tcW w:w="900" w:type="dxa"/>
            <w:vAlign w:val="center"/>
            <w:hideMark/>
          </w:tcPr>
          <w:p w14:paraId="6CCA515F"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0.000</w:t>
            </w:r>
          </w:p>
        </w:tc>
      </w:tr>
    </w:tbl>
    <w:p w14:paraId="7CCC03E6" w14:textId="77777777" w:rsidR="00D07030" w:rsidRDefault="00D07030" w:rsidP="00D07030">
      <w:pPr>
        <w:spacing w:after="0" w:line="240" w:lineRule="auto"/>
        <w:contextualSpacing/>
        <w:jc w:val="both"/>
        <w:rPr>
          <w:rFonts w:asciiTheme="majorBidi" w:hAnsiTheme="majorBidi" w:cstheme="majorBidi"/>
          <w:sz w:val="20"/>
          <w:szCs w:val="20"/>
          <w:lang w:bidi="fa-IR"/>
        </w:rPr>
      </w:pPr>
    </w:p>
    <w:p w14:paraId="336E27C1" w14:textId="0E7D6D05"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According to Table (6), all factor loadings are greater than or close to 0.5, the standard deviations are within an appropriate range, and the t-statistics are greater than 1.96. The significance values are less than 0.05, indicating that all factors are significant. This means that when aiming to supply affordable housing based on socio-cultural patterns, factors such as increasing productivity in production and execution processes, providing psychological comfort, and preventing environmental stress should be prioritized, followed by other criteria.</w:t>
      </w:r>
    </w:p>
    <w:p w14:paraId="04D36C21" w14:textId="77777777" w:rsidR="000037CA" w:rsidRDefault="00D07030" w:rsidP="000037CA">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 xml:space="preserve">Next, it is necessary to evaluate the overall model, which includes both the measurement and structural parts simultaneously. For this purpose, the Goodness of Fit (GOF) index, which pertains to the overall structural equation model, is used. The values 0.01, 0.25, and 0.36 are considered weak, moderate, and strong GOF values, respectively. If the calculated GOF is 0.01 or close to it, the overall fit of the model is weak, and the relationships between the constructs of the model need to be revised. Similarly, for the other two GOF values (0.25 for moderate fit and 0.36 for strong fit), this guideline applies. </w:t>
      </w:r>
    </w:p>
    <w:p w14:paraId="765FDACA" w14:textId="68901F90" w:rsidR="00D07030" w:rsidRPr="00D07030" w:rsidRDefault="00D07030" w:rsidP="000037CA">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w:t>
      </w:r>
      <w:r w:rsidR="000037CA">
        <w:rPr>
          <w:rFonts w:asciiTheme="majorBidi" w:hAnsiTheme="majorBidi" w:cstheme="majorBidi"/>
          <w:noProof/>
          <w:sz w:val="20"/>
          <w:szCs w:val="20"/>
          <w:lang w:bidi="fa-IR"/>
        </w:rPr>
        <w:drawing>
          <wp:inline distT="0" distB="0" distL="0" distR="0" wp14:anchorId="1DC12CAC" wp14:editId="291257DF">
            <wp:extent cx="1233915" cy="220248"/>
            <wp:effectExtent l="0" t="0" r="444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3138" cy="227249"/>
                    </a:xfrm>
                    <a:prstGeom prst="rect">
                      <a:avLst/>
                    </a:prstGeom>
                    <a:noFill/>
                  </pic:spPr>
                </pic:pic>
              </a:graphicData>
            </a:graphic>
          </wp:inline>
        </w:drawing>
      </w:r>
    </w:p>
    <w:p w14:paraId="565968AC" w14:textId="39BE7967" w:rsid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The average communality is derived from the average of the shared values of the first-order latent variables in the model. The communality and R2</w:t>
      </w:r>
      <w:r w:rsidRPr="00D07030">
        <w:rPr>
          <w:rFonts w:asciiTheme="majorBidi" w:hAnsiTheme="majorBidi" w:cstheme="majorBidi"/>
          <w:i/>
          <w:iCs/>
          <w:sz w:val="20"/>
          <w:szCs w:val="20"/>
          <w:lang w:bidi="fa-IR"/>
        </w:rPr>
        <w:t>R</w:t>
      </w:r>
      <w:r w:rsidRPr="00D07030">
        <w:rPr>
          <w:rFonts w:asciiTheme="majorBidi" w:hAnsiTheme="majorBidi" w:cstheme="majorBidi"/>
          <w:sz w:val="20"/>
          <w:szCs w:val="20"/>
          <w:lang w:bidi="fa-IR"/>
        </w:rPr>
        <w:t>2 values are provided in Table 7.</w:t>
      </w:r>
    </w:p>
    <w:p w14:paraId="5B443F28"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p>
    <w:p w14:paraId="3F1180E6" w14:textId="7F6232F5"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b/>
          <w:bCs/>
          <w:sz w:val="20"/>
          <w:szCs w:val="20"/>
          <w:lang w:bidi="fa-IR"/>
        </w:rPr>
        <w:t>Table (7): Communality and R</w:t>
      </w:r>
      <w:r w:rsidRPr="00D07030">
        <w:rPr>
          <w:rFonts w:asciiTheme="majorBidi" w:hAnsiTheme="majorBidi" w:cstheme="majorBidi"/>
          <w:b/>
          <w:bCs/>
          <w:sz w:val="20"/>
          <w:szCs w:val="20"/>
          <w:vertAlign w:val="superscript"/>
          <w:lang w:bidi="fa-IR"/>
        </w:rPr>
        <w:t>2</w:t>
      </w:r>
      <w:r w:rsidR="00186732">
        <w:rPr>
          <w:rFonts w:asciiTheme="majorBidi" w:hAnsiTheme="majorBidi" w:cstheme="majorBidi"/>
          <w:b/>
          <w:bCs/>
          <w:sz w:val="20"/>
          <w:szCs w:val="20"/>
          <w:lang w:bidi="fa-IR"/>
        </w:rPr>
        <w:t xml:space="preserve"> </w:t>
      </w:r>
      <w:r w:rsidRPr="00D07030">
        <w:rPr>
          <w:rFonts w:asciiTheme="majorBidi" w:hAnsiTheme="majorBidi" w:cstheme="majorBidi"/>
          <w:b/>
          <w:bCs/>
          <w:sz w:val="20"/>
          <w:szCs w:val="20"/>
          <w:lang w:bidi="fa-IR"/>
        </w:rPr>
        <w:t>values of the research variables</w:t>
      </w:r>
    </w:p>
    <w:tbl>
      <w:tblP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6198"/>
        <w:gridCol w:w="830"/>
        <w:gridCol w:w="830"/>
        <w:gridCol w:w="1502"/>
      </w:tblGrid>
      <w:tr w:rsidR="00186732" w:rsidRPr="00D07030" w14:paraId="47863728" w14:textId="77777777" w:rsidTr="00D07030">
        <w:trPr>
          <w:tblHeader/>
          <w:jc w:val="center"/>
        </w:trPr>
        <w:tc>
          <w:tcPr>
            <w:tcW w:w="0" w:type="auto"/>
            <w:tcMar>
              <w:top w:w="15" w:type="dxa"/>
              <w:left w:w="0" w:type="dxa"/>
              <w:bottom w:w="15" w:type="dxa"/>
              <w:right w:w="15" w:type="dxa"/>
            </w:tcMar>
            <w:vAlign w:val="center"/>
            <w:hideMark/>
          </w:tcPr>
          <w:p w14:paraId="1D8ADF68" w14:textId="77777777" w:rsidR="00D07030" w:rsidRPr="00D07030" w:rsidRDefault="00D07030" w:rsidP="00D07030">
            <w:pPr>
              <w:spacing w:after="0" w:line="240" w:lineRule="auto"/>
              <w:contextualSpacing/>
              <w:jc w:val="both"/>
              <w:rPr>
                <w:rFonts w:asciiTheme="majorBidi" w:hAnsiTheme="majorBidi" w:cstheme="majorBidi"/>
                <w:b/>
                <w:bCs/>
                <w:sz w:val="20"/>
                <w:szCs w:val="20"/>
                <w:lang w:bidi="fa-IR"/>
              </w:rPr>
            </w:pPr>
            <w:r w:rsidRPr="00D07030">
              <w:rPr>
                <w:rFonts w:asciiTheme="majorBidi" w:hAnsiTheme="majorBidi" w:cstheme="majorBidi"/>
                <w:b/>
                <w:bCs/>
                <w:sz w:val="20"/>
                <w:szCs w:val="20"/>
                <w:lang w:bidi="fa-IR"/>
              </w:rPr>
              <w:t>Factor</w:t>
            </w:r>
          </w:p>
        </w:tc>
        <w:tc>
          <w:tcPr>
            <w:tcW w:w="0" w:type="auto"/>
            <w:vAlign w:val="center"/>
            <w:hideMark/>
          </w:tcPr>
          <w:p w14:paraId="73A9692D" w14:textId="77777777" w:rsidR="00D07030" w:rsidRPr="00D07030" w:rsidRDefault="00D07030" w:rsidP="00D07030">
            <w:pPr>
              <w:spacing w:after="0" w:line="240" w:lineRule="auto"/>
              <w:contextualSpacing/>
              <w:jc w:val="both"/>
              <w:rPr>
                <w:rFonts w:asciiTheme="majorBidi" w:hAnsiTheme="majorBidi" w:cstheme="majorBidi"/>
                <w:b/>
                <w:bCs/>
                <w:sz w:val="20"/>
                <w:szCs w:val="20"/>
                <w:lang w:bidi="fa-IR"/>
              </w:rPr>
            </w:pPr>
            <w:r w:rsidRPr="00D07030">
              <w:rPr>
                <w:rFonts w:asciiTheme="majorBidi" w:hAnsiTheme="majorBidi" w:cstheme="majorBidi"/>
                <w:b/>
                <w:bCs/>
                <w:sz w:val="20"/>
                <w:szCs w:val="20"/>
                <w:lang w:bidi="fa-IR"/>
              </w:rPr>
              <w:t>SSO</w:t>
            </w:r>
          </w:p>
        </w:tc>
        <w:tc>
          <w:tcPr>
            <w:tcW w:w="0" w:type="auto"/>
            <w:vAlign w:val="center"/>
            <w:hideMark/>
          </w:tcPr>
          <w:p w14:paraId="4534DFBB" w14:textId="77777777" w:rsidR="00D07030" w:rsidRPr="00D07030" w:rsidRDefault="00D07030" w:rsidP="00D07030">
            <w:pPr>
              <w:spacing w:after="0" w:line="240" w:lineRule="auto"/>
              <w:contextualSpacing/>
              <w:jc w:val="both"/>
              <w:rPr>
                <w:rFonts w:asciiTheme="majorBidi" w:hAnsiTheme="majorBidi" w:cstheme="majorBidi"/>
                <w:b/>
                <w:bCs/>
                <w:sz w:val="20"/>
                <w:szCs w:val="20"/>
                <w:lang w:bidi="fa-IR"/>
              </w:rPr>
            </w:pPr>
            <w:r w:rsidRPr="00D07030">
              <w:rPr>
                <w:rFonts w:asciiTheme="majorBidi" w:hAnsiTheme="majorBidi" w:cstheme="majorBidi"/>
                <w:b/>
                <w:bCs/>
                <w:sz w:val="20"/>
                <w:szCs w:val="20"/>
                <w:lang w:bidi="fa-IR"/>
              </w:rPr>
              <w:t>SSE</w:t>
            </w:r>
          </w:p>
        </w:tc>
        <w:tc>
          <w:tcPr>
            <w:tcW w:w="0" w:type="auto"/>
            <w:vAlign w:val="center"/>
            <w:hideMark/>
          </w:tcPr>
          <w:p w14:paraId="1877D07E" w14:textId="2BFB75DF" w:rsidR="00D07030" w:rsidRPr="00D07030" w:rsidRDefault="00D07030" w:rsidP="00D07030">
            <w:pPr>
              <w:spacing w:after="0" w:line="240" w:lineRule="auto"/>
              <w:contextualSpacing/>
              <w:jc w:val="both"/>
              <w:rPr>
                <w:rFonts w:asciiTheme="majorBidi" w:hAnsiTheme="majorBidi" w:cstheme="majorBidi"/>
                <w:b/>
                <w:bCs/>
                <w:sz w:val="20"/>
                <w:szCs w:val="20"/>
                <w:lang w:bidi="fa-IR"/>
              </w:rPr>
            </w:pPr>
            <w:r w:rsidRPr="00D07030">
              <w:rPr>
                <w:rFonts w:asciiTheme="majorBidi" w:hAnsiTheme="majorBidi" w:cstheme="majorBidi"/>
                <w:b/>
                <w:bCs/>
                <w:sz w:val="20"/>
                <w:szCs w:val="20"/>
                <w:lang w:bidi="fa-IR"/>
              </w:rPr>
              <w:t>Q</w:t>
            </w:r>
            <w:r w:rsidRPr="00D07030">
              <w:rPr>
                <w:rFonts w:asciiTheme="majorBidi" w:hAnsiTheme="majorBidi" w:cstheme="majorBidi"/>
                <w:b/>
                <w:bCs/>
                <w:sz w:val="20"/>
                <w:szCs w:val="20"/>
                <w:vertAlign w:val="subscript"/>
                <w:lang w:bidi="fa-IR"/>
              </w:rPr>
              <w:t>2</w:t>
            </w:r>
            <w:r w:rsidRPr="00D07030">
              <w:rPr>
                <w:rFonts w:asciiTheme="majorBidi" w:hAnsiTheme="majorBidi" w:cstheme="majorBidi"/>
                <w:b/>
                <w:bCs/>
                <w:sz w:val="20"/>
                <w:szCs w:val="20"/>
                <w:lang w:bidi="fa-IR"/>
              </w:rPr>
              <w:t>(=1−SSE/SSO)</w:t>
            </w:r>
          </w:p>
        </w:tc>
      </w:tr>
      <w:tr w:rsidR="00186732" w:rsidRPr="00D07030" w14:paraId="4452042E" w14:textId="77777777" w:rsidTr="00D07030">
        <w:trPr>
          <w:jc w:val="center"/>
        </w:trPr>
        <w:tc>
          <w:tcPr>
            <w:tcW w:w="0" w:type="auto"/>
            <w:tcMar>
              <w:top w:w="15" w:type="dxa"/>
              <w:left w:w="0" w:type="dxa"/>
              <w:bottom w:w="15" w:type="dxa"/>
              <w:right w:w="15" w:type="dxa"/>
            </w:tcMar>
            <w:vAlign w:val="center"/>
            <w:hideMark/>
          </w:tcPr>
          <w:p w14:paraId="02FEDB04"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Standardization and modularization of design and construction</w:t>
            </w:r>
          </w:p>
        </w:tc>
        <w:tc>
          <w:tcPr>
            <w:tcW w:w="0" w:type="auto"/>
            <w:vAlign w:val="center"/>
            <w:hideMark/>
          </w:tcPr>
          <w:p w14:paraId="0624E7FF"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50E4D650"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92.745</w:t>
            </w:r>
          </w:p>
        </w:tc>
        <w:tc>
          <w:tcPr>
            <w:tcW w:w="0" w:type="auto"/>
            <w:vAlign w:val="center"/>
            <w:hideMark/>
          </w:tcPr>
          <w:p w14:paraId="75FEA021"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0.394</w:t>
            </w:r>
          </w:p>
        </w:tc>
      </w:tr>
      <w:tr w:rsidR="00186732" w:rsidRPr="00D07030" w14:paraId="4E4DE8DD" w14:textId="77777777" w:rsidTr="00D07030">
        <w:trPr>
          <w:jc w:val="center"/>
        </w:trPr>
        <w:tc>
          <w:tcPr>
            <w:tcW w:w="0" w:type="auto"/>
            <w:tcMar>
              <w:top w:w="15" w:type="dxa"/>
              <w:left w:w="0" w:type="dxa"/>
              <w:bottom w:w="15" w:type="dxa"/>
              <w:right w:w="15" w:type="dxa"/>
            </w:tcMar>
            <w:vAlign w:val="center"/>
            <w:hideMark/>
          </w:tcPr>
          <w:p w14:paraId="19772BA9"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Use of passive ventilation and climatic strategies</w:t>
            </w:r>
          </w:p>
        </w:tc>
        <w:tc>
          <w:tcPr>
            <w:tcW w:w="0" w:type="auto"/>
            <w:vAlign w:val="center"/>
            <w:hideMark/>
          </w:tcPr>
          <w:p w14:paraId="0BD2A8CC"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2BA248A4"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89.494</w:t>
            </w:r>
          </w:p>
        </w:tc>
        <w:tc>
          <w:tcPr>
            <w:tcW w:w="0" w:type="auto"/>
            <w:vAlign w:val="center"/>
            <w:hideMark/>
          </w:tcPr>
          <w:p w14:paraId="0BC98DB4"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0.415</w:t>
            </w:r>
          </w:p>
        </w:tc>
      </w:tr>
      <w:tr w:rsidR="00186732" w:rsidRPr="00D07030" w14:paraId="7B273FC8" w14:textId="77777777" w:rsidTr="00D07030">
        <w:trPr>
          <w:jc w:val="center"/>
        </w:trPr>
        <w:tc>
          <w:tcPr>
            <w:tcW w:w="0" w:type="auto"/>
            <w:tcMar>
              <w:top w:w="15" w:type="dxa"/>
              <w:left w:w="0" w:type="dxa"/>
              <w:bottom w:w="15" w:type="dxa"/>
              <w:right w:w="15" w:type="dxa"/>
            </w:tcMar>
            <w:vAlign w:val="center"/>
            <w:hideMark/>
          </w:tcPr>
          <w:p w14:paraId="1DEB4226"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Use of modern technologies in construction and design</w:t>
            </w:r>
          </w:p>
        </w:tc>
        <w:tc>
          <w:tcPr>
            <w:tcW w:w="0" w:type="auto"/>
            <w:vAlign w:val="center"/>
            <w:hideMark/>
          </w:tcPr>
          <w:p w14:paraId="655579CE"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1B2EB10D"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101.476</w:t>
            </w:r>
          </w:p>
        </w:tc>
        <w:tc>
          <w:tcPr>
            <w:tcW w:w="0" w:type="auto"/>
            <w:vAlign w:val="center"/>
            <w:hideMark/>
          </w:tcPr>
          <w:p w14:paraId="694AF1B3"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0.337</w:t>
            </w:r>
          </w:p>
        </w:tc>
      </w:tr>
      <w:tr w:rsidR="00186732" w:rsidRPr="00D07030" w14:paraId="3CEA8558" w14:textId="77777777" w:rsidTr="00D07030">
        <w:trPr>
          <w:jc w:val="center"/>
        </w:trPr>
        <w:tc>
          <w:tcPr>
            <w:tcW w:w="0" w:type="auto"/>
            <w:tcMar>
              <w:top w:w="15" w:type="dxa"/>
              <w:left w:w="0" w:type="dxa"/>
              <w:bottom w:w="15" w:type="dxa"/>
              <w:right w:w="15" w:type="dxa"/>
            </w:tcMar>
            <w:vAlign w:val="center"/>
            <w:hideMark/>
          </w:tcPr>
          <w:p w14:paraId="2BC6E11B"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Use of sustainable and recyclable materials</w:t>
            </w:r>
          </w:p>
        </w:tc>
        <w:tc>
          <w:tcPr>
            <w:tcW w:w="0" w:type="auto"/>
            <w:vAlign w:val="center"/>
            <w:hideMark/>
          </w:tcPr>
          <w:p w14:paraId="07B68F9F"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01B06CD4"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94.126</w:t>
            </w:r>
          </w:p>
        </w:tc>
        <w:tc>
          <w:tcPr>
            <w:tcW w:w="0" w:type="auto"/>
            <w:vAlign w:val="center"/>
            <w:hideMark/>
          </w:tcPr>
          <w:p w14:paraId="684BBEFB"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0.385</w:t>
            </w:r>
          </w:p>
        </w:tc>
      </w:tr>
      <w:tr w:rsidR="00186732" w:rsidRPr="00D07030" w14:paraId="4D8F7B75" w14:textId="77777777" w:rsidTr="00D07030">
        <w:trPr>
          <w:jc w:val="center"/>
        </w:trPr>
        <w:tc>
          <w:tcPr>
            <w:tcW w:w="0" w:type="auto"/>
            <w:tcMar>
              <w:top w:w="15" w:type="dxa"/>
              <w:left w:w="0" w:type="dxa"/>
              <w:bottom w:w="15" w:type="dxa"/>
              <w:right w:w="15" w:type="dxa"/>
            </w:tcMar>
            <w:vAlign w:val="center"/>
            <w:hideMark/>
          </w:tcPr>
          <w:p w14:paraId="0C0A4981"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Increasing speed and productivity in production and execution processes</w:t>
            </w:r>
          </w:p>
        </w:tc>
        <w:tc>
          <w:tcPr>
            <w:tcW w:w="0" w:type="auto"/>
            <w:vAlign w:val="center"/>
            <w:hideMark/>
          </w:tcPr>
          <w:p w14:paraId="01B286C0"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306.000</w:t>
            </w:r>
          </w:p>
        </w:tc>
        <w:tc>
          <w:tcPr>
            <w:tcW w:w="0" w:type="auto"/>
            <w:vAlign w:val="center"/>
            <w:hideMark/>
          </w:tcPr>
          <w:p w14:paraId="38E81FA9"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185.290</w:t>
            </w:r>
          </w:p>
        </w:tc>
        <w:tc>
          <w:tcPr>
            <w:tcW w:w="0" w:type="auto"/>
            <w:vAlign w:val="center"/>
            <w:hideMark/>
          </w:tcPr>
          <w:p w14:paraId="3C135ACF"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0.394</w:t>
            </w:r>
          </w:p>
        </w:tc>
      </w:tr>
      <w:tr w:rsidR="00186732" w:rsidRPr="00D07030" w14:paraId="45894E35" w14:textId="77777777" w:rsidTr="00D07030">
        <w:trPr>
          <w:jc w:val="center"/>
        </w:trPr>
        <w:tc>
          <w:tcPr>
            <w:tcW w:w="0" w:type="auto"/>
            <w:tcMar>
              <w:top w:w="15" w:type="dxa"/>
              <w:left w:w="0" w:type="dxa"/>
              <w:bottom w:w="15" w:type="dxa"/>
              <w:right w:w="15" w:type="dxa"/>
            </w:tcMar>
            <w:vAlign w:val="center"/>
            <w:hideMark/>
          </w:tcPr>
          <w:p w14:paraId="1480238E"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Adaptability to user and family needs</w:t>
            </w:r>
          </w:p>
        </w:tc>
        <w:tc>
          <w:tcPr>
            <w:tcW w:w="0" w:type="auto"/>
            <w:vAlign w:val="center"/>
            <w:hideMark/>
          </w:tcPr>
          <w:p w14:paraId="12E0AF38"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306.000</w:t>
            </w:r>
          </w:p>
        </w:tc>
        <w:tc>
          <w:tcPr>
            <w:tcW w:w="0" w:type="auto"/>
            <w:vAlign w:val="center"/>
            <w:hideMark/>
          </w:tcPr>
          <w:p w14:paraId="50AEA666"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199.047</w:t>
            </w:r>
          </w:p>
        </w:tc>
        <w:tc>
          <w:tcPr>
            <w:tcW w:w="0" w:type="auto"/>
            <w:vAlign w:val="center"/>
            <w:hideMark/>
          </w:tcPr>
          <w:p w14:paraId="57327397"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0.350</w:t>
            </w:r>
          </w:p>
        </w:tc>
      </w:tr>
      <w:tr w:rsidR="00186732" w:rsidRPr="00D07030" w14:paraId="1D5E242C" w14:textId="77777777" w:rsidTr="00D07030">
        <w:trPr>
          <w:jc w:val="center"/>
        </w:trPr>
        <w:tc>
          <w:tcPr>
            <w:tcW w:w="0" w:type="auto"/>
            <w:tcMar>
              <w:top w:w="15" w:type="dxa"/>
              <w:left w:w="0" w:type="dxa"/>
              <w:bottom w:w="15" w:type="dxa"/>
              <w:right w:w="15" w:type="dxa"/>
            </w:tcMar>
            <w:vAlign w:val="center"/>
            <w:hideMark/>
          </w:tcPr>
          <w:p w14:paraId="3F8A25BD"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Flexibility in design and space variability</w:t>
            </w:r>
          </w:p>
        </w:tc>
        <w:tc>
          <w:tcPr>
            <w:tcW w:w="0" w:type="auto"/>
            <w:vAlign w:val="center"/>
            <w:hideMark/>
          </w:tcPr>
          <w:p w14:paraId="31D69F60"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11ACE5F1"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104.241</w:t>
            </w:r>
          </w:p>
        </w:tc>
        <w:tc>
          <w:tcPr>
            <w:tcW w:w="0" w:type="auto"/>
            <w:vAlign w:val="center"/>
            <w:hideMark/>
          </w:tcPr>
          <w:p w14:paraId="30FE0DA4"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0.319</w:t>
            </w:r>
          </w:p>
        </w:tc>
      </w:tr>
      <w:tr w:rsidR="00186732" w:rsidRPr="00D07030" w14:paraId="7D7A42DE" w14:textId="77777777" w:rsidTr="00D07030">
        <w:trPr>
          <w:jc w:val="center"/>
        </w:trPr>
        <w:tc>
          <w:tcPr>
            <w:tcW w:w="0" w:type="auto"/>
            <w:tcMar>
              <w:top w:w="15" w:type="dxa"/>
              <w:left w:w="0" w:type="dxa"/>
              <w:bottom w:w="15" w:type="dxa"/>
              <w:right w:w="15" w:type="dxa"/>
            </w:tcMar>
            <w:vAlign w:val="center"/>
            <w:hideMark/>
          </w:tcPr>
          <w:p w14:paraId="3F9E6C6C"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Safety and structural reinforcement</w:t>
            </w:r>
          </w:p>
        </w:tc>
        <w:tc>
          <w:tcPr>
            <w:tcW w:w="0" w:type="auto"/>
            <w:vAlign w:val="center"/>
            <w:hideMark/>
          </w:tcPr>
          <w:p w14:paraId="3BB24D2B"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42472D9B"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92.694</w:t>
            </w:r>
          </w:p>
        </w:tc>
        <w:tc>
          <w:tcPr>
            <w:tcW w:w="0" w:type="auto"/>
            <w:vAlign w:val="center"/>
            <w:hideMark/>
          </w:tcPr>
          <w:p w14:paraId="3FAD7BFC"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0.394</w:t>
            </w:r>
          </w:p>
        </w:tc>
      </w:tr>
      <w:tr w:rsidR="00186732" w:rsidRPr="00D07030" w14:paraId="7E887FBD" w14:textId="77777777" w:rsidTr="00D07030">
        <w:trPr>
          <w:jc w:val="center"/>
        </w:trPr>
        <w:tc>
          <w:tcPr>
            <w:tcW w:w="0" w:type="auto"/>
            <w:tcMar>
              <w:top w:w="15" w:type="dxa"/>
              <w:left w:w="0" w:type="dxa"/>
              <w:bottom w:w="15" w:type="dxa"/>
              <w:right w:w="15" w:type="dxa"/>
            </w:tcMar>
            <w:vAlign w:val="center"/>
            <w:hideMark/>
          </w:tcPr>
          <w:p w14:paraId="5664340F"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Optimization of energy consumption and reduction of environmental impacts</w:t>
            </w:r>
          </w:p>
        </w:tc>
        <w:tc>
          <w:tcPr>
            <w:tcW w:w="0" w:type="auto"/>
            <w:vAlign w:val="center"/>
            <w:hideMark/>
          </w:tcPr>
          <w:p w14:paraId="5D2E1590"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4BFE27A7"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94.237</w:t>
            </w:r>
          </w:p>
        </w:tc>
        <w:tc>
          <w:tcPr>
            <w:tcW w:w="0" w:type="auto"/>
            <w:vAlign w:val="center"/>
            <w:hideMark/>
          </w:tcPr>
          <w:p w14:paraId="7044128C"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0.384</w:t>
            </w:r>
          </w:p>
        </w:tc>
      </w:tr>
      <w:tr w:rsidR="00186732" w:rsidRPr="00D07030" w14:paraId="334C667B" w14:textId="77777777" w:rsidTr="00D07030">
        <w:trPr>
          <w:jc w:val="center"/>
        </w:trPr>
        <w:tc>
          <w:tcPr>
            <w:tcW w:w="0" w:type="auto"/>
            <w:tcMar>
              <w:top w:w="15" w:type="dxa"/>
              <w:left w:w="0" w:type="dxa"/>
              <w:bottom w:w="15" w:type="dxa"/>
              <w:right w:w="15" w:type="dxa"/>
            </w:tcMar>
            <w:vAlign w:val="center"/>
            <w:hideMark/>
          </w:tcPr>
          <w:p w14:paraId="559971AA"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Optimization of energy costs and ventilation systems</w:t>
            </w:r>
          </w:p>
        </w:tc>
        <w:tc>
          <w:tcPr>
            <w:tcW w:w="0" w:type="auto"/>
            <w:vAlign w:val="center"/>
            <w:hideMark/>
          </w:tcPr>
          <w:p w14:paraId="7AAA7845"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78D4F662"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106.454</w:t>
            </w:r>
          </w:p>
        </w:tc>
        <w:tc>
          <w:tcPr>
            <w:tcW w:w="0" w:type="auto"/>
            <w:vAlign w:val="center"/>
            <w:hideMark/>
          </w:tcPr>
          <w:p w14:paraId="1CFD0F9B"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0.304</w:t>
            </w:r>
          </w:p>
        </w:tc>
      </w:tr>
      <w:tr w:rsidR="00186732" w:rsidRPr="00D07030" w14:paraId="421F07FA" w14:textId="77777777" w:rsidTr="00D07030">
        <w:trPr>
          <w:jc w:val="center"/>
        </w:trPr>
        <w:tc>
          <w:tcPr>
            <w:tcW w:w="0" w:type="auto"/>
            <w:tcMar>
              <w:top w:w="15" w:type="dxa"/>
              <w:left w:w="0" w:type="dxa"/>
              <w:bottom w:w="15" w:type="dxa"/>
              <w:right w:w="15" w:type="dxa"/>
            </w:tcMar>
            <w:vAlign w:val="center"/>
            <w:hideMark/>
          </w:tcPr>
          <w:p w14:paraId="150446DE"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Providing psychological comfort and preventing environmental stress</w:t>
            </w:r>
          </w:p>
        </w:tc>
        <w:tc>
          <w:tcPr>
            <w:tcW w:w="0" w:type="auto"/>
            <w:vAlign w:val="center"/>
            <w:hideMark/>
          </w:tcPr>
          <w:p w14:paraId="601F5F61"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306.000</w:t>
            </w:r>
          </w:p>
        </w:tc>
        <w:tc>
          <w:tcPr>
            <w:tcW w:w="0" w:type="auto"/>
            <w:vAlign w:val="center"/>
            <w:hideMark/>
          </w:tcPr>
          <w:p w14:paraId="2E9AF6F0"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168.453</w:t>
            </w:r>
          </w:p>
        </w:tc>
        <w:tc>
          <w:tcPr>
            <w:tcW w:w="0" w:type="auto"/>
            <w:vAlign w:val="center"/>
            <w:hideMark/>
          </w:tcPr>
          <w:p w14:paraId="0A0021D8"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0.450</w:t>
            </w:r>
          </w:p>
        </w:tc>
      </w:tr>
      <w:tr w:rsidR="00186732" w:rsidRPr="00D07030" w14:paraId="306F149E" w14:textId="77777777" w:rsidTr="00D07030">
        <w:trPr>
          <w:jc w:val="center"/>
        </w:trPr>
        <w:tc>
          <w:tcPr>
            <w:tcW w:w="0" w:type="auto"/>
            <w:tcMar>
              <w:top w:w="15" w:type="dxa"/>
              <w:left w:w="0" w:type="dxa"/>
              <w:bottom w:w="15" w:type="dxa"/>
              <w:right w:w="15" w:type="dxa"/>
            </w:tcMar>
            <w:vAlign w:val="center"/>
            <w:hideMark/>
          </w:tcPr>
          <w:p w14:paraId="3B81D79D"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Providing natural light and optimal use of sunlight</w:t>
            </w:r>
          </w:p>
        </w:tc>
        <w:tc>
          <w:tcPr>
            <w:tcW w:w="0" w:type="auto"/>
            <w:vAlign w:val="center"/>
            <w:hideMark/>
          </w:tcPr>
          <w:p w14:paraId="7F397B0C"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5B327378"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107.577</w:t>
            </w:r>
          </w:p>
        </w:tc>
        <w:tc>
          <w:tcPr>
            <w:tcW w:w="0" w:type="auto"/>
            <w:vAlign w:val="center"/>
            <w:hideMark/>
          </w:tcPr>
          <w:p w14:paraId="3984A307"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0.297</w:t>
            </w:r>
          </w:p>
        </w:tc>
      </w:tr>
      <w:tr w:rsidR="00186732" w:rsidRPr="00D07030" w14:paraId="11AD8CAE" w14:textId="77777777" w:rsidTr="00D07030">
        <w:trPr>
          <w:jc w:val="center"/>
        </w:trPr>
        <w:tc>
          <w:tcPr>
            <w:tcW w:w="0" w:type="auto"/>
            <w:tcMar>
              <w:top w:w="15" w:type="dxa"/>
              <w:left w:w="0" w:type="dxa"/>
              <w:bottom w:w="15" w:type="dxa"/>
              <w:right w:w="15" w:type="dxa"/>
            </w:tcMar>
            <w:vAlign w:val="center"/>
            <w:hideMark/>
          </w:tcPr>
          <w:p w14:paraId="3076B968"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Strengthening neighborhood relationships and social interaction</w:t>
            </w:r>
          </w:p>
        </w:tc>
        <w:tc>
          <w:tcPr>
            <w:tcW w:w="0" w:type="auto"/>
            <w:vAlign w:val="center"/>
            <w:hideMark/>
          </w:tcPr>
          <w:p w14:paraId="55B3939C"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6532B6CA"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99.574</w:t>
            </w:r>
          </w:p>
        </w:tc>
        <w:tc>
          <w:tcPr>
            <w:tcW w:w="0" w:type="auto"/>
            <w:vAlign w:val="center"/>
            <w:hideMark/>
          </w:tcPr>
          <w:p w14:paraId="659B4B88"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0.349</w:t>
            </w:r>
          </w:p>
        </w:tc>
      </w:tr>
      <w:tr w:rsidR="00186732" w:rsidRPr="00D07030" w14:paraId="48D2B050" w14:textId="77777777" w:rsidTr="00D07030">
        <w:trPr>
          <w:jc w:val="center"/>
        </w:trPr>
        <w:tc>
          <w:tcPr>
            <w:tcW w:w="0" w:type="auto"/>
            <w:tcMar>
              <w:top w:w="15" w:type="dxa"/>
              <w:left w:w="0" w:type="dxa"/>
              <w:bottom w:w="15" w:type="dxa"/>
              <w:right w:w="15" w:type="dxa"/>
            </w:tcMar>
            <w:vAlign w:val="center"/>
            <w:hideMark/>
          </w:tcPr>
          <w:p w14:paraId="49FAB4BE"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lastRenderedPageBreak/>
              <w:t>Aesthetics and preserving architectural identity</w:t>
            </w:r>
          </w:p>
        </w:tc>
        <w:tc>
          <w:tcPr>
            <w:tcW w:w="0" w:type="auto"/>
            <w:vAlign w:val="center"/>
            <w:hideMark/>
          </w:tcPr>
          <w:p w14:paraId="31F4CC71"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1753E8B7"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128.434</w:t>
            </w:r>
          </w:p>
        </w:tc>
        <w:tc>
          <w:tcPr>
            <w:tcW w:w="0" w:type="auto"/>
            <w:vAlign w:val="center"/>
            <w:hideMark/>
          </w:tcPr>
          <w:p w14:paraId="091369E8"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0.161</w:t>
            </w:r>
          </w:p>
        </w:tc>
      </w:tr>
      <w:tr w:rsidR="00186732" w:rsidRPr="00D07030" w14:paraId="1193C331" w14:textId="77777777" w:rsidTr="00D07030">
        <w:trPr>
          <w:jc w:val="center"/>
        </w:trPr>
        <w:tc>
          <w:tcPr>
            <w:tcW w:w="0" w:type="auto"/>
            <w:tcMar>
              <w:top w:w="15" w:type="dxa"/>
              <w:left w:w="0" w:type="dxa"/>
              <w:bottom w:w="15" w:type="dxa"/>
              <w:right w:w="15" w:type="dxa"/>
            </w:tcMar>
            <w:vAlign w:val="center"/>
            <w:hideMark/>
          </w:tcPr>
          <w:p w14:paraId="55C2CE65"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Cost savings in construction and maintenance</w:t>
            </w:r>
          </w:p>
        </w:tc>
        <w:tc>
          <w:tcPr>
            <w:tcW w:w="0" w:type="auto"/>
            <w:vAlign w:val="center"/>
            <w:hideMark/>
          </w:tcPr>
          <w:p w14:paraId="2D74D0A9"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7575A04F"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86.669</w:t>
            </w:r>
          </w:p>
        </w:tc>
        <w:tc>
          <w:tcPr>
            <w:tcW w:w="0" w:type="auto"/>
            <w:vAlign w:val="center"/>
            <w:hideMark/>
          </w:tcPr>
          <w:p w14:paraId="3C93EA64"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0.434</w:t>
            </w:r>
          </w:p>
        </w:tc>
      </w:tr>
      <w:tr w:rsidR="00186732" w:rsidRPr="00D07030" w14:paraId="4CA1E4E6" w14:textId="77777777" w:rsidTr="00D07030">
        <w:trPr>
          <w:jc w:val="center"/>
        </w:trPr>
        <w:tc>
          <w:tcPr>
            <w:tcW w:w="0" w:type="auto"/>
            <w:tcMar>
              <w:top w:w="15" w:type="dxa"/>
              <w:left w:w="0" w:type="dxa"/>
              <w:bottom w:w="15" w:type="dxa"/>
              <w:right w:w="15" w:type="dxa"/>
            </w:tcMar>
            <w:vAlign w:val="center"/>
            <w:hideMark/>
          </w:tcPr>
          <w:p w14:paraId="6CB3DF80"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Future-oriented design and expandability</w:t>
            </w:r>
          </w:p>
        </w:tc>
        <w:tc>
          <w:tcPr>
            <w:tcW w:w="0" w:type="auto"/>
            <w:vAlign w:val="center"/>
            <w:hideMark/>
          </w:tcPr>
          <w:p w14:paraId="4B923440"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42EB53BE"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97.228</w:t>
            </w:r>
          </w:p>
        </w:tc>
        <w:tc>
          <w:tcPr>
            <w:tcW w:w="0" w:type="auto"/>
            <w:vAlign w:val="center"/>
            <w:hideMark/>
          </w:tcPr>
          <w:p w14:paraId="58F8675B"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0.365</w:t>
            </w:r>
          </w:p>
        </w:tc>
      </w:tr>
      <w:tr w:rsidR="00186732" w:rsidRPr="00D07030" w14:paraId="582C8291" w14:textId="77777777" w:rsidTr="00D07030">
        <w:trPr>
          <w:jc w:val="center"/>
        </w:trPr>
        <w:tc>
          <w:tcPr>
            <w:tcW w:w="0" w:type="auto"/>
            <w:tcMar>
              <w:top w:w="15" w:type="dxa"/>
              <w:left w:w="0" w:type="dxa"/>
              <w:bottom w:w="15" w:type="dxa"/>
              <w:right w:w="15" w:type="dxa"/>
            </w:tcMar>
            <w:vAlign w:val="center"/>
            <w:hideMark/>
          </w:tcPr>
          <w:p w14:paraId="79D73965"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Design of multipurpose and flexible spaces</w:t>
            </w:r>
          </w:p>
        </w:tc>
        <w:tc>
          <w:tcPr>
            <w:tcW w:w="0" w:type="auto"/>
            <w:vAlign w:val="center"/>
            <w:hideMark/>
          </w:tcPr>
          <w:p w14:paraId="50C1E2D5"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3927EB0F"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105.458</w:t>
            </w:r>
          </w:p>
        </w:tc>
        <w:tc>
          <w:tcPr>
            <w:tcW w:w="0" w:type="auto"/>
            <w:vAlign w:val="center"/>
            <w:hideMark/>
          </w:tcPr>
          <w:p w14:paraId="4B716495"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0.311</w:t>
            </w:r>
          </w:p>
        </w:tc>
      </w:tr>
      <w:tr w:rsidR="00186732" w:rsidRPr="00D07030" w14:paraId="3FC47EDA" w14:textId="77777777" w:rsidTr="00D07030">
        <w:trPr>
          <w:jc w:val="center"/>
        </w:trPr>
        <w:tc>
          <w:tcPr>
            <w:tcW w:w="0" w:type="auto"/>
            <w:tcMar>
              <w:top w:w="15" w:type="dxa"/>
              <w:left w:w="0" w:type="dxa"/>
              <w:bottom w:w="15" w:type="dxa"/>
              <w:right w:w="15" w:type="dxa"/>
            </w:tcMar>
            <w:vAlign w:val="center"/>
            <w:hideMark/>
          </w:tcPr>
          <w:p w14:paraId="3E99D7BB"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Coordination between structural and mechanical systems</w:t>
            </w:r>
          </w:p>
        </w:tc>
        <w:tc>
          <w:tcPr>
            <w:tcW w:w="0" w:type="auto"/>
            <w:vAlign w:val="center"/>
            <w:hideMark/>
          </w:tcPr>
          <w:p w14:paraId="2EF5FFB8"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2E600711"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88.016</w:t>
            </w:r>
          </w:p>
        </w:tc>
        <w:tc>
          <w:tcPr>
            <w:tcW w:w="0" w:type="auto"/>
            <w:vAlign w:val="center"/>
            <w:hideMark/>
          </w:tcPr>
          <w:p w14:paraId="34FBED1F"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0.425</w:t>
            </w:r>
          </w:p>
        </w:tc>
      </w:tr>
      <w:tr w:rsidR="00186732" w:rsidRPr="00D07030" w14:paraId="731DC99A" w14:textId="77777777" w:rsidTr="00D07030">
        <w:trPr>
          <w:jc w:val="center"/>
        </w:trPr>
        <w:tc>
          <w:tcPr>
            <w:tcW w:w="0" w:type="auto"/>
            <w:tcMar>
              <w:top w:w="15" w:type="dxa"/>
              <w:left w:w="0" w:type="dxa"/>
              <w:bottom w:w="15" w:type="dxa"/>
              <w:right w:w="15" w:type="dxa"/>
            </w:tcMar>
            <w:vAlign w:val="center"/>
            <w:hideMark/>
          </w:tcPr>
          <w:p w14:paraId="70433AB3"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Drivers of affordable housing supply based on socio-cultural patterns in Iran</w:t>
            </w:r>
          </w:p>
        </w:tc>
        <w:tc>
          <w:tcPr>
            <w:tcW w:w="0" w:type="auto"/>
            <w:vAlign w:val="center"/>
            <w:hideMark/>
          </w:tcPr>
          <w:p w14:paraId="5E2FC622"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3,978.000</w:t>
            </w:r>
          </w:p>
        </w:tc>
        <w:tc>
          <w:tcPr>
            <w:tcW w:w="0" w:type="auto"/>
            <w:vAlign w:val="center"/>
            <w:hideMark/>
          </w:tcPr>
          <w:p w14:paraId="69D0EFC6"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3,978.000</w:t>
            </w:r>
          </w:p>
        </w:tc>
        <w:tc>
          <w:tcPr>
            <w:tcW w:w="0" w:type="auto"/>
            <w:vAlign w:val="center"/>
            <w:hideMark/>
          </w:tcPr>
          <w:p w14:paraId="0F8B6E93"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p>
        </w:tc>
      </w:tr>
      <w:tr w:rsidR="00186732" w:rsidRPr="00D07030" w14:paraId="6B7E306E" w14:textId="77777777" w:rsidTr="00D07030">
        <w:trPr>
          <w:jc w:val="center"/>
        </w:trPr>
        <w:tc>
          <w:tcPr>
            <w:tcW w:w="0" w:type="auto"/>
            <w:tcMar>
              <w:top w:w="15" w:type="dxa"/>
              <w:left w:w="0" w:type="dxa"/>
              <w:bottom w:w="15" w:type="dxa"/>
              <w:right w:w="15" w:type="dxa"/>
            </w:tcMar>
            <w:vAlign w:val="center"/>
            <w:hideMark/>
          </w:tcPr>
          <w:p w14:paraId="58CC0EBB"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Reduction of environmental impacts during construction and operation</w:t>
            </w:r>
          </w:p>
        </w:tc>
        <w:tc>
          <w:tcPr>
            <w:tcW w:w="0" w:type="auto"/>
            <w:vAlign w:val="center"/>
            <w:hideMark/>
          </w:tcPr>
          <w:p w14:paraId="275E0A74"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5DC3DAE8"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117.297</w:t>
            </w:r>
          </w:p>
        </w:tc>
        <w:tc>
          <w:tcPr>
            <w:tcW w:w="0" w:type="auto"/>
            <w:vAlign w:val="center"/>
            <w:hideMark/>
          </w:tcPr>
          <w:p w14:paraId="3DB1DD29"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0.233</w:t>
            </w:r>
          </w:p>
        </w:tc>
      </w:tr>
      <w:tr w:rsidR="00186732" w:rsidRPr="00D07030" w14:paraId="2ACB765A" w14:textId="77777777" w:rsidTr="00D07030">
        <w:trPr>
          <w:jc w:val="center"/>
        </w:trPr>
        <w:tc>
          <w:tcPr>
            <w:tcW w:w="0" w:type="auto"/>
            <w:tcMar>
              <w:top w:w="15" w:type="dxa"/>
              <w:left w:w="0" w:type="dxa"/>
              <w:bottom w:w="15" w:type="dxa"/>
              <w:right w:w="15" w:type="dxa"/>
            </w:tcMar>
            <w:vAlign w:val="center"/>
            <w:hideMark/>
          </w:tcPr>
          <w:p w14:paraId="6314D130"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Reduction of construction waste and waste management</w:t>
            </w:r>
          </w:p>
        </w:tc>
        <w:tc>
          <w:tcPr>
            <w:tcW w:w="0" w:type="auto"/>
            <w:vAlign w:val="center"/>
            <w:hideMark/>
          </w:tcPr>
          <w:p w14:paraId="30AA0790"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05F0F316"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104.751</w:t>
            </w:r>
          </w:p>
        </w:tc>
        <w:tc>
          <w:tcPr>
            <w:tcW w:w="0" w:type="auto"/>
            <w:vAlign w:val="center"/>
            <w:hideMark/>
          </w:tcPr>
          <w:p w14:paraId="07AA4952"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0.315</w:t>
            </w:r>
          </w:p>
        </w:tc>
      </w:tr>
      <w:tr w:rsidR="00186732" w:rsidRPr="00D07030" w14:paraId="4621EFD5" w14:textId="77777777" w:rsidTr="00D07030">
        <w:trPr>
          <w:jc w:val="center"/>
        </w:trPr>
        <w:tc>
          <w:tcPr>
            <w:tcW w:w="0" w:type="auto"/>
            <w:tcMar>
              <w:top w:w="15" w:type="dxa"/>
              <w:left w:w="0" w:type="dxa"/>
              <w:bottom w:w="15" w:type="dxa"/>
              <w:right w:w="15" w:type="dxa"/>
            </w:tcMar>
            <w:vAlign w:val="center"/>
            <w:hideMark/>
          </w:tcPr>
          <w:p w14:paraId="5A8830F0"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Reducing dependence on human labor</w:t>
            </w:r>
          </w:p>
        </w:tc>
        <w:tc>
          <w:tcPr>
            <w:tcW w:w="0" w:type="auto"/>
            <w:vAlign w:val="center"/>
            <w:hideMark/>
          </w:tcPr>
          <w:p w14:paraId="35CA43A6"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306.000</w:t>
            </w:r>
          </w:p>
        </w:tc>
        <w:tc>
          <w:tcPr>
            <w:tcW w:w="0" w:type="auto"/>
            <w:vAlign w:val="center"/>
            <w:hideMark/>
          </w:tcPr>
          <w:p w14:paraId="2B9216B1"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254.786</w:t>
            </w:r>
          </w:p>
        </w:tc>
        <w:tc>
          <w:tcPr>
            <w:tcW w:w="0" w:type="auto"/>
            <w:vAlign w:val="center"/>
            <w:hideMark/>
          </w:tcPr>
          <w:p w14:paraId="1E7D408C"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0.167</w:t>
            </w:r>
          </w:p>
        </w:tc>
      </w:tr>
      <w:tr w:rsidR="00186732" w:rsidRPr="00D07030" w14:paraId="323DFCD4" w14:textId="77777777" w:rsidTr="00D07030">
        <w:trPr>
          <w:jc w:val="center"/>
        </w:trPr>
        <w:tc>
          <w:tcPr>
            <w:tcW w:w="0" w:type="auto"/>
            <w:tcMar>
              <w:top w:w="15" w:type="dxa"/>
              <w:left w:w="0" w:type="dxa"/>
              <w:bottom w:w="15" w:type="dxa"/>
              <w:right w:w="15" w:type="dxa"/>
            </w:tcMar>
            <w:vAlign w:val="center"/>
            <w:hideMark/>
          </w:tcPr>
          <w:p w14:paraId="1EFAA854"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High quality of residential space and providing occupant comfort</w:t>
            </w:r>
          </w:p>
        </w:tc>
        <w:tc>
          <w:tcPr>
            <w:tcW w:w="0" w:type="auto"/>
            <w:vAlign w:val="center"/>
            <w:hideMark/>
          </w:tcPr>
          <w:p w14:paraId="11187237"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153.000</w:t>
            </w:r>
          </w:p>
        </w:tc>
        <w:tc>
          <w:tcPr>
            <w:tcW w:w="0" w:type="auto"/>
            <w:vAlign w:val="center"/>
            <w:hideMark/>
          </w:tcPr>
          <w:p w14:paraId="71E25755"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115.889</w:t>
            </w:r>
          </w:p>
        </w:tc>
        <w:tc>
          <w:tcPr>
            <w:tcW w:w="0" w:type="auto"/>
            <w:vAlign w:val="center"/>
            <w:hideMark/>
          </w:tcPr>
          <w:p w14:paraId="133D504B" w14:textId="77777777" w:rsidR="00D07030" w:rsidRPr="00D07030" w:rsidRDefault="00D07030" w:rsidP="00D07030">
            <w:pPr>
              <w:spacing w:after="0" w:line="240" w:lineRule="auto"/>
              <w:contextualSpacing/>
              <w:jc w:val="center"/>
              <w:rPr>
                <w:rFonts w:asciiTheme="majorBidi" w:hAnsiTheme="majorBidi" w:cstheme="majorBidi"/>
                <w:sz w:val="20"/>
                <w:szCs w:val="20"/>
                <w:lang w:bidi="fa-IR"/>
              </w:rPr>
            </w:pPr>
            <w:r w:rsidRPr="00D07030">
              <w:rPr>
                <w:rFonts w:asciiTheme="majorBidi" w:hAnsiTheme="majorBidi" w:cstheme="majorBidi"/>
                <w:sz w:val="20"/>
                <w:szCs w:val="20"/>
                <w:lang w:bidi="fa-IR"/>
              </w:rPr>
              <w:t>0.243</w:t>
            </w:r>
          </w:p>
        </w:tc>
      </w:tr>
    </w:tbl>
    <w:p w14:paraId="0F19119B" w14:textId="12B20A5B" w:rsid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The GOF value according to the formula is:</w:t>
      </w:r>
    </w:p>
    <w:p w14:paraId="79EBE9BF" w14:textId="0359D6BB" w:rsidR="00D07030" w:rsidRPr="00D07030" w:rsidRDefault="00D07030" w:rsidP="00D07030">
      <w:pPr>
        <w:spacing w:after="0" w:line="240" w:lineRule="auto"/>
        <w:contextualSpacing/>
        <w:jc w:val="both"/>
        <w:rPr>
          <w:rFonts w:asciiTheme="majorBidi" w:hAnsiTheme="majorBidi" w:cstheme="majorBidi"/>
          <w:sz w:val="20"/>
          <w:szCs w:val="20"/>
          <w:lang w:bidi="fa-IR"/>
        </w:rPr>
      </w:pPr>
    </w:p>
    <w:p w14:paraId="29429805" w14:textId="44D875A8" w:rsidR="00D07030" w:rsidRPr="00D07030" w:rsidRDefault="00D07030" w:rsidP="00D07030">
      <w:pPr>
        <w:spacing w:after="0" w:line="240" w:lineRule="auto"/>
        <w:contextualSpacing/>
        <w:jc w:val="both"/>
        <w:rPr>
          <w:rFonts w:asciiTheme="majorBidi" w:hAnsiTheme="majorBidi" w:cstheme="majorBidi"/>
          <w:sz w:val="20"/>
          <w:szCs w:val="20"/>
          <w:rtl/>
          <w:lang w:bidi="fa-IR"/>
        </w:rPr>
      </w:pPr>
      <m:oMathPara>
        <m:oMath>
          <m:r>
            <w:rPr>
              <w:rFonts w:ascii="Cambria Math" w:hAnsi="Cambria Math" w:cstheme="majorBidi"/>
              <w:sz w:val="20"/>
              <w:szCs w:val="20"/>
              <w:lang w:bidi="fa-IR"/>
            </w:rPr>
            <m:t>GOF=</m:t>
          </m:r>
          <m:rad>
            <m:radPr>
              <m:degHide m:val="1"/>
              <m:ctrlPr>
                <w:rPr>
                  <w:rFonts w:ascii="Cambria Math" w:hAnsi="Cambria Math" w:cstheme="majorBidi"/>
                  <w:i/>
                  <w:sz w:val="20"/>
                  <w:szCs w:val="20"/>
                  <w:lang w:bidi="fa-IR"/>
                </w:rPr>
              </m:ctrlPr>
            </m:radPr>
            <m:deg/>
            <m:e>
              <m:r>
                <w:rPr>
                  <w:rFonts w:ascii="Cambria Math" w:hAnsi="Cambria Math" w:cstheme="majorBidi"/>
                  <w:sz w:val="20"/>
                  <w:szCs w:val="20"/>
                  <w:lang w:bidi="fa-IR"/>
                </w:rPr>
                <m:t>0.337×0.45</m:t>
              </m:r>
            </m:e>
          </m:rad>
          <m:r>
            <w:rPr>
              <w:rFonts w:ascii="Cambria Math" w:hAnsi="Cambria Math" w:cstheme="majorBidi"/>
              <w:sz w:val="20"/>
              <w:szCs w:val="20"/>
              <w:lang w:bidi="fa-IR"/>
            </w:rPr>
            <m:t>=0.39</m:t>
          </m:r>
        </m:oMath>
      </m:oMathPara>
    </w:p>
    <w:p w14:paraId="5AEE7CAB" w14:textId="77777777" w:rsidR="00D07030" w:rsidRPr="00D07030" w:rsidRDefault="00D07030" w:rsidP="00D07030">
      <w:pPr>
        <w:spacing w:after="0" w:line="240" w:lineRule="auto"/>
        <w:contextualSpacing/>
        <w:jc w:val="both"/>
        <w:rPr>
          <w:rFonts w:asciiTheme="majorBidi" w:hAnsiTheme="majorBidi" w:cstheme="majorBidi"/>
          <w:sz w:val="20"/>
          <w:szCs w:val="20"/>
          <w:lang w:bidi="fa-IR"/>
        </w:rPr>
      </w:pPr>
      <w:r w:rsidRPr="00D07030">
        <w:rPr>
          <w:rFonts w:asciiTheme="majorBidi" w:hAnsiTheme="majorBidi" w:cstheme="majorBidi"/>
          <w:sz w:val="20"/>
          <w:szCs w:val="20"/>
          <w:lang w:bidi="fa-IR"/>
        </w:rPr>
        <w:t>Considering the values 0.01, 0.25, and 0.36 as weak, moderate, and strong GOF values, respectively, the resulting GOF value of 0.39 indicates a strong overall fit of the research model. Therefore, the model is significant, and all drivers are confirmed.</w:t>
      </w:r>
    </w:p>
    <w:p w14:paraId="2656F9D6" w14:textId="43098705" w:rsidR="00D07030" w:rsidRDefault="00D07030" w:rsidP="00D07030">
      <w:pPr>
        <w:spacing w:after="0" w:line="240" w:lineRule="auto"/>
        <w:contextualSpacing/>
        <w:jc w:val="both"/>
        <w:rPr>
          <w:rFonts w:asciiTheme="majorBidi" w:hAnsiTheme="majorBidi" w:cstheme="majorBidi"/>
          <w:sz w:val="20"/>
          <w:szCs w:val="20"/>
          <w:lang w:bidi="fa-IR"/>
        </w:rPr>
      </w:pPr>
    </w:p>
    <w:p w14:paraId="5F8D94EB" w14:textId="77777777" w:rsidR="000037CA" w:rsidRDefault="000037CA" w:rsidP="00D07030">
      <w:pPr>
        <w:spacing w:after="0" w:line="240" w:lineRule="auto"/>
        <w:contextualSpacing/>
        <w:jc w:val="both"/>
        <w:rPr>
          <w:rFonts w:asciiTheme="majorBidi" w:hAnsiTheme="majorBidi" w:cstheme="majorBidi"/>
          <w:sz w:val="20"/>
          <w:szCs w:val="20"/>
          <w:lang w:bidi="fa-IR"/>
        </w:rPr>
      </w:pPr>
    </w:p>
    <w:p w14:paraId="2E842012" w14:textId="77777777" w:rsidR="000037CA" w:rsidRPr="000037CA" w:rsidRDefault="000037CA" w:rsidP="000037CA">
      <w:p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b/>
          <w:bCs/>
          <w:sz w:val="20"/>
          <w:szCs w:val="20"/>
          <w:lang w:bidi="fa-IR"/>
        </w:rPr>
        <w:t>Discussion and Conclusion</w:t>
      </w:r>
    </w:p>
    <w:p w14:paraId="1DCF1BAC" w14:textId="77777777" w:rsidR="000037CA" w:rsidRPr="000037CA" w:rsidRDefault="000037CA" w:rsidP="000037CA">
      <w:p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As mentioned, the goal of this research was to identify the drivers of affordable housing supply based on socio-cultural patterns in Iran. The nature of this research is applied developmental, and since it is exploratory, it does not have hypotheses. This research, conducted using a mixed-method approach, combined the drivers identified through meta-synthesis and interviews in the qualitative phase to design a researcher-made questionnaire for the quantitative phase. By distributing the questionnaire among the sample members (273 completed responses), the drivers were localized for Iran.</w:t>
      </w:r>
    </w:p>
    <w:p w14:paraId="49BFCEEE" w14:textId="7B6C1EFE" w:rsidR="000037CA" w:rsidRPr="000037CA" w:rsidRDefault="000037CA" w:rsidP="000037CA">
      <w:p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The identified drivers include:</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Standardization and modularization of design and construction,</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Use of passive ventilation and climate-responsive strategies,</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Adoption of modern technologies in construction and design,</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Utilization of sustainable and recyclable materials,</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Increasing speed and productivity in production and execution processes,</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Adaptability to user and family needs,</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Flexibility in design and spatial variability,</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Building safety and resilience,</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Optimization of energy consumption and reduction of environmental impacts,</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Optimization of energy costs and ventilation systems,</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Provision of psychological comfort and prevention of environmental stress,</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Provision of natural light and optimal use of sunlight,</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Strengthening neighborhood relationships and social interaction,</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Aesthetic considerations and preservation of architectural identity,</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Cost savings in construction and maintenance,</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Future-oriented design and expandability,</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Design of multipurpose and flexible spaces,</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Coordination between structural and mechanical systems,</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Reduction of environmental impacts during construction and operation,</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Reduction of construction waste and waste management,</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Decreased reliance on human labor,</w:t>
      </w:r>
      <w:r>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High-quality residential spaces and provision of occupant comfort.</w:t>
      </w:r>
    </w:p>
    <w:p w14:paraId="5E7259B3" w14:textId="77777777" w:rsidR="000037CA" w:rsidRPr="000037CA" w:rsidRDefault="000037CA" w:rsidP="000037CA">
      <w:p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In this research, flexibility refers to the ability to change the type and proportion of residential units according to user demand, covering various aspects of life and allowing individuals to adjust layouts based on changes. This includes compatibility with multi-generational families, flexible design, adaptability to various materials, and customization of height, space, and area according to customer preferences.</w:t>
      </w:r>
    </w:p>
    <w:p w14:paraId="63E80EAD" w14:textId="77777777" w:rsidR="000037CA" w:rsidRPr="000037CA" w:rsidRDefault="000037CA" w:rsidP="000037CA">
      <w:p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Agrawal et al. (2022) emphasized the importance of understanding demand-side preferences (needs of low-income groups) and integrating them into housing policies. This aligns with the findings of this research, which highlight adaptability to user needs and high-quality residential spaces. Insufficient attention to residents' needs can lead to a gap between supply and demand, as reflected in the emphasis on adaptability and occupant comfort.</w:t>
      </w:r>
    </w:p>
    <w:p w14:paraId="5887FD34" w14:textId="77777777" w:rsidR="000037CA" w:rsidRPr="000037CA" w:rsidRDefault="000037CA" w:rsidP="000037CA">
      <w:pPr>
        <w:spacing w:after="0" w:line="240" w:lineRule="auto"/>
        <w:contextualSpacing/>
        <w:jc w:val="both"/>
        <w:rPr>
          <w:rFonts w:asciiTheme="majorBidi" w:hAnsiTheme="majorBidi" w:cstheme="majorBidi"/>
          <w:sz w:val="20"/>
          <w:szCs w:val="20"/>
          <w:lang w:bidi="fa-IR"/>
        </w:rPr>
      </w:pPr>
      <w:proofErr w:type="spellStart"/>
      <w:r w:rsidRPr="000037CA">
        <w:rPr>
          <w:rFonts w:asciiTheme="majorBidi" w:hAnsiTheme="majorBidi" w:cstheme="majorBidi"/>
          <w:sz w:val="20"/>
          <w:szCs w:val="20"/>
          <w:lang w:bidi="fa-IR"/>
        </w:rPr>
        <w:t>McAskill</w:t>
      </w:r>
      <w:proofErr w:type="spellEnd"/>
      <w:r w:rsidRPr="000037CA">
        <w:rPr>
          <w:rFonts w:asciiTheme="majorBidi" w:hAnsiTheme="majorBidi" w:cstheme="majorBidi"/>
          <w:sz w:val="20"/>
          <w:szCs w:val="20"/>
          <w:lang w:bidi="fa-IR"/>
        </w:rPr>
        <w:t xml:space="preserve"> et al. (2021) and </w:t>
      </w:r>
      <w:proofErr w:type="spellStart"/>
      <w:r w:rsidRPr="000037CA">
        <w:rPr>
          <w:rFonts w:asciiTheme="majorBidi" w:hAnsiTheme="majorBidi" w:cstheme="majorBidi"/>
          <w:sz w:val="20"/>
          <w:szCs w:val="20"/>
          <w:lang w:bidi="fa-IR"/>
        </w:rPr>
        <w:t>Ranjbar</w:t>
      </w:r>
      <w:proofErr w:type="spellEnd"/>
      <w:r w:rsidRPr="000037CA">
        <w:rPr>
          <w:rFonts w:asciiTheme="majorBidi" w:hAnsiTheme="majorBidi" w:cstheme="majorBidi"/>
          <w:sz w:val="20"/>
          <w:szCs w:val="20"/>
          <w:lang w:bidi="fa-IR"/>
        </w:rPr>
        <w:t xml:space="preserve"> et al. (2021) emphasized the importance of environmental sustainability and energy efficiency in affordable housing. This aligns with the optimization of energy consumption and reduction of environmental impacts in this research. Integrating green technologies and reducing energy consumption not only contributes to environmental sustainability but also lowers long-term costs.</w:t>
      </w:r>
    </w:p>
    <w:p w14:paraId="7409A57B" w14:textId="77777777" w:rsidR="000037CA" w:rsidRPr="000037CA" w:rsidRDefault="000037CA" w:rsidP="000037CA">
      <w:pPr>
        <w:spacing w:after="0" w:line="240" w:lineRule="auto"/>
        <w:contextualSpacing/>
        <w:jc w:val="both"/>
        <w:rPr>
          <w:rFonts w:asciiTheme="majorBidi" w:hAnsiTheme="majorBidi" w:cstheme="majorBidi"/>
          <w:sz w:val="20"/>
          <w:szCs w:val="20"/>
          <w:lang w:bidi="fa-IR"/>
        </w:rPr>
      </w:pPr>
      <w:proofErr w:type="spellStart"/>
      <w:r w:rsidRPr="000037CA">
        <w:rPr>
          <w:rFonts w:asciiTheme="majorBidi" w:hAnsiTheme="majorBidi" w:cstheme="majorBidi"/>
          <w:sz w:val="20"/>
          <w:szCs w:val="20"/>
          <w:lang w:bidi="fa-IR"/>
        </w:rPr>
        <w:t>Tabaei</w:t>
      </w:r>
      <w:proofErr w:type="spellEnd"/>
      <w:r w:rsidRPr="000037CA">
        <w:rPr>
          <w:rFonts w:asciiTheme="majorBidi" w:hAnsiTheme="majorBidi" w:cstheme="majorBidi"/>
          <w:sz w:val="20"/>
          <w:szCs w:val="20"/>
          <w:lang w:bidi="fa-IR"/>
        </w:rPr>
        <w:t xml:space="preserve"> et al. (2021) highlighted the importance of inclusive cities and flexibility in urban planning. The flexibility in design and spatial variability, as well as the design of multipurpose and flexible spaces in this research, align with these findings. Flexibility in design can better address the diverse needs of residents.</w:t>
      </w:r>
    </w:p>
    <w:p w14:paraId="311E479C" w14:textId="77777777" w:rsidR="000037CA" w:rsidRPr="000037CA" w:rsidRDefault="000037CA" w:rsidP="000037CA">
      <w:pPr>
        <w:spacing w:after="0" w:line="240" w:lineRule="auto"/>
        <w:contextualSpacing/>
        <w:jc w:val="both"/>
        <w:rPr>
          <w:rFonts w:asciiTheme="majorBidi" w:hAnsiTheme="majorBidi" w:cstheme="majorBidi"/>
          <w:sz w:val="20"/>
          <w:szCs w:val="20"/>
          <w:lang w:bidi="fa-IR"/>
        </w:rPr>
      </w:pPr>
      <w:proofErr w:type="spellStart"/>
      <w:r w:rsidRPr="000037CA">
        <w:rPr>
          <w:rFonts w:asciiTheme="majorBidi" w:hAnsiTheme="majorBidi" w:cstheme="majorBidi"/>
          <w:sz w:val="20"/>
          <w:szCs w:val="20"/>
          <w:lang w:bidi="fa-IR"/>
        </w:rPr>
        <w:lastRenderedPageBreak/>
        <w:t>Safaipour</w:t>
      </w:r>
      <w:proofErr w:type="spellEnd"/>
      <w:r w:rsidRPr="000037CA">
        <w:rPr>
          <w:rFonts w:asciiTheme="majorBidi" w:hAnsiTheme="majorBidi" w:cstheme="majorBidi"/>
          <w:sz w:val="20"/>
          <w:szCs w:val="20"/>
          <w:lang w:bidi="fa-IR"/>
        </w:rPr>
        <w:t xml:space="preserve"> and </w:t>
      </w:r>
      <w:proofErr w:type="spellStart"/>
      <w:r w:rsidRPr="000037CA">
        <w:rPr>
          <w:rFonts w:asciiTheme="majorBidi" w:hAnsiTheme="majorBidi" w:cstheme="majorBidi"/>
          <w:sz w:val="20"/>
          <w:szCs w:val="20"/>
          <w:lang w:bidi="fa-IR"/>
        </w:rPr>
        <w:t>Fadaei</w:t>
      </w:r>
      <w:proofErr w:type="spellEnd"/>
      <w:r w:rsidRPr="000037CA">
        <w:rPr>
          <w:rFonts w:asciiTheme="majorBidi" w:hAnsiTheme="majorBidi" w:cstheme="majorBidi"/>
          <w:sz w:val="20"/>
          <w:szCs w:val="20"/>
          <w:lang w:bidi="fa-IR"/>
        </w:rPr>
        <w:t xml:space="preserve"> </w:t>
      </w:r>
      <w:proofErr w:type="spellStart"/>
      <w:r w:rsidRPr="000037CA">
        <w:rPr>
          <w:rFonts w:asciiTheme="majorBidi" w:hAnsiTheme="majorBidi" w:cstheme="majorBidi"/>
          <w:sz w:val="20"/>
          <w:szCs w:val="20"/>
          <w:lang w:bidi="fa-IR"/>
        </w:rPr>
        <w:t>Jazi</w:t>
      </w:r>
      <w:proofErr w:type="spellEnd"/>
      <w:r w:rsidRPr="000037CA">
        <w:rPr>
          <w:rFonts w:asciiTheme="majorBidi" w:hAnsiTheme="majorBidi" w:cstheme="majorBidi"/>
          <w:sz w:val="20"/>
          <w:szCs w:val="20"/>
          <w:lang w:bidi="fa-IR"/>
        </w:rPr>
        <w:t xml:space="preserve"> (2023) and Zhang et al. (2021) emphasized the importance of cost management in affordable housing. Cost savings in construction and maintenance, as well as optimization of energy costs and ventilation systems, are among the findings of this research that align with these studies. Cost management is crucial not only during construction but also during operation.</w:t>
      </w:r>
    </w:p>
    <w:p w14:paraId="71AE031C" w14:textId="77777777" w:rsidR="000037CA" w:rsidRPr="000037CA" w:rsidRDefault="000037CA" w:rsidP="000037CA">
      <w:p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Chen et al. (2021) emphasized the importance of reducing social vulnerability in low-income communities. Building safety and resilience, as well as the provision of psychological comfort and prevention of environmental stress, align with these findings. Safety and psychological comfort can help reduce social vulnerability.</w:t>
      </w:r>
    </w:p>
    <w:p w14:paraId="3BBA4867" w14:textId="77777777" w:rsidR="000037CA" w:rsidRPr="000037CA" w:rsidRDefault="000037CA" w:rsidP="000037CA">
      <w:p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The use of modern technologies in construction and design (t-statistic: 11.117) and increasing speed and productivity in production and execution processes (t-statistic: 22.912) are among the success factors in this research, aligning with the emphasis on innovation in previous studies. The use of modern technologies can improve quality and reduce costs.</w:t>
      </w:r>
    </w:p>
    <w:p w14:paraId="74785B60" w14:textId="77777777" w:rsidR="000037CA" w:rsidRPr="000037CA" w:rsidRDefault="000037CA" w:rsidP="000037CA">
      <w:p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Given the research background, it is clear that most studies have focused on specific aspects such as environmental sustainability, costs, or flexibility. However, this research provides a more comprehensive approach to the success factors in affordable housing, filling gaps in the literature. This research can serve as a comprehensive framework for planning and implementing affordable housing projects in the future. Additionally, the emphasis on psychological and social factors (such as psychological comfort and social interaction) can improve residents' quality of life.</w:t>
      </w:r>
    </w:p>
    <w:p w14:paraId="2C8B7E47" w14:textId="77777777" w:rsidR="000037CA" w:rsidRDefault="000037CA" w:rsidP="000037CA">
      <w:pPr>
        <w:spacing w:after="0" w:line="240" w:lineRule="auto"/>
        <w:contextualSpacing/>
        <w:jc w:val="both"/>
        <w:rPr>
          <w:rFonts w:asciiTheme="majorBidi" w:hAnsiTheme="majorBidi" w:cstheme="majorBidi"/>
          <w:b/>
          <w:bCs/>
          <w:sz w:val="20"/>
          <w:szCs w:val="20"/>
          <w:lang w:bidi="fa-IR"/>
        </w:rPr>
      </w:pPr>
    </w:p>
    <w:p w14:paraId="48566869" w14:textId="7DEDF2E0" w:rsidR="000037CA" w:rsidRPr="000037CA" w:rsidRDefault="000037CA" w:rsidP="000037CA">
      <w:pPr>
        <w:spacing w:after="0" w:line="240" w:lineRule="auto"/>
        <w:contextualSpacing/>
        <w:jc w:val="both"/>
        <w:rPr>
          <w:rFonts w:asciiTheme="majorBidi" w:hAnsiTheme="majorBidi" w:cstheme="majorBidi"/>
          <w:b/>
          <w:bCs/>
          <w:sz w:val="20"/>
          <w:szCs w:val="20"/>
          <w:lang w:bidi="fa-IR"/>
        </w:rPr>
      </w:pPr>
      <w:r w:rsidRPr="000037CA">
        <w:rPr>
          <w:rFonts w:asciiTheme="majorBidi" w:hAnsiTheme="majorBidi" w:cstheme="majorBidi"/>
          <w:b/>
          <w:bCs/>
          <w:sz w:val="20"/>
          <w:szCs w:val="20"/>
          <w:lang w:bidi="fa-IR"/>
        </w:rPr>
        <w:t>Recommendations</w:t>
      </w:r>
    </w:p>
    <w:p w14:paraId="35F06BC5" w14:textId="77777777" w:rsidR="000037CA" w:rsidRPr="000037CA" w:rsidRDefault="000037CA" w:rsidP="000037CA">
      <w:p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Based on the importance of the identified drivers and the lack of attention to some of them, the following recommendations are proposed:</w:t>
      </w:r>
    </w:p>
    <w:p w14:paraId="6363466C" w14:textId="7E7829DA" w:rsidR="000037CA" w:rsidRPr="000037CA" w:rsidRDefault="000037CA" w:rsidP="000037CA">
      <w:pPr>
        <w:numPr>
          <w:ilvl w:val="0"/>
          <w:numId w:val="3"/>
        </w:num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Housing design should accommodate the diverse needs of residents, especially low-income groups, including flexibility in spatial design and adaptability to future needs.</w:t>
      </w:r>
    </w:p>
    <w:p w14:paraId="72917F9D" w14:textId="62EA9C02" w:rsidR="000037CA" w:rsidRPr="000037CA" w:rsidRDefault="000037CA" w:rsidP="000037CA">
      <w:pPr>
        <w:numPr>
          <w:ilvl w:val="0"/>
          <w:numId w:val="3"/>
        </w:num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Adopt modern construction technologies (e.g., modular construction, prefabricated materials, and smart systems) to reduce time and costs.</w:t>
      </w:r>
    </w:p>
    <w:p w14:paraId="52D996D5" w14:textId="5D6FF6D4" w:rsidR="000037CA" w:rsidRPr="000037CA" w:rsidRDefault="000037CA" w:rsidP="000037CA">
      <w:pPr>
        <w:numPr>
          <w:ilvl w:val="0"/>
          <w:numId w:val="3"/>
        </w:num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Use passive ventilation systems, sustainable and recyclable materials, and energy-efficient designs to minimize energy consumption.</w:t>
      </w:r>
    </w:p>
    <w:p w14:paraId="007C3955" w14:textId="2B5D17C1" w:rsidR="000037CA" w:rsidRPr="000037CA" w:rsidRDefault="000037CA" w:rsidP="000037CA">
      <w:pPr>
        <w:numPr>
          <w:ilvl w:val="0"/>
          <w:numId w:val="3"/>
        </w:num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Utilize low-cost construction methods and affordable materials without compromising quality and safety.</w:t>
      </w:r>
    </w:p>
    <w:p w14:paraId="38B01E16" w14:textId="2D6520CE" w:rsidR="000037CA" w:rsidRPr="000037CA" w:rsidRDefault="000037CA" w:rsidP="000037CA">
      <w:pPr>
        <w:numPr>
          <w:ilvl w:val="0"/>
          <w:numId w:val="3"/>
        </w:num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Design and construct buildings to meet safety standards and withstand natural disasters (e.g., floods and earthquakes).</w:t>
      </w:r>
    </w:p>
    <w:p w14:paraId="577F1246" w14:textId="1BA84293" w:rsidR="000037CA" w:rsidRPr="000037CA" w:rsidRDefault="000037CA" w:rsidP="000037CA">
      <w:pPr>
        <w:numPr>
          <w:ilvl w:val="0"/>
          <w:numId w:val="3"/>
        </w:num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Ensure adequate natural light, ventilation, and green spaces to enhance residents' psychological well-being.</w:t>
      </w:r>
    </w:p>
    <w:p w14:paraId="40ECFC65" w14:textId="210EBCAC" w:rsidR="000037CA" w:rsidRPr="000037CA" w:rsidRDefault="000037CA" w:rsidP="000037CA">
      <w:pPr>
        <w:numPr>
          <w:ilvl w:val="0"/>
          <w:numId w:val="3"/>
        </w:num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Design shared spaces (e.g., parks, community halls, and playgrounds) to strengthen social interaction and neighborhood relationships.</w:t>
      </w:r>
    </w:p>
    <w:p w14:paraId="5E9B76EC" w14:textId="4D68DFF6" w:rsidR="000037CA" w:rsidRPr="000037CA" w:rsidRDefault="000037CA" w:rsidP="000037CA">
      <w:pPr>
        <w:numPr>
          <w:ilvl w:val="0"/>
          <w:numId w:val="3"/>
        </w:num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Implement waste management and recycling programs during construction and operation.</w:t>
      </w:r>
    </w:p>
    <w:p w14:paraId="0D2E1979" w14:textId="4B64B32A" w:rsidR="000037CA" w:rsidRPr="000037CA" w:rsidRDefault="000037CA" w:rsidP="000037CA">
      <w:pPr>
        <w:numPr>
          <w:ilvl w:val="0"/>
          <w:numId w:val="3"/>
        </w:num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Governments should provide financial incentives and low-interest loans to encourage affordable housing construction.</w:t>
      </w:r>
    </w:p>
    <w:p w14:paraId="3C93F35A" w14:textId="713A2114" w:rsidR="000037CA" w:rsidRPr="000037CA" w:rsidRDefault="000037CA" w:rsidP="000037CA">
      <w:pPr>
        <w:numPr>
          <w:ilvl w:val="0"/>
          <w:numId w:val="3"/>
        </w:num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Design housing to allow for future expansion and changes to adapt to evolving resident needs.</w:t>
      </w:r>
    </w:p>
    <w:p w14:paraId="12EB869C" w14:textId="5E13FFC3" w:rsidR="000037CA" w:rsidRPr="000037CA" w:rsidRDefault="000037CA" w:rsidP="000037CA">
      <w:pPr>
        <w:numPr>
          <w:ilvl w:val="0"/>
          <w:numId w:val="3"/>
        </w:num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Educate residents about the benefits of sustainable housing and methods to reduce energy consumption and manage waste.</w:t>
      </w:r>
    </w:p>
    <w:p w14:paraId="7097CA03" w14:textId="4047D3A7" w:rsidR="000037CA" w:rsidRPr="000037CA" w:rsidRDefault="000037CA" w:rsidP="000037CA">
      <w:pPr>
        <w:numPr>
          <w:ilvl w:val="0"/>
          <w:numId w:val="3"/>
        </w:num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Ensure coordination between structural and mechanical systems to improve efficiency and reduce maintenance costs.</w:t>
      </w:r>
    </w:p>
    <w:p w14:paraId="0A2DCFE7" w14:textId="793CEA8F" w:rsidR="000037CA" w:rsidRDefault="000037CA" w:rsidP="000037CA">
      <w:pPr>
        <w:spacing w:after="0" w:line="240" w:lineRule="auto"/>
        <w:contextualSpacing/>
        <w:jc w:val="both"/>
        <w:rPr>
          <w:rFonts w:asciiTheme="majorBidi" w:hAnsiTheme="majorBidi" w:cstheme="majorBidi"/>
          <w:sz w:val="20"/>
          <w:szCs w:val="20"/>
          <w:lang w:bidi="fa-IR"/>
        </w:rPr>
      </w:pPr>
      <w:r w:rsidRPr="000037CA">
        <w:rPr>
          <w:rFonts w:asciiTheme="majorBidi" w:hAnsiTheme="majorBidi" w:cstheme="majorBidi"/>
          <w:sz w:val="20"/>
          <w:szCs w:val="20"/>
          <w:lang w:bidi="fa-IR"/>
        </w:rPr>
        <w:t>This research provides a holistic framework for addressing the challenges of affordable housing in Iran, emphasizing the integration of cultural, social, economic, and environmental factors. By implementing these recommendations, policymakers and stakeholders can create sustainable, affordable, and high-quality housing solutions that meet the needs of diverse populations.</w:t>
      </w:r>
    </w:p>
    <w:p w14:paraId="30FF6151" w14:textId="50453385" w:rsidR="000037CA" w:rsidRDefault="000037CA" w:rsidP="000037CA">
      <w:pPr>
        <w:spacing w:after="0" w:line="240" w:lineRule="auto"/>
        <w:contextualSpacing/>
        <w:jc w:val="both"/>
        <w:rPr>
          <w:rFonts w:asciiTheme="majorBidi" w:hAnsiTheme="majorBidi" w:cstheme="majorBidi"/>
          <w:sz w:val="20"/>
          <w:szCs w:val="20"/>
          <w:lang w:bidi="fa-IR"/>
        </w:rPr>
      </w:pPr>
    </w:p>
    <w:p w14:paraId="09D66005" w14:textId="5801A210" w:rsidR="000037CA" w:rsidRPr="000037CA" w:rsidRDefault="000037CA" w:rsidP="000037CA">
      <w:pPr>
        <w:spacing w:after="0" w:line="240" w:lineRule="auto"/>
        <w:contextualSpacing/>
        <w:jc w:val="both"/>
        <w:rPr>
          <w:rFonts w:asciiTheme="majorBidi" w:hAnsiTheme="majorBidi" w:cstheme="majorBidi"/>
          <w:b/>
          <w:bCs/>
          <w:sz w:val="20"/>
          <w:szCs w:val="20"/>
          <w:lang w:bidi="fa-IR"/>
        </w:rPr>
      </w:pPr>
      <w:r w:rsidRPr="000037CA">
        <w:rPr>
          <w:rFonts w:asciiTheme="majorBidi" w:hAnsiTheme="majorBidi" w:cstheme="majorBidi"/>
          <w:b/>
          <w:bCs/>
          <w:sz w:val="20"/>
          <w:szCs w:val="20"/>
          <w:lang w:bidi="fa-IR"/>
        </w:rPr>
        <w:t>References</w:t>
      </w:r>
    </w:p>
    <w:p w14:paraId="236CBD1B"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r w:rsidRPr="000037CA">
        <w:rPr>
          <w:rFonts w:asciiTheme="majorBidi" w:hAnsiTheme="majorBidi" w:cstheme="majorBidi"/>
          <w:sz w:val="20"/>
          <w:szCs w:val="20"/>
          <w:lang w:bidi="fa-IR"/>
        </w:rPr>
        <w:t>Agarwal, S., Singh, T. P., Bajaj, D., &amp; Pant, V. (2022). Affordable housing in urban India: A review of critical success factors (CSFs) addressing housing adequacy with affordability for the urban poor. Housing, Care and Support, 25(1), 61-79.</w:t>
      </w:r>
    </w:p>
    <w:p w14:paraId="1D9F78B2"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r w:rsidRPr="000037CA">
        <w:rPr>
          <w:rFonts w:asciiTheme="majorBidi" w:hAnsiTheme="majorBidi" w:cstheme="majorBidi"/>
          <w:sz w:val="20"/>
          <w:szCs w:val="20"/>
          <w:lang w:bidi="fa-IR"/>
        </w:rPr>
        <w:t>Australian Housing, Local Government and Planning Ministers (2006), Framework for National Action on Affordable Housing, COAG Working Paper, Canberra.</w:t>
      </w:r>
    </w:p>
    <w:p w14:paraId="09E60DDF"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r w:rsidRPr="000037CA">
        <w:rPr>
          <w:rFonts w:asciiTheme="majorBidi" w:hAnsiTheme="majorBidi" w:cstheme="majorBidi"/>
          <w:sz w:val="20"/>
          <w:szCs w:val="20"/>
          <w:lang w:bidi="fa-IR"/>
        </w:rPr>
        <w:t>Australian Council of Social Service and Others (2007), National Affordable Housing Summit.</w:t>
      </w:r>
    </w:p>
    <w:p w14:paraId="59AEE93F"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r w:rsidRPr="000037CA">
        <w:rPr>
          <w:rFonts w:asciiTheme="majorBidi" w:hAnsiTheme="majorBidi" w:cstheme="majorBidi"/>
          <w:sz w:val="20"/>
          <w:szCs w:val="20"/>
          <w:lang w:bidi="fa-IR"/>
        </w:rPr>
        <w:t>Barker, K. (2004). Review of Housing Supply. HMSO Her Majesty´s Stationery Office</w:t>
      </w:r>
      <w:r w:rsidRPr="000037CA">
        <w:rPr>
          <w:rFonts w:asciiTheme="majorBidi" w:hAnsiTheme="majorBidi" w:cstheme="majorBidi"/>
          <w:sz w:val="20"/>
          <w:szCs w:val="20"/>
          <w:rtl/>
        </w:rPr>
        <w:t>.</w:t>
      </w:r>
      <w:r w:rsidRPr="000037CA">
        <w:rPr>
          <w:rFonts w:asciiTheme="majorBidi" w:hAnsiTheme="majorBidi" w:cstheme="majorBidi"/>
          <w:sz w:val="20"/>
          <w:szCs w:val="20"/>
          <w:lang w:bidi="fa-IR"/>
        </w:rPr>
        <w:fldChar w:fldCharType="begin"/>
      </w:r>
      <w:r w:rsidRPr="000037CA">
        <w:rPr>
          <w:rFonts w:asciiTheme="majorBidi" w:hAnsiTheme="majorBidi" w:cstheme="majorBidi"/>
          <w:sz w:val="20"/>
          <w:szCs w:val="20"/>
          <w:lang w:bidi="fa-IR"/>
        </w:rPr>
        <w:instrText xml:space="preserve"> HYPERLINK "https://doi.org/10.1037/015276" </w:instrText>
      </w:r>
      <w:r w:rsidRPr="000037CA">
        <w:rPr>
          <w:rFonts w:asciiTheme="majorBidi" w:hAnsiTheme="majorBidi" w:cstheme="majorBidi"/>
          <w:sz w:val="20"/>
          <w:szCs w:val="20"/>
          <w:lang w:bidi="fa-IR"/>
        </w:rPr>
        <w:fldChar w:fldCharType="separate"/>
      </w:r>
      <w:r w:rsidRPr="000037CA">
        <w:rPr>
          <w:rStyle w:val="Hyperlink"/>
          <w:rFonts w:asciiTheme="majorBidi" w:hAnsiTheme="majorBidi" w:cstheme="majorBidi"/>
          <w:sz w:val="20"/>
          <w:szCs w:val="20"/>
          <w:lang w:bidi="fa-IR"/>
        </w:rPr>
        <w:t>https://doi.org/10.1037/015276</w:t>
      </w:r>
      <w:r w:rsidRPr="000037CA">
        <w:rPr>
          <w:rFonts w:asciiTheme="majorBidi" w:hAnsiTheme="majorBidi" w:cstheme="majorBidi"/>
          <w:sz w:val="20"/>
          <w:szCs w:val="20"/>
          <w:lang w:bidi="fa-IR"/>
        </w:rPr>
        <w:fldChar w:fldCharType="end"/>
      </w:r>
      <w:r w:rsidRPr="000037CA">
        <w:rPr>
          <w:rFonts w:asciiTheme="majorBidi" w:hAnsiTheme="majorBidi" w:cstheme="majorBidi"/>
          <w:sz w:val="20"/>
          <w:szCs w:val="20"/>
          <w:lang w:bidi="fa-IR"/>
        </w:rPr>
        <w:t>.</w:t>
      </w:r>
    </w:p>
    <w:p w14:paraId="2636E96F"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rtl/>
        </w:rPr>
      </w:pPr>
      <w:r w:rsidRPr="000037CA">
        <w:rPr>
          <w:rFonts w:asciiTheme="majorBidi" w:hAnsiTheme="majorBidi" w:cstheme="majorBidi"/>
          <w:sz w:val="20"/>
          <w:szCs w:val="20"/>
          <w:lang w:bidi="fa-IR"/>
        </w:rPr>
        <w:t>Chen, Y., Liu, T., Ge, Y., Xia, S., Yuan, Y., Li, W., &amp; Xu, H. (2021). Examining social vulnerability to flood of affordable housing communities in Nanjing, China: Building long-term disaster resilience of low-income communities. Sustainable Cities and Society, 71, 102939.</w:t>
      </w:r>
    </w:p>
    <w:p w14:paraId="23A60F1C"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r w:rsidRPr="000037CA">
        <w:rPr>
          <w:rFonts w:asciiTheme="majorBidi" w:hAnsiTheme="majorBidi" w:cstheme="majorBidi"/>
          <w:sz w:val="20"/>
          <w:szCs w:val="20"/>
          <w:lang w:bidi="fa-IR"/>
        </w:rPr>
        <w:lastRenderedPageBreak/>
        <w:t>Donner, C. (2000). Housing policies in the European Union: Theory and practice. Vienna: Donner.</w:t>
      </w:r>
    </w:p>
    <w:p w14:paraId="349E5919"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proofErr w:type="spellStart"/>
      <w:r w:rsidRPr="000037CA">
        <w:rPr>
          <w:rFonts w:asciiTheme="majorBidi" w:hAnsiTheme="majorBidi" w:cstheme="majorBidi"/>
          <w:sz w:val="20"/>
          <w:szCs w:val="20"/>
          <w:lang w:bidi="fa-IR"/>
        </w:rPr>
        <w:t>Favilukis</w:t>
      </w:r>
      <w:proofErr w:type="spellEnd"/>
      <w:r w:rsidRPr="000037CA">
        <w:rPr>
          <w:rFonts w:asciiTheme="majorBidi" w:hAnsiTheme="majorBidi" w:cstheme="majorBidi"/>
          <w:sz w:val="20"/>
          <w:szCs w:val="20"/>
          <w:lang w:bidi="fa-IR"/>
        </w:rPr>
        <w:t xml:space="preserve">, J., </w:t>
      </w:r>
      <w:proofErr w:type="spellStart"/>
      <w:r w:rsidRPr="000037CA">
        <w:rPr>
          <w:rFonts w:asciiTheme="majorBidi" w:hAnsiTheme="majorBidi" w:cstheme="majorBidi"/>
          <w:sz w:val="20"/>
          <w:szCs w:val="20"/>
          <w:lang w:bidi="fa-IR"/>
        </w:rPr>
        <w:t>Mabille</w:t>
      </w:r>
      <w:proofErr w:type="spellEnd"/>
      <w:r w:rsidRPr="000037CA">
        <w:rPr>
          <w:rFonts w:asciiTheme="majorBidi" w:hAnsiTheme="majorBidi" w:cstheme="majorBidi"/>
          <w:sz w:val="20"/>
          <w:szCs w:val="20"/>
          <w:lang w:bidi="fa-IR"/>
        </w:rPr>
        <w:t xml:space="preserve">, P., &amp; Van </w:t>
      </w:r>
      <w:proofErr w:type="spellStart"/>
      <w:r w:rsidRPr="000037CA">
        <w:rPr>
          <w:rFonts w:asciiTheme="majorBidi" w:hAnsiTheme="majorBidi" w:cstheme="majorBidi"/>
          <w:sz w:val="20"/>
          <w:szCs w:val="20"/>
          <w:lang w:bidi="fa-IR"/>
        </w:rPr>
        <w:t>Nieuwerburgh</w:t>
      </w:r>
      <w:proofErr w:type="spellEnd"/>
      <w:r w:rsidRPr="000037CA">
        <w:rPr>
          <w:rFonts w:asciiTheme="majorBidi" w:hAnsiTheme="majorBidi" w:cstheme="majorBidi"/>
          <w:sz w:val="20"/>
          <w:szCs w:val="20"/>
          <w:lang w:bidi="fa-IR"/>
        </w:rPr>
        <w:t>, S. (2019). Affordable housing and city welfare (No. w25906). National Bureau of Economic Research.</w:t>
      </w:r>
      <w:r w:rsidRPr="000037CA">
        <w:rPr>
          <w:rFonts w:asciiTheme="majorBidi" w:hAnsiTheme="majorBidi" w:cstheme="majorBidi"/>
          <w:sz w:val="20"/>
          <w:szCs w:val="20"/>
          <w:rtl/>
        </w:rPr>
        <w:t>‏</w:t>
      </w:r>
    </w:p>
    <w:p w14:paraId="39CCE934"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r w:rsidRPr="000037CA">
        <w:rPr>
          <w:rFonts w:asciiTheme="majorBidi" w:hAnsiTheme="majorBidi" w:cstheme="majorBidi"/>
          <w:sz w:val="20"/>
          <w:szCs w:val="20"/>
          <w:lang w:bidi="fa-IR"/>
        </w:rPr>
        <w:t xml:space="preserve">Gan, X., </w:t>
      </w:r>
      <w:proofErr w:type="spellStart"/>
      <w:r w:rsidRPr="000037CA">
        <w:rPr>
          <w:rFonts w:asciiTheme="majorBidi" w:hAnsiTheme="majorBidi" w:cstheme="majorBidi"/>
          <w:sz w:val="20"/>
          <w:szCs w:val="20"/>
          <w:lang w:bidi="fa-IR"/>
        </w:rPr>
        <w:t>Zuo</w:t>
      </w:r>
      <w:proofErr w:type="spellEnd"/>
      <w:r w:rsidRPr="000037CA">
        <w:rPr>
          <w:rFonts w:asciiTheme="majorBidi" w:hAnsiTheme="majorBidi" w:cstheme="majorBidi"/>
          <w:sz w:val="20"/>
          <w:szCs w:val="20"/>
          <w:lang w:bidi="fa-IR"/>
        </w:rPr>
        <w:t xml:space="preserve">, J., Wu, P., Wang, J., Chang, R., &amp; Wen, T. (2017). How affordable housing becomes more sustainable? A stakeholder </w:t>
      </w:r>
      <w:proofErr w:type="gramStart"/>
      <w:r w:rsidRPr="000037CA">
        <w:rPr>
          <w:rFonts w:asciiTheme="majorBidi" w:hAnsiTheme="majorBidi" w:cstheme="majorBidi"/>
          <w:sz w:val="20"/>
          <w:szCs w:val="20"/>
          <w:lang w:bidi="fa-IR"/>
        </w:rPr>
        <w:t>study</w:t>
      </w:r>
      <w:proofErr w:type="gramEnd"/>
      <w:r w:rsidRPr="000037CA">
        <w:rPr>
          <w:rFonts w:asciiTheme="majorBidi" w:hAnsiTheme="majorBidi" w:cstheme="majorBidi"/>
          <w:sz w:val="20"/>
          <w:szCs w:val="20"/>
          <w:lang w:bidi="fa-IR"/>
        </w:rPr>
        <w:t>. Journal of Cleaner Production, 162, 427-437.</w:t>
      </w:r>
      <w:r w:rsidRPr="000037CA">
        <w:rPr>
          <w:rFonts w:asciiTheme="majorBidi" w:hAnsiTheme="majorBidi" w:cstheme="majorBidi"/>
          <w:sz w:val="20"/>
          <w:szCs w:val="20"/>
          <w:rtl/>
        </w:rPr>
        <w:t>‏</w:t>
      </w:r>
    </w:p>
    <w:p w14:paraId="051B308F"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proofErr w:type="spellStart"/>
      <w:proofErr w:type="gramStart"/>
      <w:r w:rsidRPr="000037CA">
        <w:rPr>
          <w:rFonts w:asciiTheme="majorBidi" w:hAnsiTheme="majorBidi" w:cstheme="majorBidi"/>
          <w:sz w:val="20"/>
          <w:szCs w:val="20"/>
          <w:lang w:bidi="fa-IR"/>
        </w:rPr>
        <w:t>Golland,A</w:t>
      </w:r>
      <w:proofErr w:type="spellEnd"/>
      <w:proofErr w:type="gramEnd"/>
      <w:r w:rsidRPr="000037CA">
        <w:rPr>
          <w:rFonts w:asciiTheme="majorBidi" w:hAnsiTheme="majorBidi" w:cstheme="majorBidi"/>
          <w:sz w:val="20"/>
          <w:szCs w:val="20"/>
          <w:lang w:bidi="fa-IR"/>
        </w:rPr>
        <w:t xml:space="preserve"> &amp; </w:t>
      </w:r>
      <w:proofErr w:type="spellStart"/>
      <w:r w:rsidRPr="000037CA">
        <w:rPr>
          <w:rFonts w:asciiTheme="majorBidi" w:hAnsiTheme="majorBidi" w:cstheme="majorBidi"/>
          <w:sz w:val="20"/>
          <w:szCs w:val="20"/>
          <w:lang w:bidi="fa-IR"/>
        </w:rPr>
        <w:t>Blake,R</w:t>
      </w:r>
      <w:proofErr w:type="spellEnd"/>
      <w:r w:rsidRPr="000037CA">
        <w:rPr>
          <w:rFonts w:asciiTheme="majorBidi" w:hAnsiTheme="majorBidi" w:cstheme="majorBidi"/>
          <w:sz w:val="20"/>
          <w:szCs w:val="20"/>
          <w:lang w:bidi="fa-IR"/>
        </w:rPr>
        <w:t xml:space="preserve"> (2007) Housing Development : Theory, Process and Practice (2nd Edition) , </w:t>
      </w:r>
      <w:proofErr w:type="spellStart"/>
      <w:r w:rsidRPr="000037CA">
        <w:rPr>
          <w:rFonts w:asciiTheme="majorBidi" w:hAnsiTheme="majorBidi" w:cstheme="majorBidi"/>
          <w:sz w:val="20"/>
          <w:szCs w:val="20"/>
          <w:lang w:bidi="fa-IR"/>
        </w:rPr>
        <w:t>Routledege</w:t>
      </w:r>
      <w:proofErr w:type="spellEnd"/>
      <w:r w:rsidRPr="000037CA">
        <w:rPr>
          <w:rFonts w:asciiTheme="majorBidi" w:hAnsiTheme="majorBidi" w:cstheme="majorBidi"/>
          <w:sz w:val="20"/>
          <w:szCs w:val="20"/>
          <w:lang w:bidi="fa-IR"/>
        </w:rPr>
        <w:t xml:space="preserve">, </w:t>
      </w:r>
      <w:proofErr w:type="spellStart"/>
      <w:r w:rsidRPr="000037CA">
        <w:rPr>
          <w:rFonts w:asciiTheme="majorBidi" w:hAnsiTheme="majorBidi" w:cstheme="majorBidi"/>
          <w:sz w:val="20"/>
          <w:szCs w:val="20"/>
          <w:lang w:bidi="fa-IR"/>
        </w:rPr>
        <w:t>U.Kingdom</w:t>
      </w:r>
      <w:proofErr w:type="spellEnd"/>
    </w:p>
    <w:p w14:paraId="7F22880E"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r w:rsidRPr="000037CA">
        <w:rPr>
          <w:rFonts w:asciiTheme="majorBidi" w:hAnsiTheme="majorBidi" w:cstheme="majorBidi"/>
          <w:sz w:val="20"/>
          <w:szCs w:val="20"/>
          <w:lang w:bidi="fa-IR"/>
        </w:rPr>
        <w:t xml:space="preserve">Harvey, J. and, &amp; </w:t>
      </w:r>
      <w:proofErr w:type="spellStart"/>
      <w:r w:rsidRPr="000037CA">
        <w:rPr>
          <w:rFonts w:asciiTheme="majorBidi" w:hAnsiTheme="majorBidi" w:cstheme="majorBidi"/>
          <w:sz w:val="20"/>
          <w:szCs w:val="20"/>
          <w:lang w:bidi="fa-IR"/>
        </w:rPr>
        <w:t>Jowsey</w:t>
      </w:r>
      <w:proofErr w:type="spellEnd"/>
      <w:r w:rsidRPr="000037CA">
        <w:rPr>
          <w:rFonts w:asciiTheme="majorBidi" w:hAnsiTheme="majorBidi" w:cstheme="majorBidi"/>
          <w:sz w:val="20"/>
          <w:szCs w:val="20"/>
          <w:lang w:bidi="fa-IR"/>
        </w:rPr>
        <w:t>, E. (2004). Land Use and Land Values. Urban Land Economics, 233–246.</w:t>
      </w:r>
    </w:p>
    <w:p w14:paraId="6ACA846F"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proofErr w:type="spellStart"/>
      <w:r w:rsidRPr="000037CA">
        <w:rPr>
          <w:rFonts w:asciiTheme="majorBidi" w:hAnsiTheme="majorBidi" w:cstheme="majorBidi"/>
          <w:sz w:val="20"/>
          <w:szCs w:val="20"/>
          <w:lang w:bidi="fa-IR"/>
        </w:rPr>
        <w:t>Henilane</w:t>
      </w:r>
      <w:proofErr w:type="spellEnd"/>
      <w:r w:rsidRPr="000037CA">
        <w:rPr>
          <w:rFonts w:asciiTheme="majorBidi" w:hAnsiTheme="majorBidi" w:cstheme="majorBidi"/>
          <w:sz w:val="20"/>
          <w:szCs w:val="20"/>
          <w:lang w:bidi="fa-IR"/>
        </w:rPr>
        <w:t>, I. (2016). Housing concept and analysis of housing classification. Baltic Journal of Real Estate Economics and Construction Management, 4(1), 168-179.</w:t>
      </w:r>
    </w:p>
    <w:p w14:paraId="76478032"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proofErr w:type="spellStart"/>
      <w:r w:rsidRPr="000037CA">
        <w:rPr>
          <w:rFonts w:asciiTheme="majorBidi" w:hAnsiTheme="majorBidi" w:cstheme="majorBidi"/>
          <w:sz w:val="20"/>
          <w:szCs w:val="20"/>
          <w:lang w:bidi="fa-IR"/>
        </w:rPr>
        <w:t>Hulchanski</w:t>
      </w:r>
      <w:proofErr w:type="spellEnd"/>
      <w:r w:rsidRPr="000037CA">
        <w:rPr>
          <w:rFonts w:asciiTheme="majorBidi" w:hAnsiTheme="majorBidi" w:cstheme="majorBidi"/>
          <w:sz w:val="20"/>
          <w:szCs w:val="20"/>
          <w:lang w:bidi="fa-IR"/>
        </w:rPr>
        <w:t xml:space="preserve"> JD (1995). The concept of housing affordability: Six contemporary uses of the housing expenditure-to-income ratio. Housing Stud.10(4):471–91.</w:t>
      </w:r>
    </w:p>
    <w:p w14:paraId="300DF155"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r w:rsidRPr="000037CA">
        <w:rPr>
          <w:rFonts w:asciiTheme="majorBidi" w:hAnsiTheme="majorBidi" w:cstheme="majorBidi"/>
          <w:sz w:val="20"/>
          <w:szCs w:val="20"/>
          <w:lang w:bidi="fa-IR"/>
        </w:rPr>
        <w:t xml:space="preserve">Lin, Y., Liu, Z., Luan, H., Sun, M., Rao, S., &amp; Liu, S. (2015). Modeling relation paths for representation learning of knowledge bases. </w:t>
      </w:r>
      <w:proofErr w:type="spellStart"/>
      <w:r w:rsidRPr="000037CA">
        <w:rPr>
          <w:rFonts w:asciiTheme="majorBidi" w:hAnsiTheme="majorBidi" w:cstheme="majorBidi"/>
          <w:sz w:val="20"/>
          <w:szCs w:val="20"/>
          <w:lang w:bidi="fa-IR"/>
        </w:rPr>
        <w:t>arXiv</w:t>
      </w:r>
      <w:proofErr w:type="spellEnd"/>
      <w:r w:rsidRPr="000037CA">
        <w:rPr>
          <w:rFonts w:asciiTheme="majorBidi" w:hAnsiTheme="majorBidi" w:cstheme="majorBidi"/>
          <w:sz w:val="20"/>
          <w:szCs w:val="20"/>
          <w:lang w:bidi="fa-IR"/>
        </w:rPr>
        <w:t xml:space="preserve"> preprint arXiv:1506.00379.</w:t>
      </w:r>
    </w:p>
    <w:p w14:paraId="21F00466"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rtl/>
        </w:rPr>
      </w:pPr>
      <w:r w:rsidRPr="000037CA">
        <w:rPr>
          <w:rFonts w:asciiTheme="majorBidi" w:hAnsiTheme="majorBidi" w:cstheme="majorBidi"/>
          <w:sz w:val="20"/>
          <w:szCs w:val="20"/>
          <w:lang w:bidi="fa-IR"/>
        </w:rPr>
        <w:t xml:space="preserve">MacAskill, S., </w:t>
      </w:r>
      <w:proofErr w:type="spellStart"/>
      <w:r w:rsidRPr="000037CA">
        <w:rPr>
          <w:rFonts w:asciiTheme="majorBidi" w:hAnsiTheme="majorBidi" w:cstheme="majorBidi"/>
          <w:sz w:val="20"/>
          <w:szCs w:val="20"/>
          <w:lang w:bidi="fa-IR"/>
        </w:rPr>
        <w:t>Sahin</w:t>
      </w:r>
      <w:proofErr w:type="spellEnd"/>
      <w:r w:rsidRPr="000037CA">
        <w:rPr>
          <w:rFonts w:asciiTheme="majorBidi" w:hAnsiTheme="majorBidi" w:cstheme="majorBidi"/>
          <w:sz w:val="20"/>
          <w:szCs w:val="20"/>
          <w:lang w:bidi="fa-IR"/>
        </w:rPr>
        <w:t>, O., Stewart, R. A., Roca, E., &amp; Liu, B. (2021). Examining green affordable housing policy outcomes in Australia: A systems approach. Journal of Cleaner Production, 293, 126212.</w:t>
      </w:r>
    </w:p>
    <w:p w14:paraId="0FE59194"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r w:rsidRPr="000037CA">
        <w:rPr>
          <w:rFonts w:asciiTheme="majorBidi" w:hAnsiTheme="majorBidi" w:cstheme="majorBidi"/>
          <w:sz w:val="20"/>
          <w:szCs w:val="20"/>
          <w:lang w:bidi="fa-IR"/>
        </w:rPr>
        <w:t>Marks, G.N. and Sedgwick, S.T. (2008), ‘Is there a Housing Crisis? The Incidence and Persistence of Housing Stress 2001–2006’, Australian Economic Review, 41 (2), 215– 21.</w:t>
      </w:r>
    </w:p>
    <w:p w14:paraId="750E8A0B"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proofErr w:type="spellStart"/>
      <w:r w:rsidRPr="000037CA">
        <w:rPr>
          <w:rFonts w:asciiTheme="majorBidi" w:hAnsiTheme="majorBidi" w:cstheme="majorBidi"/>
          <w:sz w:val="20"/>
          <w:szCs w:val="20"/>
          <w:lang w:bidi="fa-IR"/>
        </w:rPr>
        <w:t>Masram</w:t>
      </w:r>
      <w:proofErr w:type="spellEnd"/>
      <w:r w:rsidRPr="000037CA">
        <w:rPr>
          <w:rFonts w:asciiTheme="majorBidi" w:hAnsiTheme="majorBidi" w:cstheme="majorBidi"/>
          <w:sz w:val="20"/>
          <w:szCs w:val="20"/>
          <w:lang w:bidi="fa-IR"/>
        </w:rPr>
        <w:t xml:space="preserve">, H., &amp; </w:t>
      </w:r>
      <w:proofErr w:type="spellStart"/>
      <w:r w:rsidRPr="000037CA">
        <w:rPr>
          <w:rFonts w:asciiTheme="majorBidi" w:hAnsiTheme="majorBidi" w:cstheme="majorBidi"/>
          <w:sz w:val="20"/>
          <w:szCs w:val="20"/>
          <w:lang w:bidi="fa-IR"/>
        </w:rPr>
        <w:t>Misnan</w:t>
      </w:r>
      <w:proofErr w:type="spellEnd"/>
      <w:r w:rsidRPr="000037CA">
        <w:rPr>
          <w:rFonts w:asciiTheme="majorBidi" w:hAnsiTheme="majorBidi" w:cstheme="majorBidi"/>
          <w:sz w:val="20"/>
          <w:szCs w:val="20"/>
          <w:lang w:bidi="fa-IR"/>
        </w:rPr>
        <w:t xml:space="preserve">, S. H. (2019). Evolution of policy for affordable housing </w:t>
      </w:r>
      <w:proofErr w:type="spellStart"/>
      <w:r w:rsidRPr="000037CA">
        <w:rPr>
          <w:rFonts w:asciiTheme="majorBidi" w:hAnsiTheme="majorBidi" w:cstheme="majorBidi"/>
          <w:sz w:val="20"/>
          <w:szCs w:val="20"/>
          <w:lang w:bidi="fa-IR"/>
        </w:rPr>
        <w:t>programmes</w:t>
      </w:r>
      <w:proofErr w:type="spellEnd"/>
      <w:r w:rsidRPr="000037CA">
        <w:rPr>
          <w:rFonts w:asciiTheme="majorBidi" w:hAnsiTheme="majorBidi" w:cstheme="majorBidi"/>
          <w:sz w:val="20"/>
          <w:szCs w:val="20"/>
          <w:lang w:bidi="fa-IR"/>
        </w:rPr>
        <w:t xml:space="preserve"> in Malaysia. International Journal of Accounting, Finance and Business (IJAFB), 4(17), 86-98.</w:t>
      </w:r>
    </w:p>
    <w:p w14:paraId="49D2B970"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proofErr w:type="spellStart"/>
      <w:r w:rsidRPr="000037CA">
        <w:rPr>
          <w:rFonts w:asciiTheme="majorBidi" w:hAnsiTheme="majorBidi" w:cstheme="majorBidi"/>
          <w:sz w:val="20"/>
          <w:szCs w:val="20"/>
          <w:lang w:bidi="fa-IR"/>
        </w:rPr>
        <w:t>Moghayedi</w:t>
      </w:r>
      <w:proofErr w:type="spellEnd"/>
      <w:r w:rsidRPr="000037CA">
        <w:rPr>
          <w:rFonts w:asciiTheme="majorBidi" w:hAnsiTheme="majorBidi" w:cstheme="majorBidi"/>
          <w:sz w:val="20"/>
          <w:szCs w:val="20"/>
          <w:lang w:bidi="fa-IR"/>
        </w:rPr>
        <w:t xml:space="preserve">, A., </w:t>
      </w:r>
      <w:proofErr w:type="spellStart"/>
      <w:r w:rsidRPr="000037CA">
        <w:rPr>
          <w:rFonts w:asciiTheme="majorBidi" w:hAnsiTheme="majorBidi" w:cstheme="majorBidi"/>
          <w:sz w:val="20"/>
          <w:szCs w:val="20"/>
          <w:lang w:bidi="fa-IR"/>
        </w:rPr>
        <w:t>Awuzie</w:t>
      </w:r>
      <w:proofErr w:type="spellEnd"/>
      <w:r w:rsidRPr="000037CA">
        <w:rPr>
          <w:rFonts w:asciiTheme="majorBidi" w:hAnsiTheme="majorBidi" w:cstheme="majorBidi"/>
          <w:sz w:val="20"/>
          <w:szCs w:val="20"/>
          <w:lang w:bidi="fa-IR"/>
        </w:rPr>
        <w:t xml:space="preserve">, B., Omotayo, T., Le </w:t>
      </w:r>
      <w:proofErr w:type="spellStart"/>
      <w:r w:rsidRPr="000037CA">
        <w:rPr>
          <w:rFonts w:asciiTheme="majorBidi" w:hAnsiTheme="majorBidi" w:cstheme="majorBidi"/>
          <w:sz w:val="20"/>
          <w:szCs w:val="20"/>
          <w:lang w:bidi="fa-IR"/>
        </w:rPr>
        <w:t>Jeune</w:t>
      </w:r>
      <w:proofErr w:type="spellEnd"/>
      <w:r w:rsidRPr="000037CA">
        <w:rPr>
          <w:rFonts w:asciiTheme="majorBidi" w:hAnsiTheme="majorBidi" w:cstheme="majorBidi"/>
          <w:sz w:val="20"/>
          <w:szCs w:val="20"/>
          <w:lang w:bidi="fa-IR"/>
        </w:rPr>
        <w:t xml:space="preserve">, K., </w:t>
      </w:r>
      <w:proofErr w:type="spellStart"/>
      <w:r w:rsidRPr="000037CA">
        <w:rPr>
          <w:rFonts w:asciiTheme="majorBidi" w:hAnsiTheme="majorBidi" w:cstheme="majorBidi"/>
          <w:sz w:val="20"/>
          <w:szCs w:val="20"/>
          <w:lang w:bidi="fa-IR"/>
        </w:rPr>
        <w:t>Massyn</w:t>
      </w:r>
      <w:proofErr w:type="spellEnd"/>
      <w:r w:rsidRPr="000037CA">
        <w:rPr>
          <w:rFonts w:asciiTheme="majorBidi" w:hAnsiTheme="majorBidi" w:cstheme="majorBidi"/>
          <w:sz w:val="20"/>
          <w:szCs w:val="20"/>
          <w:lang w:bidi="fa-IR"/>
        </w:rPr>
        <w:t xml:space="preserve">, M., </w:t>
      </w:r>
      <w:proofErr w:type="spellStart"/>
      <w:r w:rsidRPr="000037CA">
        <w:rPr>
          <w:rFonts w:asciiTheme="majorBidi" w:hAnsiTheme="majorBidi" w:cstheme="majorBidi"/>
          <w:sz w:val="20"/>
          <w:szCs w:val="20"/>
          <w:lang w:bidi="fa-IR"/>
        </w:rPr>
        <w:t>Ekpo</w:t>
      </w:r>
      <w:proofErr w:type="spellEnd"/>
      <w:r w:rsidRPr="000037CA">
        <w:rPr>
          <w:rFonts w:asciiTheme="majorBidi" w:hAnsiTheme="majorBidi" w:cstheme="majorBidi"/>
          <w:sz w:val="20"/>
          <w:szCs w:val="20"/>
          <w:lang w:bidi="fa-IR"/>
        </w:rPr>
        <w:t xml:space="preserve">, C. O., ... &amp; Byron, P. (2021). A critical success factor framework for implementing sustainable innovative and affordable housing: a systematic review and bibliometric analysis. </w:t>
      </w:r>
      <w:r w:rsidRPr="000037CA">
        <w:rPr>
          <w:rFonts w:asciiTheme="majorBidi" w:hAnsiTheme="majorBidi" w:cstheme="majorBidi"/>
          <w:i/>
          <w:iCs/>
          <w:sz w:val="20"/>
          <w:szCs w:val="20"/>
          <w:lang w:bidi="fa-IR"/>
        </w:rPr>
        <w:t>Buildings</w:t>
      </w:r>
      <w:r w:rsidRPr="000037CA">
        <w:rPr>
          <w:rFonts w:asciiTheme="majorBidi" w:hAnsiTheme="majorBidi" w:cstheme="majorBidi"/>
          <w:sz w:val="20"/>
          <w:szCs w:val="20"/>
          <w:lang w:bidi="fa-IR"/>
        </w:rPr>
        <w:t>, 11(8), 317.</w:t>
      </w:r>
    </w:p>
    <w:p w14:paraId="3420D7D4"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proofErr w:type="spellStart"/>
      <w:r w:rsidRPr="000037CA">
        <w:rPr>
          <w:rFonts w:asciiTheme="majorBidi" w:hAnsiTheme="majorBidi" w:cstheme="majorBidi"/>
          <w:sz w:val="20"/>
          <w:szCs w:val="20"/>
          <w:lang w:bidi="fa-IR"/>
        </w:rPr>
        <w:t>Musole</w:t>
      </w:r>
      <w:proofErr w:type="spellEnd"/>
      <w:r w:rsidRPr="000037CA">
        <w:rPr>
          <w:rFonts w:asciiTheme="majorBidi" w:hAnsiTheme="majorBidi" w:cstheme="majorBidi"/>
          <w:sz w:val="20"/>
          <w:szCs w:val="20"/>
          <w:lang w:bidi="fa-IR"/>
        </w:rPr>
        <w:t>, M. (2009). Property rights, transaction costs and institutional change: Conceptual framework and literature review. Progress in Planning, 71(2), 43–85. https://doi.org/10.1016/j.progress.2008.09.002</w:t>
      </w:r>
    </w:p>
    <w:p w14:paraId="6B04A732"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r w:rsidRPr="000037CA">
        <w:rPr>
          <w:rFonts w:asciiTheme="majorBidi" w:hAnsiTheme="majorBidi" w:cstheme="majorBidi"/>
          <w:sz w:val="20"/>
          <w:szCs w:val="20"/>
          <w:lang w:bidi="fa-IR"/>
        </w:rPr>
        <w:t xml:space="preserve">OECD (2021), “Building for a better tomorrow: Policies to make housing more affordable,” Employment, </w:t>
      </w:r>
      <w:proofErr w:type="spellStart"/>
      <w:r w:rsidRPr="000037CA">
        <w:rPr>
          <w:rFonts w:asciiTheme="majorBidi" w:hAnsiTheme="majorBidi" w:cstheme="majorBidi"/>
          <w:sz w:val="20"/>
          <w:szCs w:val="20"/>
          <w:lang w:bidi="fa-IR"/>
        </w:rPr>
        <w:t>Labour</w:t>
      </w:r>
      <w:proofErr w:type="spellEnd"/>
      <w:r w:rsidRPr="000037CA">
        <w:rPr>
          <w:rFonts w:asciiTheme="majorBidi" w:hAnsiTheme="majorBidi" w:cstheme="majorBidi"/>
          <w:sz w:val="20"/>
          <w:szCs w:val="20"/>
          <w:lang w:bidi="fa-IR"/>
        </w:rPr>
        <w:t xml:space="preserve"> and Social Affairs Policy Briefs, OECD, Paris.</w:t>
      </w:r>
    </w:p>
    <w:p w14:paraId="2C8F186F"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r w:rsidRPr="000037CA">
        <w:rPr>
          <w:rFonts w:asciiTheme="majorBidi" w:hAnsiTheme="majorBidi" w:cstheme="majorBidi"/>
          <w:sz w:val="20"/>
          <w:szCs w:val="20"/>
          <w:lang w:bidi="fa-IR"/>
        </w:rPr>
        <w:t>Powell, R., Dunning, R., Ferrari, E., &amp; McKee, K. (2015). Affordable housing need in Scotland.</w:t>
      </w:r>
    </w:p>
    <w:p w14:paraId="54E19099" w14:textId="2AA7E5CF" w:rsidR="000037CA" w:rsidRPr="000037CA" w:rsidRDefault="000037CA" w:rsidP="000037CA">
      <w:pPr>
        <w:pStyle w:val="ListParagraph"/>
        <w:numPr>
          <w:ilvl w:val="0"/>
          <w:numId w:val="4"/>
        </w:numPr>
        <w:spacing w:after="0" w:line="240" w:lineRule="auto"/>
        <w:rPr>
          <w:rFonts w:asciiTheme="majorBidi" w:hAnsiTheme="majorBidi" w:cstheme="majorBidi"/>
          <w:sz w:val="20"/>
          <w:szCs w:val="20"/>
          <w:lang w:bidi="fa-IR"/>
        </w:rPr>
      </w:pPr>
      <w:proofErr w:type="spellStart"/>
      <w:r w:rsidRPr="000037CA">
        <w:rPr>
          <w:rFonts w:asciiTheme="majorBidi" w:hAnsiTheme="majorBidi" w:cstheme="majorBidi"/>
          <w:sz w:val="20"/>
          <w:szCs w:val="20"/>
          <w:lang w:bidi="fa-IR"/>
        </w:rPr>
        <w:t>Ranjbar</w:t>
      </w:r>
      <w:proofErr w:type="spellEnd"/>
      <w:r w:rsidRPr="000037CA">
        <w:rPr>
          <w:rFonts w:asciiTheme="majorBidi" w:hAnsiTheme="majorBidi" w:cstheme="majorBidi"/>
          <w:sz w:val="20"/>
          <w:szCs w:val="20"/>
          <w:lang w:bidi="fa-IR"/>
        </w:rPr>
        <w:t xml:space="preserve"> </w:t>
      </w:r>
      <w:proofErr w:type="spellStart"/>
      <w:r w:rsidRPr="000037CA">
        <w:rPr>
          <w:rFonts w:asciiTheme="majorBidi" w:hAnsiTheme="majorBidi" w:cstheme="majorBidi"/>
          <w:sz w:val="20"/>
          <w:szCs w:val="20"/>
          <w:lang w:bidi="fa-IR"/>
        </w:rPr>
        <w:t>Hamghavandi</w:t>
      </w:r>
      <w:proofErr w:type="spellEnd"/>
      <w:r w:rsidRPr="000037CA">
        <w:rPr>
          <w:rFonts w:asciiTheme="majorBidi" w:hAnsiTheme="majorBidi" w:cstheme="majorBidi"/>
          <w:sz w:val="20"/>
          <w:szCs w:val="20"/>
          <w:lang w:bidi="fa-IR"/>
        </w:rPr>
        <w:t xml:space="preserve">, Rezaei, </w:t>
      </w:r>
      <w:proofErr w:type="spellStart"/>
      <w:r w:rsidRPr="000037CA">
        <w:rPr>
          <w:rFonts w:asciiTheme="majorBidi" w:hAnsiTheme="majorBidi" w:cstheme="majorBidi"/>
          <w:sz w:val="20"/>
          <w:szCs w:val="20"/>
          <w:lang w:bidi="fa-IR"/>
        </w:rPr>
        <w:t>Hosseinina</w:t>
      </w:r>
      <w:proofErr w:type="spellEnd"/>
      <w:r w:rsidRPr="000037CA">
        <w:rPr>
          <w:rFonts w:asciiTheme="majorBidi" w:hAnsiTheme="majorBidi" w:cstheme="majorBidi"/>
          <w:sz w:val="20"/>
          <w:szCs w:val="20"/>
          <w:lang w:bidi="fa-IR"/>
        </w:rPr>
        <w:t>. (2021).</w:t>
      </w:r>
      <w:r w:rsidRPr="000037CA">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Investigating the Impact of Physical Indicators of Affordable Housing from an Energy Efficiency Perspective (A Review of Global Examples).</w:t>
      </w:r>
      <w:r w:rsidRPr="000037CA">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Published in Journal of Energy Planning and Policy Research, Volume 7, Issue 3, pp. 124-151.</w:t>
      </w:r>
      <w:r w:rsidRPr="000037CA">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w:t>
      </w:r>
      <w:proofErr w:type="spellStart"/>
      <w:r w:rsidRPr="000037CA">
        <w:rPr>
          <w:rFonts w:asciiTheme="majorBidi" w:hAnsiTheme="majorBidi" w:cstheme="majorBidi"/>
          <w:sz w:val="20"/>
          <w:szCs w:val="20"/>
          <w:lang w:bidi="fa-IR"/>
        </w:rPr>
        <w:t>persian</w:t>
      </w:r>
      <w:proofErr w:type="spellEnd"/>
      <w:r w:rsidRPr="000037CA">
        <w:rPr>
          <w:rFonts w:asciiTheme="majorBidi" w:hAnsiTheme="majorBidi" w:cstheme="majorBidi"/>
          <w:sz w:val="20"/>
          <w:szCs w:val="20"/>
          <w:lang w:bidi="fa-IR"/>
        </w:rPr>
        <w:t>)</w:t>
      </w:r>
    </w:p>
    <w:p w14:paraId="08A92A20" w14:textId="72918D2B"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r w:rsidRPr="000037CA">
        <w:rPr>
          <w:rFonts w:asciiTheme="majorBidi" w:hAnsiTheme="majorBidi" w:cstheme="majorBidi"/>
          <w:sz w:val="20"/>
          <w:szCs w:val="20"/>
          <w:lang w:bidi="fa-IR"/>
        </w:rPr>
        <w:t xml:space="preserve">Reeves, </w:t>
      </w:r>
      <w:proofErr w:type="gramStart"/>
      <w:r w:rsidRPr="000037CA">
        <w:rPr>
          <w:rFonts w:asciiTheme="majorBidi" w:hAnsiTheme="majorBidi" w:cstheme="majorBidi"/>
          <w:sz w:val="20"/>
          <w:szCs w:val="20"/>
          <w:lang w:bidi="fa-IR"/>
        </w:rPr>
        <w:t>P.( 2014</w:t>
      </w:r>
      <w:proofErr w:type="gramEnd"/>
      <w:r w:rsidRPr="000037CA">
        <w:rPr>
          <w:rFonts w:asciiTheme="majorBidi" w:hAnsiTheme="majorBidi" w:cstheme="majorBidi"/>
          <w:sz w:val="20"/>
          <w:szCs w:val="20"/>
          <w:lang w:bidi="fa-IR"/>
        </w:rPr>
        <w:t xml:space="preserve">). Affordable and Social </w:t>
      </w:r>
      <w:proofErr w:type="gramStart"/>
      <w:r w:rsidRPr="000037CA">
        <w:rPr>
          <w:rFonts w:asciiTheme="majorBidi" w:hAnsiTheme="majorBidi" w:cstheme="majorBidi"/>
          <w:sz w:val="20"/>
          <w:szCs w:val="20"/>
          <w:lang w:bidi="fa-IR"/>
        </w:rPr>
        <w:t>Housing :</w:t>
      </w:r>
      <w:proofErr w:type="gramEnd"/>
      <w:r w:rsidRPr="000037CA">
        <w:rPr>
          <w:rFonts w:asciiTheme="majorBidi" w:hAnsiTheme="majorBidi" w:cstheme="majorBidi"/>
          <w:sz w:val="20"/>
          <w:szCs w:val="20"/>
          <w:lang w:bidi="fa-IR"/>
        </w:rPr>
        <w:t xml:space="preserve"> Policy and practice. Routledge</w:t>
      </w:r>
    </w:p>
    <w:p w14:paraId="5CC1D242"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r w:rsidRPr="000037CA">
        <w:rPr>
          <w:rFonts w:asciiTheme="majorBidi" w:hAnsiTheme="majorBidi" w:cstheme="majorBidi"/>
          <w:sz w:val="20"/>
          <w:szCs w:val="20"/>
          <w:lang w:bidi="fa-IR"/>
        </w:rPr>
        <w:t xml:space="preserve">Riley, E. D., Hickey, M. D., Imbert, E., </w:t>
      </w:r>
      <w:proofErr w:type="spellStart"/>
      <w:r w:rsidRPr="000037CA">
        <w:rPr>
          <w:rFonts w:asciiTheme="majorBidi" w:hAnsiTheme="majorBidi" w:cstheme="majorBidi"/>
          <w:sz w:val="20"/>
          <w:szCs w:val="20"/>
          <w:lang w:bidi="fa-IR"/>
        </w:rPr>
        <w:t>Clemenzi</w:t>
      </w:r>
      <w:proofErr w:type="spellEnd"/>
      <w:r w:rsidRPr="000037CA">
        <w:rPr>
          <w:rFonts w:asciiTheme="majorBidi" w:hAnsiTheme="majorBidi" w:cstheme="majorBidi"/>
          <w:sz w:val="20"/>
          <w:szCs w:val="20"/>
          <w:lang w:bidi="fa-IR"/>
        </w:rPr>
        <w:t xml:space="preserve">-Allen, A. A., &amp; Gandhi, M. (2021). Coronavirus disease 2019 (COVID-19) and HIV spotlight the United States imperative for permanent affordable housing. </w:t>
      </w:r>
      <w:r w:rsidRPr="000037CA">
        <w:rPr>
          <w:rFonts w:asciiTheme="majorBidi" w:hAnsiTheme="majorBidi" w:cstheme="majorBidi"/>
          <w:i/>
          <w:iCs/>
          <w:sz w:val="20"/>
          <w:szCs w:val="20"/>
          <w:lang w:bidi="fa-IR"/>
        </w:rPr>
        <w:t>Clinical Infectious Diseases</w:t>
      </w:r>
      <w:r w:rsidRPr="000037CA">
        <w:rPr>
          <w:rFonts w:asciiTheme="majorBidi" w:hAnsiTheme="majorBidi" w:cstheme="majorBidi"/>
          <w:sz w:val="20"/>
          <w:szCs w:val="20"/>
          <w:lang w:bidi="fa-IR"/>
        </w:rPr>
        <w:t>, 72(11), 2042-2043.</w:t>
      </w:r>
    </w:p>
    <w:p w14:paraId="308EBC05" w14:textId="68FF5A84" w:rsidR="000037CA" w:rsidRPr="000037CA" w:rsidRDefault="000037CA" w:rsidP="000037CA">
      <w:pPr>
        <w:pStyle w:val="ListParagraph"/>
        <w:numPr>
          <w:ilvl w:val="0"/>
          <w:numId w:val="4"/>
        </w:numPr>
        <w:spacing w:after="0" w:line="240" w:lineRule="auto"/>
        <w:rPr>
          <w:rFonts w:asciiTheme="majorBidi" w:hAnsiTheme="majorBidi" w:cstheme="majorBidi"/>
          <w:sz w:val="20"/>
          <w:szCs w:val="20"/>
          <w:lang w:bidi="fa-IR"/>
        </w:rPr>
      </w:pPr>
      <w:proofErr w:type="spellStart"/>
      <w:r w:rsidRPr="000037CA">
        <w:rPr>
          <w:rFonts w:asciiTheme="majorBidi" w:hAnsiTheme="majorBidi" w:cstheme="majorBidi"/>
          <w:sz w:val="20"/>
          <w:szCs w:val="20"/>
          <w:lang w:bidi="fa-IR"/>
        </w:rPr>
        <w:t>Safaipour</w:t>
      </w:r>
      <w:proofErr w:type="spellEnd"/>
      <w:r w:rsidRPr="000037CA">
        <w:rPr>
          <w:rFonts w:asciiTheme="majorBidi" w:hAnsiTheme="majorBidi" w:cstheme="majorBidi"/>
          <w:sz w:val="20"/>
          <w:szCs w:val="20"/>
          <w:lang w:bidi="fa-IR"/>
        </w:rPr>
        <w:t xml:space="preserve">, Masoud, and </w:t>
      </w:r>
      <w:proofErr w:type="spellStart"/>
      <w:r w:rsidRPr="000037CA">
        <w:rPr>
          <w:rFonts w:asciiTheme="majorBidi" w:hAnsiTheme="majorBidi" w:cstheme="majorBidi"/>
          <w:sz w:val="20"/>
          <w:szCs w:val="20"/>
          <w:lang w:bidi="fa-IR"/>
        </w:rPr>
        <w:t>Fadaei</w:t>
      </w:r>
      <w:proofErr w:type="spellEnd"/>
      <w:r w:rsidRPr="000037CA">
        <w:rPr>
          <w:rFonts w:asciiTheme="majorBidi" w:hAnsiTheme="majorBidi" w:cstheme="majorBidi"/>
          <w:sz w:val="20"/>
          <w:szCs w:val="20"/>
          <w:lang w:bidi="fa-IR"/>
        </w:rPr>
        <w:t xml:space="preserve"> </w:t>
      </w:r>
      <w:proofErr w:type="spellStart"/>
      <w:r w:rsidRPr="000037CA">
        <w:rPr>
          <w:rFonts w:asciiTheme="majorBidi" w:hAnsiTheme="majorBidi" w:cstheme="majorBidi"/>
          <w:sz w:val="20"/>
          <w:szCs w:val="20"/>
          <w:lang w:bidi="fa-IR"/>
        </w:rPr>
        <w:t>Jazi</w:t>
      </w:r>
      <w:proofErr w:type="spellEnd"/>
      <w:r w:rsidRPr="000037CA">
        <w:rPr>
          <w:rFonts w:asciiTheme="majorBidi" w:hAnsiTheme="majorBidi" w:cstheme="majorBidi"/>
          <w:sz w:val="20"/>
          <w:szCs w:val="20"/>
          <w:lang w:bidi="fa-IR"/>
        </w:rPr>
        <w:t>. (2023).</w:t>
      </w:r>
      <w:r w:rsidRPr="000037CA">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Futures Studies of the Housing Supply System in Iranian Metropolises (Case Study: Ahvaz Metropolis).</w:t>
      </w:r>
      <w:r w:rsidRPr="000037CA">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Published in Geography and Environmental Planning, Volume 34, Issue 1, pp. 117-140</w:t>
      </w:r>
      <w:proofErr w:type="gramStart"/>
      <w:r w:rsidRPr="000037CA">
        <w:rPr>
          <w:rFonts w:asciiTheme="majorBidi" w:hAnsiTheme="majorBidi" w:cstheme="majorBidi"/>
          <w:sz w:val="20"/>
          <w:szCs w:val="20"/>
          <w:lang w:bidi="fa-IR"/>
        </w:rPr>
        <w:t>.</w:t>
      </w:r>
      <w:r w:rsidRPr="000037CA">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w:t>
      </w:r>
      <w:proofErr w:type="gramEnd"/>
      <w:r w:rsidRPr="000037CA">
        <w:rPr>
          <w:rFonts w:asciiTheme="majorBidi" w:hAnsiTheme="majorBidi" w:cstheme="majorBidi"/>
          <w:sz w:val="20"/>
          <w:szCs w:val="20"/>
          <w:lang w:bidi="fa-IR"/>
        </w:rPr>
        <w:t xml:space="preserve"> (</w:t>
      </w:r>
      <w:proofErr w:type="spellStart"/>
      <w:r w:rsidRPr="000037CA">
        <w:rPr>
          <w:rFonts w:asciiTheme="majorBidi" w:hAnsiTheme="majorBidi" w:cstheme="majorBidi"/>
          <w:sz w:val="20"/>
          <w:szCs w:val="20"/>
          <w:lang w:bidi="fa-IR"/>
        </w:rPr>
        <w:t>persian</w:t>
      </w:r>
      <w:proofErr w:type="spellEnd"/>
      <w:r w:rsidRPr="000037CA">
        <w:rPr>
          <w:rFonts w:asciiTheme="majorBidi" w:hAnsiTheme="majorBidi" w:cstheme="majorBidi"/>
          <w:sz w:val="20"/>
          <w:szCs w:val="20"/>
          <w:lang w:bidi="fa-IR"/>
        </w:rPr>
        <w:t>)</w:t>
      </w:r>
    </w:p>
    <w:p w14:paraId="12AC1681" w14:textId="1718E17A"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proofErr w:type="spellStart"/>
      <w:r w:rsidRPr="000037CA">
        <w:rPr>
          <w:rFonts w:asciiTheme="majorBidi" w:hAnsiTheme="majorBidi" w:cstheme="majorBidi"/>
          <w:sz w:val="20"/>
          <w:szCs w:val="20"/>
          <w:lang w:bidi="fa-IR"/>
        </w:rPr>
        <w:t>Sideļska</w:t>
      </w:r>
      <w:proofErr w:type="spellEnd"/>
      <w:r w:rsidRPr="000037CA">
        <w:rPr>
          <w:rFonts w:asciiTheme="majorBidi" w:hAnsiTheme="majorBidi" w:cstheme="majorBidi"/>
          <w:sz w:val="20"/>
          <w:szCs w:val="20"/>
          <w:lang w:bidi="fa-IR"/>
        </w:rPr>
        <w:t xml:space="preserve">, A. (2014). </w:t>
      </w:r>
      <w:proofErr w:type="spellStart"/>
      <w:r w:rsidRPr="000037CA">
        <w:rPr>
          <w:rFonts w:asciiTheme="majorBidi" w:hAnsiTheme="majorBidi" w:cstheme="majorBidi"/>
          <w:sz w:val="20"/>
          <w:szCs w:val="20"/>
          <w:lang w:bidi="fa-IR"/>
        </w:rPr>
        <w:t>Dzīvojamais</w:t>
      </w:r>
      <w:proofErr w:type="spellEnd"/>
      <w:r w:rsidRPr="000037CA">
        <w:rPr>
          <w:rFonts w:asciiTheme="majorBidi" w:hAnsiTheme="majorBidi" w:cstheme="majorBidi"/>
          <w:sz w:val="20"/>
          <w:szCs w:val="20"/>
          <w:lang w:bidi="fa-IR"/>
        </w:rPr>
        <w:t xml:space="preserve"> fonds </w:t>
      </w:r>
      <w:proofErr w:type="spellStart"/>
      <w:r w:rsidRPr="000037CA">
        <w:rPr>
          <w:rFonts w:asciiTheme="majorBidi" w:hAnsiTheme="majorBidi" w:cstheme="majorBidi"/>
          <w:sz w:val="20"/>
          <w:szCs w:val="20"/>
          <w:lang w:bidi="fa-IR"/>
        </w:rPr>
        <w:t>kā</w:t>
      </w:r>
      <w:proofErr w:type="spellEnd"/>
      <w:r w:rsidRPr="000037CA">
        <w:rPr>
          <w:rFonts w:asciiTheme="majorBidi" w:hAnsiTheme="majorBidi" w:cstheme="majorBidi"/>
          <w:sz w:val="20"/>
          <w:szCs w:val="20"/>
          <w:lang w:bidi="fa-IR"/>
        </w:rPr>
        <w:t xml:space="preserve"> </w:t>
      </w:r>
      <w:proofErr w:type="spellStart"/>
      <w:r w:rsidRPr="000037CA">
        <w:rPr>
          <w:rFonts w:asciiTheme="majorBidi" w:hAnsiTheme="majorBidi" w:cstheme="majorBidi"/>
          <w:sz w:val="20"/>
          <w:szCs w:val="20"/>
          <w:lang w:bidi="fa-IR"/>
        </w:rPr>
        <w:t>reģionu</w:t>
      </w:r>
      <w:proofErr w:type="spellEnd"/>
      <w:r w:rsidRPr="000037CA">
        <w:rPr>
          <w:rFonts w:asciiTheme="majorBidi" w:hAnsiTheme="majorBidi" w:cstheme="majorBidi"/>
          <w:sz w:val="20"/>
          <w:szCs w:val="20"/>
          <w:lang w:bidi="fa-IR"/>
        </w:rPr>
        <w:t xml:space="preserve"> </w:t>
      </w:r>
      <w:proofErr w:type="spellStart"/>
      <w:r w:rsidRPr="000037CA">
        <w:rPr>
          <w:rFonts w:asciiTheme="majorBidi" w:hAnsiTheme="majorBidi" w:cstheme="majorBidi"/>
          <w:sz w:val="20"/>
          <w:szCs w:val="20"/>
          <w:lang w:bidi="fa-IR"/>
        </w:rPr>
        <w:t>sociālekonomiskās</w:t>
      </w:r>
      <w:proofErr w:type="spellEnd"/>
      <w:r w:rsidRPr="000037CA">
        <w:rPr>
          <w:rFonts w:asciiTheme="majorBidi" w:hAnsiTheme="majorBidi" w:cstheme="majorBidi"/>
          <w:sz w:val="20"/>
          <w:szCs w:val="20"/>
          <w:lang w:bidi="fa-IR"/>
        </w:rPr>
        <w:t xml:space="preserve"> </w:t>
      </w:r>
      <w:proofErr w:type="spellStart"/>
      <w:r w:rsidRPr="000037CA">
        <w:rPr>
          <w:rFonts w:asciiTheme="majorBidi" w:hAnsiTheme="majorBidi" w:cstheme="majorBidi"/>
          <w:sz w:val="20"/>
          <w:szCs w:val="20"/>
          <w:lang w:bidi="fa-IR"/>
        </w:rPr>
        <w:t>attīstības</w:t>
      </w:r>
      <w:proofErr w:type="spellEnd"/>
      <w:r w:rsidRPr="000037CA">
        <w:rPr>
          <w:rFonts w:asciiTheme="majorBidi" w:hAnsiTheme="majorBidi" w:cstheme="majorBidi"/>
          <w:sz w:val="20"/>
          <w:szCs w:val="20"/>
          <w:lang w:bidi="fa-IR"/>
        </w:rPr>
        <w:t xml:space="preserve"> elements [Housing stock as an element of socio-economic </w:t>
      </w:r>
      <w:proofErr w:type="spellStart"/>
      <w:r w:rsidRPr="000037CA">
        <w:rPr>
          <w:rFonts w:asciiTheme="majorBidi" w:hAnsiTheme="majorBidi" w:cstheme="majorBidi"/>
          <w:sz w:val="20"/>
          <w:szCs w:val="20"/>
          <w:lang w:bidi="fa-IR"/>
        </w:rPr>
        <w:t>developmnet</w:t>
      </w:r>
      <w:proofErr w:type="spellEnd"/>
      <w:r w:rsidRPr="000037CA">
        <w:rPr>
          <w:rFonts w:asciiTheme="majorBidi" w:hAnsiTheme="majorBidi" w:cstheme="majorBidi"/>
          <w:sz w:val="20"/>
          <w:szCs w:val="20"/>
          <w:lang w:bidi="fa-IR"/>
        </w:rPr>
        <w:t xml:space="preserve"> of regions] (Doctoral dissertation, Doctoral thesis, Latvia University of Agriculture). Retrieved from http://llufb. </w:t>
      </w:r>
      <w:proofErr w:type="spellStart"/>
      <w:r w:rsidRPr="000037CA">
        <w:rPr>
          <w:rFonts w:asciiTheme="majorBidi" w:hAnsiTheme="majorBidi" w:cstheme="majorBidi"/>
          <w:sz w:val="20"/>
          <w:szCs w:val="20"/>
          <w:lang w:bidi="fa-IR"/>
        </w:rPr>
        <w:t>llu</w:t>
      </w:r>
      <w:proofErr w:type="spellEnd"/>
      <w:r w:rsidRPr="000037CA">
        <w:rPr>
          <w:rFonts w:asciiTheme="majorBidi" w:hAnsiTheme="majorBidi" w:cstheme="majorBidi"/>
          <w:sz w:val="20"/>
          <w:szCs w:val="20"/>
          <w:lang w:bidi="fa-IR"/>
        </w:rPr>
        <w:t>. lv/dissertation-summary/regionaleconomics/A_Sidelska_prom_darba_kopsavilkums_2014_LLU. pdf).</w:t>
      </w:r>
    </w:p>
    <w:p w14:paraId="5F5088D0" w14:textId="366335EF" w:rsidR="000037CA" w:rsidRPr="000037CA" w:rsidRDefault="000037CA" w:rsidP="000037CA">
      <w:pPr>
        <w:pStyle w:val="ListParagraph"/>
        <w:numPr>
          <w:ilvl w:val="0"/>
          <w:numId w:val="4"/>
        </w:numPr>
        <w:spacing w:after="0" w:line="240" w:lineRule="auto"/>
        <w:rPr>
          <w:rFonts w:asciiTheme="majorBidi" w:hAnsiTheme="majorBidi" w:cstheme="majorBidi"/>
          <w:sz w:val="20"/>
          <w:szCs w:val="20"/>
          <w:lang w:bidi="fa-IR"/>
        </w:rPr>
      </w:pPr>
      <w:proofErr w:type="spellStart"/>
      <w:r w:rsidRPr="000037CA">
        <w:rPr>
          <w:rFonts w:asciiTheme="majorBidi" w:hAnsiTheme="majorBidi" w:cstheme="majorBidi"/>
          <w:sz w:val="20"/>
          <w:szCs w:val="20"/>
          <w:lang w:bidi="fa-IR"/>
        </w:rPr>
        <w:t>Tabaei</w:t>
      </w:r>
      <w:proofErr w:type="spellEnd"/>
      <w:r w:rsidRPr="000037CA">
        <w:rPr>
          <w:rFonts w:asciiTheme="majorBidi" w:hAnsiTheme="majorBidi" w:cstheme="majorBidi"/>
          <w:sz w:val="20"/>
          <w:szCs w:val="20"/>
          <w:lang w:bidi="fa-IR"/>
        </w:rPr>
        <w:t xml:space="preserve">, </w:t>
      </w:r>
      <w:proofErr w:type="spellStart"/>
      <w:r w:rsidRPr="000037CA">
        <w:rPr>
          <w:rFonts w:asciiTheme="majorBidi" w:hAnsiTheme="majorBidi" w:cstheme="majorBidi"/>
          <w:sz w:val="20"/>
          <w:szCs w:val="20"/>
          <w:lang w:bidi="fa-IR"/>
        </w:rPr>
        <w:t>Babaee</w:t>
      </w:r>
      <w:proofErr w:type="spellEnd"/>
      <w:r w:rsidRPr="000037CA">
        <w:rPr>
          <w:rFonts w:asciiTheme="majorBidi" w:hAnsiTheme="majorBidi" w:cstheme="majorBidi"/>
          <w:sz w:val="20"/>
          <w:szCs w:val="20"/>
          <w:lang w:bidi="fa-IR"/>
        </w:rPr>
        <w:t xml:space="preserve"> </w:t>
      </w:r>
      <w:proofErr w:type="spellStart"/>
      <w:r w:rsidRPr="000037CA">
        <w:rPr>
          <w:rFonts w:asciiTheme="majorBidi" w:hAnsiTheme="majorBidi" w:cstheme="majorBidi"/>
          <w:sz w:val="20"/>
          <w:szCs w:val="20"/>
          <w:lang w:bidi="fa-IR"/>
        </w:rPr>
        <w:t>Aghdam</w:t>
      </w:r>
      <w:proofErr w:type="spellEnd"/>
      <w:r w:rsidRPr="000037CA">
        <w:rPr>
          <w:rFonts w:asciiTheme="majorBidi" w:hAnsiTheme="majorBidi" w:cstheme="majorBidi"/>
          <w:sz w:val="20"/>
          <w:szCs w:val="20"/>
          <w:lang w:bidi="fa-IR"/>
        </w:rPr>
        <w:t xml:space="preserve">, Hakimi, </w:t>
      </w:r>
      <w:proofErr w:type="spellStart"/>
      <w:r w:rsidRPr="000037CA">
        <w:rPr>
          <w:rFonts w:asciiTheme="majorBidi" w:hAnsiTheme="majorBidi" w:cstheme="majorBidi"/>
          <w:sz w:val="20"/>
          <w:szCs w:val="20"/>
          <w:lang w:bidi="fa-IR"/>
        </w:rPr>
        <w:t>Hadi</w:t>
      </w:r>
      <w:proofErr w:type="spellEnd"/>
      <w:r w:rsidRPr="000037CA">
        <w:rPr>
          <w:rFonts w:asciiTheme="majorBidi" w:hAnsiTheme="majorBidi" w:cstheme="majorBidi"/>
          <w:sz w:val="20"/>
          <w:szCs w:val="20"/>
          <w:lang w:bidi="fa-IR"/>
        </w:rPr>
        <w:t>. (2022</w:t>
      </w:r>
      <w:proofErr w:type="gramStart"/>
      <w:r w:rsidRPr="000037CA">
        <w:rPr>
          <w:rFonts w:asciiTheme="majorBidi" w:hAnsiTheme="majorBidi" w:cstheme="majorBidi"/>
          <w:sz w:val="20"/>
          <w:szCs w:val="20"/>
          <w:lang w:bidi="fa-IR"/>
        </w:rPr>
        <w:t>).The</w:t>
      </w:r>
      <w:proofErr w:type="gramEnd"/>
      <w:r w:rsidRPr="000037CA">
        <w:rPr>
          <w:rFonts w:asciiTheme="majorBidi" w:hAnsiTheme="majorBidi" w:cstheme="majorBidi"/>
          <w:sz w:val="20"/>
          <w:szCs w:val="20"/>
          <w:lang w:bidi="fa-IR"/>
        </w:rPr>
        <w:t xml:space="preserve"> Inclusive City: A Novel Approach in Urban Planning (Case Study: Tabriz City).</w:t>
      </w:r>
      <w:r w:rsidRPr="000037CA">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Published in Urban Planning Geographical Research, Volume 10, Issue 2, pp. 115-132.</w:t>
      </w:r>
      <w:r w:rsidRPr="000037CA">
        <w:rPr>
          <w:rFonts w:asciiTheme="majorBidi" w:hAnsiTheme="majorBidi" w:cstheme="majorBidi"/>
          <w:sz w:val="20"/>
          <w:szCs w:val="20"/>
          <w:lang w:bidi="fa-IR"/>
        </w:rPr>
        <w:t xml:space="preserve"> </w:t>
      </w:r>
      <w:r w:rsidRPr="000037CA">
        <w:rPr>
          <w:rFonts w:asciiTheme="majorBidi" w:hAnsiTheme="majorBidi" w:cstheme="majorBidi"/>
          <w:sz w:val="20"/>
          <w:szCs w:val="20"/>
          <w:lang w:bidi="fa-IR"/>
        </w:rPr>
        <w:t>(</w:t>
      </w:r>
      <w:proofErr w:type="spellStart"/>
      <w:r w:rsidRPr="000037CA">
        <w:rPr>
          <w:rFonts w:asciiTheme="majorBidi" w:hAnsiTheme="majorBidi" w:cstheme="majorBidi"/>
          <w:sz w:val="20"/>
          <w:szCs w:val="20"/>
          <w:lang w:bidi="fa-IR"/>
        </w:rPr>
        <w:t>persian</w:t>
      </w:r>
      <w:proofErr w:type="spellEnd"/>
      <w:r w:rsidRPr="000037CA">
        <w:rPr>
          <w:rFonts w:asciiTheme="majorBidi" w:hAnsiTheme="majorBidi" w:cstheme="majorBidi"/>
          <w:sz w:val="20"/>
          <w:szCs w:val="20"/>
          <w:lang w:bidi="fa-IR"/>
        </w:rPr>
        <w:t>)</w:t>
      </w:r>
    </w:p>
    <w:p w14:paraId="6EE8153F" w14:textId="51B31C46"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proofErr w:type="spellStart"/>
      <w:r w:rsidRPr="000037CA">
        <w:rPr>
          <w:rFonts w:asciiTheme="majorBidi" w:hAnsiTheme="majorBidi" w:cstheme="majorBidi"/>
          <w:sz w:val="20"/>
          <w:szCs w:val="20"/>
          <w:lang w:bidi="fa-IR"/>
        </w:rPr>
        <w:t>Tiesdel</w:t>
      </w:r>
      <w:proofErr w:type="spellEnd"/>
      <w:r w:rsidRPr="000037CA">
        <w:rPr>
          <w:rFonts w:asciiTheme="majorBidi" w:hAnsiTheme="majorBidi" w:cstheme="majorBidi"/>
          <w:sz w:val="20"/>
          <w:szCs w:val="20"/>
          <w:lang w:bidi="fa-IR"/>
        </w:rPr>
        <w:t xml:space="preserve">, S and Allmendinger, P. (2005). Planning Tools and Market: Towards an Extended Conceptualization </w:t>
      </w:r>
      <w:proofErr w:type="gramStart"/>
      <w:r w:rsidRPr="000037CA">
        <w:rPr>
          <w:rFonts w:asciiTheme="majorBidi" w:hAnsiTheme="majorBidi" w:cstheme="majorBidi"/>
          <w:sz w:val="20"/>
          <w:szCs w:val="20"/>
          <w:lang w:bidi="fa-IR"/>
        </w:rPr>
        <w:t>In</w:t>
      </w:r>
      <w:proofErr w:type="gramEnd"/>
      <w:r w:rsidRPr="000037CA">
        <w:rPr>
          <w:rFonts w:asciiTheme="majorBidi" w:hAnsiTheme="majorBidi" w:cstheme="majorBidi"/>
          <w:sz w:val="20"/>
          <w:szCs w:val="20"/>
          <w:lang w:bidi="fa-IR"/>
        </w:rPr>
        <w:t xml:space="preserve"> Adams, D., Watkins, C., Whites, M. (Eds). Planning, Public Policy and Property Market, Oxford: Blackwell.</w:t>
      </w:r>
    </w:p>
    <w:p w14:paraId="58840F8A"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r w:rsidRPr="000037CA">
        <w:rPr>
          <w:rFonts w:asciiTheme="majorBidi" w:hAnsiTheme="majorBidi" w:cstheme="majorBidi"/>
          <w:sz w:val="20"/>
          <w:szCs w:val="20"/>
          <w:lang w:bidi="fa-IR"/>
        </w:rPr>
        <w:t xml:space="preserve">Un-Habitat. (2011). Public-Private Partnerships in Housing and Urban development. </w:t>
      </w:r>
      <w:proofErr w:type="spellStart"/>
      <w:r w:rsidRPr="000037CA">
        <w:rPr>
          <w:rFonts w:asciiTheme="majorBidi" w:hAnsiTheme="majorBidi" w:cstheme="majorBidi"/>
          <w:sz w:val="20"/>
          <w:szCs w:val="20"/>
          <w:lang w:bidi="fa-IR"/>
        </w:rPr>
        <w:t>UnHabitat</w:t>
      </w:r>
      <w:proofErr w:type="spellEnd"/>
      <w:r w:rsidRPr="000037CA">
        <w:rPr>
          <w:rFonts w:asciiTheme="majorBidi" w:hAnsiTheme="majorBidi" w:cstheme="majorBidi"/>
          <w:sz w:val="20"/>
          <w:szCs w:val="20"/>
          <w:lang w:bidi="fa-IR"/>
        </w:rPr>
        <w:t>. https://doi.org/ISBN Number (Series): 978-92-1-132027-5 ISBN Number (Volume): 978-92-1-132356-6</w:t>
      </w:r>
    </w:p>
    <w:p w14:paraId="5D55127F"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r w:rsidRPr="000037CA">
        <w:rPr>
          <w:rFonts w:asciiTheme="majorBidi" w:hAnsiTheme="majorBidi" w:cstheme="majorBidi"/>
          <w:sz w:val="20"/>
          <w:szCs w:val="20"/>
          <w:lang w:bidi="fa-IR"/>
        </w:rPr>
        <w:t xml:space="preserve">Yeganeh, A., Agee, P. R., Gao, X., &amp; McCoy, A. P. (2021). Feasibility of zero-energy affordable housing. </w:t>
      </w:r>
      <w:r w:rsidRPr="000037CA">
        <w:rPr>
          <w:rFonts w:asciiTheme="majorBidi" w:hAnsiTheme="majorBidi" w:cstheme="majorBidi"/>
          <w:i/>
          <w:iCs/>
          <w:sz w:val="20"/>
          <w:szCs w:val="20"/>
          <w:lang w:bidi="fa-IR"/>
        </w:rPr>
        <w:t>Energy and Buildings</w:t>
      </w:r>
      <w:r w:rsidRPr="000037CA">
        <w:rPr>
          <w:rFonts w:asciiTheme="majorBidi" w:hAnsiTheme="majorBidi" w:cstheme="majorBidi"/>
          <w:sz w:val="20"/>
          <w:szCs w:val="20"/>
          <w:lang w:bidi="fa-IR"/>
        </w:rPr>
        <w:t>, 241, 110919.</w:t>
      </w:r>
    </w:p>
    <w:p w14:paraId="23B38B86"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r w:rsidRPr="000037CA">
        <w:rPr>
          <w:rFonts w:asciiTheme="majorBidi" w:hAnsiTheme="majorBidi" w:cstheme="majorBidi"/>
          <w:sz w:val="20"/>
          <w:szCs w:val="20"/>
          <w:lang w:bidi="fa-IR"/>
        </w:rPr>
        <w:t xml:space="preserve">Zhang, B. (2020). Social policies, financial markets and the multi-scalar governance of affordable housing in Toronto. </w:t>
      </w:r>
      <w:r w:rsidRPr="000037CA">
        <w:rPr>
          <w:rFonts w:asciiTheme="majorBidi" w:hAnsiTheme="majorBidi" w:cstheme="majorBidi"/>
          <w:i/>
          <w:iCs/>
          <w:sz w:val="20"/>
          <w:szCs w:val="20"/>
          <w:lang w:bidi="fa-IR"/>
        </w:rPr>
        <w:t>Urban Studies</w:t>
      </w:r>
      <w:r w:rsidRPr="000037CA">
        <w:rPr>
          <w:rFonts w:asciiTheme="majorBidi" w:hAnsiTheme="majorBidi" w:cstheme="majorBidi"/>
          <w:sz w:val="20"/>
          <w:szCs w:val="20"/>
          <w:lang w:bidi="fa-IR"/>
        </w:rPr>
        <w:t>, 57(13), 2628-2645.</w:t>
      </w:r>
    </w:p>
    <w:p w14:paraId="39FC510C" w14:textId="77777777" w:rsidR="000037CA" w:rsidRPr="000037CA" w:rsidRDefault="000037CA" w:rsidP="000037CA">
      <w:pPr>
        <w:pStyle w:val="ListParagraph"/>
        <w:numPr>
          <w:ilvl w:val="0"/>
          <w:numId w:val="4"/>
        </w:numPr>
        <w:spacing w:after="0" w:line="240" w:lineRule="auto"/>
        <w:jc w:val="both"/>
        <w:rPr>
          <w:rFonts w:asciiTheme="majorBidi" w:hAnsiTheme="majorBidi" w:cstheme="majorBidi"/>
          <w:sz w:val="20"/>
          <w:szCs w:val="20"/>
          <w:lang w:bidi="fa-IR"/>
        </w:rPr>
      </w:pPr>
      <w:r w:rsidRPr="000037CA">
        <w:rPr>
          <w:rFonts w:asciiTheme="majorBidi" w:hAnsiTheme="majorBidi" w:cstheme="majorBidi"/>
          <w:sz w:val="20"/>
          <w:szCs w:val="20"/>
          <w:lang w:bidi="fa-IR"/>
        </w:rPr>
        <w:lastRenderedPageBreak/>
        <w:t>Zhang, Z., Zhou, M., Luo, X., &amp; Huang, L. (2021). Spatially subsidized benefits-based spatial decision for affordable housing: prototype and case study in China. Journal of Urban Planning and Development, 147(1), 05020030.</w:t>
      </w:r>
    </w:p>
    <w:p w14:paraId="4F950850" w14:textId="77777777" w:rsidR="000037CA" w:rsidRPr="00D07030" w:rsidRDefault="000037CA" w:rsidP="00D07030">
      <w:pPr>
        <w:spacing w:after="0" w:line="240" w:lineRule="auto"/>
        <w:contextualSpacing/>
        <w:jc w:val="both"/>
        <w:rPr>
          <w:rFonts w:asciiTheme="majorBidi" w:hAnsiTheme="majorBidi" w:cstheme="majorBidi"/>
          <w:sz w:val="20"/>
          <w:szCs w:val="20"/>
          <w:lang w:bidi="fa-IR"/>
        </w:rPr>
      </w:pPr>
    </w:p>
    <w:p w14:paraId="4F2D5620" w14:textId="77777777" w:rsidR="00D07030" w:rsidRPr="00A22325" w:rsidRDefault="00D07030" w:rsidP="00F81835">
      <w:pPr>
        <w:spacing w:after="0" w:line="240" w:lineRule="auto"/>
        <w:contextualSpacing/>
        <w:jc w:val="center"/>
        <w:rPr>
          <w:rFonts w:asciiTheme="majorBidi" w:hAnsiTheme="majorBidi" w:cstheme="majorBidi" w:hint="cs"/>
          <w:rtl/>
          <w:lang w:bidi="fa-IR"/>
        </w:rPr>
      </w:pPr>
    </w:p>
    <w:sectPr w:rsidR="00D07030" w:rsidRPr="00A22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36E2"/>
    <w:multiLevelType w:val="multilevel"/>
    <w:tmpl w:val="655E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742A7"/>
    <w:multiLevelType w:val="multilevel"/>
    <w:tmpl w:val="8E48D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6055F2"/>
    <w:multiLevelType w:val="multilevel"/>
    <w:tmpl w:val="BDF2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4C2DB3"/>
    <w:multiLevelType w:val="hybridMultilevel"/>
    <w:tmpl w:val="B19AE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F0"/>
    <w:rsid w:val="000037CA"/>
    <w:rsid w:val="000101C1"/>
    <w:rsid w:val="00073290"/>
    <w:rsid w:val="001341EE"/>
    <w:rsid w:val="00186732"/>
    <w:rsid w:val="0035024D"/>
    <w:rsid w:val="00545E9C"/>
    <w:rsid w:val="006104F0"/>
    <w:rsid w:val="008655BD"/>
    <w:rsid w:val="008924B7"/>
    <w:rsid w:val="00A22325"/>
    <w:rsid w:val="00BF1010"/>
    <w:rsid w:val="00C45F76"/>
    <w:rsid w:val="00D07030"/>
    <w:rsid w:val="00D40A1F"/>
    <w:rsid w:val="00DD24AD"/>
    <w:rsid w:val="00E65CC0"/>
    <w:rsid w:val="00F81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83A0"/>
  <w15:chartTrackingRefBased/>
  <w15:docId w15:val="{E434111B-677E-4F5C-8393-5BF9F3F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24D"/>
    <w:rPr>
      <w:rFonts w:ascii="Times New Roman" w:hAnsi="Times New Roman" w:cs="Times New Roman"/>
      <w:sz w:val="24"/>
      <w:szCs w:val="24"/>
    </w:rPr>
  </w:style>
  <w:style w:type="character" w:styleId="Hyperlink">
    <w:name w:val="Hyperlink"/>
    <w:basedOn w:val="DefaultParagraphFont"/>
    <w:uiPriority w:val="99"/>
    <w:unhideWhenUsed/>
    <w:rsid w:val="000037CA"/>
    <w:rPr>
      <w:color w:val="0563C1" w:themeColor="hyperlink"/>
      <w:u w:val="single"/>
    </w:rPr>
  </w:style>
  <w:style w:type="character" w:styleId="UnresolvedMention">
    <w:name w:val="Unresolved Mention"/>
    <w:basedOn w:val="DefaultParagraphFont"/>
    <w:uiPriority w:val="99"/>
    <w:semiHidden/>
    <w:unhideWhenUsed/>
    <w:rsid w:val="000037CA"/>
    <w:rPr>
      <w:color w:val="605E5C"/>
      <w:shd w:val="clear" w:color="auto" w:fill="E1DFDD"/>
    </w:rPr>
  </w:style>
  <w:style w:type="paragraph" w:styleId="ListParagraph">
    <w:name w:val="List Paragraph"/>
    <w:basedOn w:val="Normal"/>
    <w:uiPriority w:val="34"/>
    <w:qFormat/>
    <w:rsid w:val="00003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372">
      <w:bodyDiv w:val="1"/>
      <w:marLeft w:val="0"/>
      <w:marRight w:val="0"/>
      <w:marTop w:val="0"/>
      <w:marBottom w:val="0"/>
      <w:divBdr>
        <w:top w:val="none" w:sz="0" w:space="0" w:color="auto"/>
        <w:left w:val="none" w:sz="0" w:space="0" w:color="auto"/>
        <w:bottom w:val="none" w:sz="0" w:space="0" w:color="auto"/>
        <w:right w:val="none" w:sz="0" w:space="0" w:color="auto"/>
      </w:divBdr>
      <w:divsChild>
        <w:div w:id="1447431486">
          <w:marLeft w:val="0"/>
          <w:marRight w:val="0"/>
          <w:marTop w:val="0"/>
          <w:marBottom w:val="0"/>
          <w:divBdr>
            <w:top w:val="single" w:sz="2" w:space="0" w:color="E5E7EB"/>
            <w:left w:val="single" w:sz="2" w:space="0" w:color="E5E7EB"/>
            <w:bottom w:val="single" w:sz="2" w:space="0" w:color="E5E7EB"/>
            <w:right w:val="single" w:sz="2" w:space="0" w:color="E5E7EB"/>
          </w:divBdr>
          <w:divsChild>
            <w:div w:id="1775057673">
              <w:marLeft w:val="0"/>
              <w:marRight w:val="0"/>
              <w:marTop w:val="0"/>
              <w:marBottom w:val="0"/>
              <w:divBdr>
                <w:top w:val="single" w:sz="2" w:space="0" w:color="E5E7EB"/>
                <w:left w:val="single" w:sz="2" w:space="0" w:color="E5E7EB"/>
                <w:bottom w:val="single" w:sz="2" w:space="0" w:color="E5E7EB"/>
                <w:right w:val="single" w:sz="2" w:space="0" w:color="E5E7EB"/>
              </w:divBdr>
              <w:divsChild>
                <w:div w:id="771323138">
                  <w:marLeft w:val="0"/>
                  <w:marRight w:val="0"/>
                  <w:marTop w:val="100"/>
                  <w:marBottom w:val="100"/>
                  <w:divBdr>
                    <w:top w:val="single" w:sz="2" w:space="0" w:color="E5E7EB"/>
                    <w:left w:val="single" w:sz="2" w:space="0" w:color="E5E7EB"/>
                    <w:bottom w:val="single" w:sz="2" w:space="0" w:color="E5E7EB"/>
                    <w:right w:val="single" w:sz="2" w:space="0" w:color="E5E7EB"/>
                  </w:divBdr>
                  <w:divsChild>
                    <w:div w:id="2084721894">
                      <w:marLeft w:val="0"/>
                      <w:marRight w:val="0"/>
                      <w:marTop w:val="0"/>
                      <w:marBottom w:val="0"/>
                      <w:divBdr>
                        <w:top w:val="none" w:sz="0" w:space="0" w:color="auto"/>
                        <w:left w:val="none" w:sz="0" w:space="0" w:color="auto"/>
                        <w:bottom w:val="none" w:sz="0" w:space="0" w:color="auto"/>
                        <w:right w:val="none" w:sz="0" w:space="0" w:color="auto"/>
                      </w:divBdr>
                      <w:divsChild>
                        <w:div w:id="1821343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2324899">
      <w:bodyDiv w:val="1"/>
      <w:marLeft w:val="0"/>
      <w:marRight w:val="0"/>
      <w:marTop w:val="0"/>
      <w:marBottom w:val="0"/>
      <w:divBdr>
        <w:top w:val="none" w:sz="0" w:space="0" w:color="auto"/>
        <w:left w:val="none" w:sz="0" w:space="0" w:color="auto"/>
        <w:bottom w:val="none" w:sz="0" w:space="0" w:color="auto"/>
        <w:right w:val="none" w:sz="0" w:space="0" w:color="auto"/>
      </w:divBdr>
      <w:divsChild>
        <w:div w:id="465247795">
          <w:marLeft w:val="0"/>
          <w:marRight w:val="0"/>
          <w:marTop w:val="100"/>
          <w:marBottom w:val="100"/>
          <w:divBdr>
            <w:top w:val="none" w:sz="0" w:space="0" w:color="auto"/>
            <w:left w:val="none" w:sz="0" w:space="0" w:color="auto"/>
            <w:bottom w:val="none" w:sz="0" w:space="0" w:color="auto"/>
            <w:right w:val="none" w:sz="0" w:space="0" w:color="auto"/>
          </w:divBdr>
          <w:divsChild>
            <w:div w:id="547642565">
              <w:marLeft w:val="0"/>
              <w:marRight w:val="0"/>
              <w:marTop w:val="0"/>
              <w:marBottom w:val="0"/>
              <w:divBdr>
                <w:top w:val="none" w:sz="0" w:space="0" w:color="auto"/>
                <w:left w:val="none" w:sz="0" w:space="0" w:color="auto"/>
                <w:bottom w:val="none" w:sz="0" w:space="0" w:color="auto"/>
                <w:right w:val="none" w:sz="0" w:space="0" w:color="auto"/>
              </w:divBdr>
              <w:divsChild>
                <w:div w:id="10722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69147">
      <w:bodyDiv w:val="1"/>
      <w:marLeft w:val="0"/>
      <w:marRight w:val="0"/>
      <w:marTop w:val="0"/>
      <w:marBottom w:val="0"/>
      <w:divBdr>
        <w:top w:val="none" w:sz="0" w:space="0" w:color="auto"/>
        <w:left w:val="none" w:sz="0" w:space="0" w:color="auto"/>
        <w:bottom w:val="none" w:sz="0" w:space="0" w:color="auto"/>
        <w:right w:val="none" w:sz="0" w:space="0" w:color="auto"/>
      </w:divBdr>
    </w:div>
    <w:div w:id="646209823">
      <w:bodyDiv w:val="1"/>
      <w:marLeft w:val="0"/>
      <w:marRight w:val="0"/>
      <w:marTop w:val="0"/>
      <w:marBottom w:val="0"/>
      <w:divBdr>
        <w:top w:val="none" w:sz="0" w:space="0" w:color="auto"/>
        <w:left w:val="none" w:sz="0" w:space="0" w:color="auto"/>
        <w:bottom w:val="none" w:sz="0" w:space="0" w:color="auto"/>
        <w:right w:val="none" w:sz="0" w:space="0" w:color="auto"/>
      </w:divBdr>
    </w:div>
    <w:div w:id="652103442">
      <w:bodyDiv w:val="1"/>
      <w:marLeft w:val="0"/>
      <w:marRight w:val="0"/>
      <w:marTop w:val="0"/>
      <w:marBottom w:val="0"/>
      <w:divBdr>
        <w:top w:val="none" w:sz="0" w:space="0" w:color="auto"/>
        <w:left w:val="none" w:sz="0" w:space="0" w:color="auto"/>
        <w:bottom w:val="none" w:sz="0" w:space="0" w:color="auto"/>
        <w:right w:val="none" w:sz="0" w:space="0" w:color="auto"/>
      </w:divBdr>
    </w:div>
    <w:div w:id="722607253">
      <w:bodyDiv w:val="1"/>
      <w:marLeft w:val="0"/>
      <w:marRight w:val="0"/>
      <w:marTop w:val="0"/>
      <w:marBottom w:val="0"/>
      <w:divBdr>
        <w:top w:val="none" w:sz="0" w:space="0" w:color="auto"/>
        <w:left w:val="none" w:sz="0" w:space="0" w:color="auto"/>
        <w:bottom w:val="none" w:sz="0" w:space="0" w:color="auto"/>
        <w:right w:val="none" w:sz="0" w:space="0" w:color="auto"/>
      </w:divBdr>
    </w:div>
    <w:div w:id="1004475450">
      <w:bodyDiv w:val="1"/>
      <w:marLeft w:val="0"/>
      <w:marRight w:val="0"/>
      <w:marTop w:val="0"/>
      <w:marBottom w:val="0"/>
      <w:divBdr>
        <w:top w:val="none" w:sz="0" w:space="0" w:color="auto"/>
        <w:left w:val="none" w:sz="0" w:space="0" w:color="auto"/>
        <w:bottom w:val="none" w:sz="0" w:space="0" w:color="auto"/>
        <w:right w:val="none" w:sz="0" w:space="0" w:color="auto"/>
      </w:divBdr>
    </w:div>
    <w:div w:id="1202478512">
      <w:bodyDiv w:val="1"/>
      <w:marLeft w:val="0"/>
      <w:marRight w:val="0"/>
      <w:marTop w:val="0"/>
      <w:marBottom w:val="0"/>
      <w:divBdr>
        <w:top w:val="none" w:sz="0" w:space="0" w:color="auto"/>
        <w:left w:val="none" w:sz="0" w:space="0" w:color="auto"/>
        <w:bottom w:val="none" w:sz="0" w:space="0" w:color="auto"/>
        <w:right w:val="none" w:sz="0" w:space="0" w:color="auto"/>
      </w:divBdr>
    </w:div>
    <w:div w:id="1415128701">
      <w:bodyDiv w:val="1"/>
      <w:marLeft w:val="0"/>
      <w:marRight w:val="0"/>
      <w:marTop w:val="0"/>
      <w:marBottom w:val="0"/>
      <w:divBdr>
        <w:top w:val="none" w:sz="0" w:space="0" w:color="auto"/>
        <w:left w:val="none" w:sz="0" w:space="0" w:color="auto"/>
        <w:bottom w:val="none" w:sz="0" w:space="0" w:color="auto"/>
        <w:right w:val="none" w:sz="0" w:space="0" w:color="auto"/>
      </w:divBdr>
    </w:div>
    <w:div w:id="1415207571">
      <w:bodyDiv w:val="1"/>
      <w:marLeft w:val="0"/>
      <w:marRight w:val="0"/>
      <w:marTop w:val="0"/>
      <w:marBottom w:val="0"/>
      <w:divBdr>
        <w:top w:val="none" w:sz="0" w:space="0" w:color="auto"/>
        <w:left w:val="none" w:sz="0" w:space="0" w:color="auto"/>
        <w:bottom w:val="none" w:sz="0" w:space="0" w:color="auto"/>
        <w:right w:val="none" w:sz="0" w:space="0" w:color="auto"/>
      </w:divBdr>
    </w:div>
    <w:div w:id="1749958937">
      <w:bodyDiv w:val="1"/>
      <w:marLeft w:val="0"/>
      <w:marRight w:val="0"/>
      <w:marTop w:val="0"/>
      <w:marBottom w:val="0"/>
      <w:divBdr>
        <w:top w:val="none" w:sz="0" w:space="0" w:color="auto"/>
        <w:left w:val="none" w:sz="0" w:space="0" w:color="auto"/>
        <w:bottom w:val="none" w:sz="0" w:space="0" w:color="auto"/>
        <w:right w:val="none" w:sz="0" w:space="0" w:color="auto"/>
      </w:divBdr>
    </w:div>
    <w:div w:id="20944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61015-DC65-43D4-AB76-BEB4DD09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9283</Words>
  <Characters>52919</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bpc</dc:creator>
  <cp:keywords/>
  <dc:description/>
  <cp:lastModifiedBy>bpc</cp:lastModifiedBy>
  <cp:revision>2</cp:revision>
  <dcterms:created xsi:type="dcterms:W3CDTF">2025-03-22T14:29:00Z</dcterms:created>
  <dcterms:modified xsi:type="dcterms:W3CDTF">2025-03-22T14:29:00Z</dcterms:modified>
</cp:coreProperties>
</file>