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E6A7B" w14:textId="77777777" w:rsidR="00E11E43" w:rsidRPr="00AC555D" w:rsidRDefault="00E11E43" w:rsidP="005D4AF3">
      <w:pPr>
        <w:pStyle w:val="Articletitle"/>
        <w:spacing w:line="240" w:lineRule="auto"/>
        <w:rPr>
          <w:rtl/>
          <w:lang w:bidi="fa-IR"/>
        </w:rPr>
      </w:pPr>
      <w:proofErr w:type="spellStart"/>
      <w:r w:rsidRPr="00AC555D">
        <w:rPr>
          <w:lang w:bidi="fa-IR"/>
        </w:rPr>
        <w:t>Analyzing</w:t>
      </w:r>
      <w:proofErr w:type="spellEnd"/>
      <w:r w:rsidRPr="00AC555D">
        <w:rPr>
          <w:lang w:bidi="fa-IR"/>
        </w:rPr>
        <w:t xml:space="preserve"> Façade Design in Vernacular Architecture of the City of Bushehr, Iran</w:t>
      </w:r>
    </w:p>
    <w:p w14:paraId="4EA40D79" w14:textId="77777777" w:rsidR="001561FD" w:rsidRDefault="00507735" w:rsidP="005D4AF3">
      <w:pPr>
        <w:pStyle w:val="Authornames"/>
        <w:spacing w:line="240" w:lineRule="auto"/>
        <w:rPr>
          <w:lang w:bidi="fa-IR"/>
        </w:rPr>
      </w:pPr>
      <w:proofErr w:type="spellStart"/>
      <w:r w:rsidRPr="00507735">
        <w:rPr>
          <w:lang w:bidi="fa-IR"/>
        </w:rPr>
        <w:t>Parastoo</w:t>
      </w:r>
      <w:proofErr w:type="spellEnd"/>
      <w:r w:rsidRPr="00507735">
        <w:rPr>
          <w:lang w:bidi="fa-IR"/>
        </w:rPr>
        <w:t xml:space="preserve"> </w:t>
      </w:r>
      <w:proofErr w:type="spellStart"/>
      <w:r w:rsidRPr="00507735">
        <w:rPr>
          <w:lang w:bidi="fa-IR"/>
        </w:rPr>
        <w:t>Eshrati</w:t>
      </w:r>
      <w:proofErr w:type="spellEnd"/>
    </w:p>
    <w:p w14:paraId="2316A096" w14:textId="77777777" w:rsidR="001561FD" w:rsidRDefault="001561FD" w:rsidP="001561FD">
      <w:pPr>
        <w:pStyle w:val="Affiliation"/>
        <w:spacing w:line="240" w:lineRule="auto"/>
        <w:rPr>
          <w:rStyle w:val="Hyperlink"/>
          <w:rFonts w:asciiTheme="majorBidi" w:hAnsiTheme="majorBidi" w:cstheme="majorBidi"/>
          <w:i w:val="0"/>
          <w:iCs/>
          <w:color w:val="auto"/>
          <w:u w:val="none"/>
          <w:lang w:bidi="fa-IR"/>
        </w:rPr>
      </w:pPr>
      <w:r w:rsidRPr="00507735">
        <w:rPr>
          <w:lang w:bidi="fa-IR"/>
        </w:rPr>
        <w:t>Assistant Professor,</w:t>
      </w:r>
      <w:r w:rsidRPr="00507735">
        <w:rPr>
          <w:rtl/>
          <w:lang w:bidi="fa-IR"/>
        </w:rPr>
        <w:t xml:space="preserve"> </w:t>
      </w:r>
      <w:r w:rsidRPr="00507735">
        <w:rPr>
          <w:lang w:bidi="fa-IR"/>
        </w:rPr>
        <w:t>Department of Architecture, School of Architecture, College of Fine Arts, University of Tehran, Tehran, Iran</w:t>
      </w:r>
      <w:r>
        <w:rPr>
          <w:lang w:bidi="fa-IR"/>
        </w:rPr>
        <w:t xml:space="preserve">. </w:t>
      </w:r>
      <w:hyperlink r:id="rId8" w:history="1">
        <w:r w:rsidRPr="00507735">
          <w:rPr>
            <w:rStyle w:val="Hyperlink"/>
            <w:rFonts w:asciiTheme="majorBidi" w:hAnsiTheme="majorBidi" w:cstheme="majorBidi"/>
            <w:i w:val="0"/>
            <w:iCs/>
            <w:lang w:bidi="fa-IR"/>
          </w:rPr>
          <w:t>eshrati@ut.ac.ir</w:t>
        </w:r>
      </w:hyperlink>
      <w:r w:rsidRPr="00F76511">
        <w:rPr>
          <w:rStyle w:val="Hyperlink"/>
          <w:rFonts w:asciiTheme="majorBidi" w:hAnsiTheme="majorBidi" w:cstheme="majorBidi"/>
          <w:i w:val="0"/>
          <w:iCs/>
          <w:color w:val="auto"/>
          <w:u w:val="none"/>
          <w:lang w:bidi="fa-IR"/>
        </w:rPr>
        <w:t xml:space="preserve"> </w:t>
      </w:r>
    </w:p>
    <w:p w14:paraId="20298FDC" w14:textId="4C61C324" w:rsidR="001561FD" w:rsidRPr="001561FD" w:rsidRDefault="001561FD" w:rsidP="001561FD">
      <w:pPr>
        <w:pStyle w:val="Affiliation"/>
        <w:spacing w:before="0" w:line="240" w:lineRule="auto"/>
        <w:rPr>
          <w:i w:val="0"/>
          <w:iCs/>
          <w:sz w:val="22"/>
          <w:szCs w:val="22"/>
        </w:rPr>
      </w:pPr>
      <w:r w:rsidRPr="00507735">
        <w:rPr>
          <w:sz w:val="22"/>
          <w:szCs w:val="22"/>
          <w:lang w:bidi="fa-IR"/>
        </w:rPr>
        <w:t xml:space="preserve">ORCID: </w:t>
      </w:r>
      <w:hyperlink r:id="rId9" w:history="1">
        <w:r w:rsidRPr="00507735">
          <w:rPr>
            <w:rStyle w:val="Hyperlink"/>
            <w:i w:val="0"/>
            <w:iCs/>
            <w:color w:val="auto"/>
            <w:sz w:val="22"/>
            <w:szCs w:val="22"/>
            <w:u w:val="none"/>
          </w:rPr>
          <w:t>0000-0001-8319-8814</w:t>
        </w:r>
      </w:hyperlink>
    </w:p>
    <w:p w14:paraId="1C17B82B" w14:textId="1D7C80B1" w:rsidR="00ED63B3" w:rsidRPr="001561FD" w:rsidRDefault="001561FD" w:rsidP="001561FD">
      <w:pPr>
        <w:pStyle w:val="Authornames"/>
        <w:spacing w:line="240" w:lineRule="auto"/>
        <w:rPr>
          <w:lang w:bidi="fa-IR"/>
        </w:rPr>
        <w:sectPr w:rsidR="00ED63B3" w:rsidRPr="001561FD" w:rsidSect="00ED63B3">
          <w:footerReference w:type="default" r:id="rId10"/>
          <w:footnotePr>
            <w:numFmt w:val="chicago"/>
          </w:footnotePr>
          <w:type w:val="continuous"/>
          <w:pgSz w:w="11901" w:h="16840" w:code="9"/>
          <w:pgMar w:top="1418" w:right="1701" w:bottom="1418" w:left="1701" w:header="709" w:footer="709" w:gutter="0"/>
          <w:cols w:space="708"/>
          <w:docGrid w:linePitch="360"/>
        </w:sectPr>
      </w:pPr>
      <w:proofErr w:type="spellStart"/>
      <w:r w:rsidRPr="00507735">
        <w:rPr>
          <w:lang w:bidi="fa-IR"/>
        </w:rPr>
        <w:t>Roza</w:t>
      </w:r>
      <w:proofErr w:type="spellEnd"/>
      <w:r w:rsidRPr="00507735">
        <w:rPr>
          <w:lang w:bidi="fa-IR"/>
        </w:rPr>
        <w:t xml:space="preserve"> </w:t>
      </w:r>
      <w:proofErr w:type="spellStart"/>
      <w:r w:rsidRPr="00507735">
        <w:rPr>
          <w:lang w:bidi="fa-IR"/>
        </w:rPr>
        <w:t>Vakilinezhad</w:t>
      </w:r>
      <w:proofErr w:type="spellEnd"/>
      <w:r w:rsidR="00ED63B3">
        <w:rPr>
          <w:rStyle w:val="FootnoteReference"/>
          <w:rFonts w:asciiTheme="majorBidi" w:hAnsiTheme="majorBidi" w:cstheme="majorBidi"/>
          <w:b/>
          <w:bCs/>
          <w:sz w:val="20"/>
          <w:szCs w:val="20"/>
          <w:lang w:bidi="fa-IR"/>
        </w:rPr>
        <w:footnoteReference w:id="1"/>
      </w:r>
    </w:p>
    <w:p w14:paraId="6E0E72B1" w14:textId="77777777" w:rsidR="00C200B1" w:rsidRDefault="00507735" w:rsidP="005D4AF3">
      <w:pPr>
        <w:pStyle w:val="Affiliation"/>
        <w:spacing w:line="240" w:lineRule="auto"/>
        <w:rPr>
          <w:rStyle w:val="Hyperlink"/>
          <w:rFonts w:asciiTheme="majorBidi" w:hAnsiTheme="majorBidi" w:cstheme="majorBidi"/>
          <w:i w:val="0"/>
          <w:iCs/>
          <w:color w:val="auto"/>
          <w:u w:val="none"/>
          <w:lang w:bidi="fa-IR"/>
        </w:rPr>
      </w:pPr>
      <w:r w:rsidRPr="00507735">
        <w:rPr>
          <w:rFonts w:eastAsia="Calibri"/>
          <w:lang w:bidi="fa-IR"/>
        </w:rPr>
        <w:t>Assistant Professor, School of Art and Architecture, Shiraz University</w:t>
      </w:r>
      <w:r>
        <w:rPr>
          <w:rFonts w:eastAsia="Calibri"/>
          <w:lang w:bidi="fa-IR"/>
        </w:rPr>
        <w:t xml:space="preserve">. </w:t>
      </w:r>
      <w:hyperlink r:id="rId11" w:history="1">
        <w:r w:rsidRPr="00507735">
          <w:rPr>
            <w:rStyle w:val="Hyperlink"/>
            <w:rFonts w:asciiTheme="majorBidi" w:hAnsiTheme="majorBidi" w:cstheme="majorBidi"/>
            <w:i w:val="0"/>
            <w:iCs/>
            <w:lang w:bidi="fa-IR"/>
          </w:rPr>
          <w:t>arch.rv@shirazu.ac.ir</w:t>
        </w:r>
      </w:hyperlink>
      <w:r w:rsidR="00C200B1">
        <w:rPr>
          <w:rStyle w:val="Hyperlink"/>
          <w:rFonts w:asciiTheme="majorBidi" w:hAnsiTheme="majorBidi" w:cstheme="majorBidi"/>
          <w:i w:val="0"/>
          <w:iCs/>
          <w:color w:val="auto"/>
          <w:u w:val="none"/>
          <w:lang w:bidi="fa-IR"/>
        </w:rPr>
        <w:t xml:space="preserve"> </w:t>
      </w:r>
    </w:p>
    <w:p w14:paraId="3B52D2FB" w14:textId="77777777" w:rsidR="00507735" w:rsidRPr="00507735" w:rsidRDefault="00507735" w:rsidP="005D4AF3">
      <w:pPr>
        <w:pStyle w:val="Affiliation"/>
        <w:spacing w:before="0" w:line="240" w:lineRule="auto"/>
        <w:rPr>
          <w:sz w:val="22"/>
          <w:szCs w:val="22"/>
          <w:lang w:bidi="fa-IR"/>
        </w:rPr>
      </w:pPr>
      <w:r w:rsidRPr="00507735">
        <w:rPr>
          <w:sz w:val="22"/>
          <w:szCs w:val="22"/>
          <w:lang w:bidi="fa-IR"/>
        </w:rPr>
        <w:t>ORCID:</w:t>
      </w:r>
      <w:r w:rsidRPr="00507735">
        <w:rPr>
          <w:sz w:val="22"/>
          <w:szCs w:val="22"/>
        </w:rPr>
        <w:t xml:space="preserve"> </w:t>
      </w:r>
      <w:r w:rsidRPr="00507735">
        <w:rPr>
          <w:sz w:val="22"/>
          <w:szCs w:val="22"/>
          <w:lang w:bidi="fa-IR"/>
        </w:rPr>
        <w:t>0000-0001-8597-1647</w:t>
      </w:r>
    </w:p>
    <w:p w14:paraId="7374C990" w14:textId="77777777" w:rsidR="00507735" w:rsidRPr="00507735" w:rsidRDefault="00507735" w:rsidP="005D4AF3">
      <w:pPr>
        <w:pStyle w:val="Authornames"/>
        <w:spacing w:line="240" w:lineRule="auto"/>
        <w:rPr>
          <w:lang w:bidi="fa-IR"/>
        </w:rPr>
      </w:pPr>
      <w:proofErr w:type="spellStart"/>
      <w:r w:rsidRPr="00507735">
        <w:rPr>
          <w:lang w:bidi="fa-IR"/>
        </w:rPr>
        <w:t>Arezoo</w:t>
      </w:r>
      <w:proofErr w:type="spellEnd"/>
      <w:r w:rsidRPr="00507735">
        <w:rPr>
          <w:lang w:bidi="fa-IR"/>
        </w:rPr>
        <w:t xml:space="preserve"> </w:t>
      </w:r>
      <w:proofErr w:type="spellStart"/>
      <w:r w:rsidRPr="00507735">
        <w:rPr>
          <w:lang w:bidi="fa-IR"/>
        </w:rPr>
        <w:t>Ghahramani</w:t>
      </w:r>
      <w:proofErr w:type="spellEnd"/>
    </w:p>
    <w:p w14:paraId="6265861B" w14:textId="77777777" w:rsidR="00507735" w:rsidRPr="00507735" w:rsidRDefault="00507735" w:rsidP="005D4AF3">
      <w:pPr>
        <w:pStyle w:val="Affiliation"/>
        <w:spacing w:line="240" w:lineRule="auto"/>
        <w:rPr>
          <w:sz w:val="22"/>
          <w:szCs w:val="22"/>
          <w:rtl/>
        </w:rPr>
      </w:pPr>
      <w:r w:rsidRPr="00507735">
        <w:rPr>
          <w:lang w:bidi="fa-IR"/>
        </w:rPr>
        <w:t>M.Sc. in Architecture, School of Architecture and Environmental Design, Iran University of Science and Technology, Tehran, Iran</w:t>
      </w:r>
      <w:r>
        <w:rPr>
          <w:lang w:bidi="fa-IR"/>
        </w:rPr>
        <w:t xml:space="preserve">. </w:t>
      </w:r>
      <w:hyperlink r:id="rId12" w:history="1">
        <w:r w:rsidRPr="00507735">
          <w:rPr>
            <w:rStyle w:val="Hyperlink"/>
            <w:rFonts w:asciiTheme="majorBidi" w:hAnsiTheme="majorBidi" w:cstheme="majorBidi"/>
            <w:i w:val="0"/>
            <w:iCs/>
            <w:lang w:bidi="fa-IR"/>
          </w:rPr>
          <w:t>Ar.ghahramani1992@gmail.com</w:t>
        </w:r>
      </w:hyperlink>
      <w:r w:rsidR="00F76511">
        <w:rPr>
          <w:rStyle w:val="Hyperlink"/>
          <w:rFonts w:asciiTheme="majorBidi" w:hAnsiTheme="majorBidi" w:cstheme="majorBidi"/>
          <w:i w:val="0"/>
          <w:iCs/>
          <w:color w:val="auto"/>
          <w:lang w:bidi="fa-IR"/>
        </w:rPr>
        <w:t xml:space="preserve"> </w:t>
      </w:r>
      <w:r w:rsidRPr="00507735">
        <w:rPr>
          <w:sz w:val="22"/>
          <w:szCs w:val="22"/>
          <w:lang w:bidi="fa-IR"/>
        </w:rPr>
        <w:t xml:space="preserve">ORCID: </w:t>
      </w:r>
      <w:r w:rsidRPr="00507735">
        <w:rPr>
          <w:sz w:val="22"/>
          <w:szCs w:val="22"/>
        </w:rPr>
        <w:t>0000-0003-4140-9577</w:t>
      </w:r>
    </w:p>
    <w:p w14:paraId="6BD6B01E" w14:textId="77777777" w:rsidR="00507735" w:rsidRPr="00507735" w:rsidRDefault="00507735" w:rsidP="005D4AF3">
      <w:pPr>
        <w:pStyle w:val="Authornames"/>
        <w:spacing w:line="240" w:lineRule="auto"/>
        <w:rPr>
          <w:lang w:bidi="fa-IR"/>
        </w:rPr>
      </w:pPr>
      <w:proofErr w:type="spellStart"/>
      <w:r w:rsidRPr="00507735">
        <w:rPr>
          <w:lang w:bidi="fa-IR"/>
        </w:rPr>
        <w:t>Dorna</w:t>
      </w:r>
      <w:proofErr w:type="spellEnd"/>
      <w:r w:rsidRPr="00507735">
        <w:rPr>
          <w:lang w:bidi="fa-IR"/>
        </w:rPr>
        <w:t xml:space="preserve"> </w:t>
      </w:r>
      <w:proofErr w:type="spellStart"/>
      <w:r w:rsidRPr="00507735">
        <w:rPr>
          <w:lang w:bidi="fa-IR"/>
        </w:rPr>
        <w:t>Eshrati</w:t>
      </w:r>
      <w:proofErr w:type="spellEnd"/>
    </w:p>
    <w:p w14:paraId="262F67D6" w14:textId="77777777" w:rsidR="00507735" w:rsidRPr="00507735" w:rsidRDefault="00507735" w:rsidP="005D4AF3">
      <w:pPr>
        <w:pStyle w:val="Affiliation"/>
        <w:spacing w:line="240" w:lineRule="auto"/>
        <w:rPr>
          <w:b/>
          <w:bCs/>
          <w:sz w:val="22"/>
          <w:szCs w:val="22"/>
          <w:rtl/>
          <w:lang w:bidi="fa-IR"/>
        </w:rPr>
      </w:pPr>
      <w:r w:rsidRPr="00507735">
        <w:rPr>
          <w:rFonts w:eastAsia="Calibri"/>
          <w:lang w:bidi="fa-IR"/>
        </w:rPr>
        <w:t xml:space="preserve">Assistant Professor, Department of Landscape Architecture, </w:t>
      </w:r>
      <w:proofErr w:type="spellStart"/>
      <w:proofErr w:type="gramStart"/>
      <w:r w:rsidRPr="00507735">
        <w:rPr>
          <w:rFonts w:eastAsia="Calibri"/>
          <w:lang w:bidi="fa-IR"/>
        </w:rPr>
        <w:t>R.Wayne</w:t>
      </w:r>
      <w:proofErr w:type="spellEnd"/>
      <w:proofErr w:type="gramEnd"/>
      <w:r w:rsidRPr="00507735">
        <w:rPr>
          <w:rFonts w:eastAsia="Calibri"/>
          <w:lang w:bidi="fa-IR"/>
        </w:rPr>
        <w:t xml:space="preserve"> Estopinal College of Architecture and Planning, Ball State University, Muncie, IN, USA</w:t>
      </w:r>
      <w:r>
        <w:rPr>
          <w:rFonts w:eastAsia="Calibri"/>
          <w:lang w:bidi="fa-IR"/>
        </w:rPr>
        <w:t>.</w:t>
      </w:r>
      <w:hyperlink r:id="rId13" w:history="1">
        <w:r w:rsidRPr="00507735">
          <w:rPr>
            <w:rStyle w:val="Hyperlink"/>
            <w:rFonts w:asciiTheme="majorBidi" w:eastAsia="Calibri" w:hAnsiTheme="majorBidi" w:cstheme="majorBidi"/>
            <w:i w:val="0"/>
            <w:iCs/>
            <w:lang w:bidi="fa-IR"/>
          </w:rPr>
          <w:t>deshrati@bsu.edu</w:t>
        </w:r>
      </w:hyperlink>
      <w:r w:rsidR="00F76511">
        <w:rPr>
          <w:rStyle w:val="Hyperlink"/>
          <w:rFonts w:asciiTheme="majorBidi" w:eastAsia="Calibri" w:hAnsiTheme="majorBidi" w:cstheme="majorBidi"/>
          <w:i w:val="0"/>
          <w:iCs/>
          <w:color w:val="auto"/>
          <w:lang w:bidi="fa-IR"/>
        </w:rPr>
        <w:t xml:space="preserve"> </w:t>
      </w:r>
      <w:r w:rsidRPr="00507735">
        <w:rPr>
          <w:rFonts w:eastAsia="Calibri"/>
          <w:sz w:val="22"/>
          <w:szCs w:val="22"/>
          <w:lang w:bidi="fa-IR"/>
        </w:rPr>
        <w:t>ORCID: 0000-0002-4890-176X</w:t>
      </w:r>
    </w:p>
    <w:p w14:paraId="03AF36D1" w14:textId="77777777" w:rsidR="00507735" w:rsidRPr="00507735" w:rsidRDefault="00507735" w:rsidP="005D4AF3">
      <w:pPr>
        <w:pStyle w:val="Authornames"/>
        <w:spacing w:line="240" w:lineRule="auto"/>
        <w:rPr>
          <w:lang w:bidi="fa-IR"/>
        </w:rPr>
      </w:pPr>
      <w:r w:rsidRPr="00507735">
        <w:rPr>
          <w:lang w:bidi="fa-IR"/>
        </w:rPr>
        <w:t>Mohammad Kazem Namazi</w:t>
      </w:r>
    </w:p>
    <w:p w14:paraId="73D69AA2" w14:textId="78490D1C" w:rsidR="00507735" w:rsidRPr="00507735" w:rsidRDefault="00507735" w:rsidP="005D4AF3">
      <w:pPr>
        <w:pStyle w:val="Affiliation"/>
        <w:spacing w:line="240" w:lineRule="auto"/>
        <w:rPr>
          <w:rFonts w:eastAsia="Calibri"/>
          <w:sz w:val="22"/>
          <w:szCs w:val="22"/>
          <w:lang w:bidi="fa-IR"/>
        </w:rPr>
      </w:pPr>
      <w:r w:rsidRPr="00507735">
        <w:rPr>
          <w:lang w:bidi="fa-IR"/>
        </w:rPr>
        <w:t xml:space="preserve">Master of Architecture, </w:t>
      </w:r>
      <w:r w:rsidR="00054C47">
        <w:rPr>
          <w:lang w:bidi="fa-IR"/>
        </w:rPr>
        <w:t xml:space="preserve">College of Architecture Planning and Design, </w:t>
      </w:r>
      <w:r w:rsidRPr="00507735">
        <w:rPr>
          <w:lang w:bidi="fa-IR"/>
        </w:rPr>
        <w:t>Kansas State University, Kansas, USA</w:t>
      </w:r>
      <w:r>
        <w:rPr>
          <w:lang w:bidi="fa-IR"/>
        </w:rPr>
        <w:t xml:space="preserve">. </w:t>
      </w:r>
      <w:hyperlink r:id="rId14" w:history="1">
        <w:r w:rsidRPr="00507735">
          <w:rPr>
            <w:rStyle w:val="Hyperlink"/>
            <w:rFonts w:asciiTheme="majorBidi" w:hAnsiTheme="majorBidi" w:cstheme="majorBidi"/>
            <w:i w:val="0"/>
            <w:iCs/>
            <w:lang w:bidi="fa-IR"/>
          </w:rPr>
          <w:t>kazemnamazi@ksu.edu</w:t>
        </w:r>
      </w:hyperlink>
      <w:r w:rsidR="00F76511">
        <w:rPr>
          <w:rStyle w:val="Hyperlink"/>
          <w:rFonts w:asciiTheme="majorBidi" w:hAnsiTheme="majorBidi" w:cstheme="majorBidi"/>
          <w:i w:val="0"/>
          <w:iCs/>
          <w:color w:val="auto"/>
          <w:lang w:bidi="fa-IR"/>
        </w:rPr>
        <w:t xml:space="preserve"> </w:t>
      </w:r>
      <w:r w:rsidRPr="00507735">
        <w:rPr>
          <w:rFonts w:eastAsia="Calibri"/>
          <w:sz w:val="22"/>
          <w:szCs w:val="22"/>
          <w:lang w:bidi="fa-IR"/>
        </w:rPr>
        <w:t>ORCID: 0000-0002-2105-7116</w:t>
      </w:r>
    </w:p>
    <w:p w14:paraId="0AF72739" w14:textId="77777777" w:rsidR="00507735" w:rsidRDefault="00507735" w:rsidP="005D4AF3">
      <w:pPr>
        <w:spacing w:line="240" w:lineRule="auto"/>
        <w:rPr>
          <w:rStyle w:val="Hyperlink"/>
          <w:i/>
          <w:iCs/>
        </w:rPr>
      </w:pPr>
    </w:p>
    <w:p w14:paraId="46A87E9D" w14:textId="77777777" w:rsidR="00507735" w:rsidRDefault="00507735" w:rsidP="005D4AF3">
      <w:pPr>
        <w:spacing w:line="240" w:lineRule="auto"/>
        <w:rPr>
          <w:rStyle w:val="Hyperlink"/>
          <w:i/>
          <w:iCs/>
        </w:rPr>
      </w:pPr>
    </w:p>
    <w:p w14:paraId="490E1CC2" w14:textId="77777777" w:rsidR="00507735" w:rsidRDefault="00507735" w:rsidP="005D4AF3">
      <w:pPr>
        <w:spacing w:line="240" w:lineRule="auto"/>
        <w:rPr>
          <w:rStyle w:val="Hyperlink"/>
          <w:i/>
          <w:iCs/>
        </w:rPr>
      </w:pPr>
    </w:p>
    <w:p w14:paraId="0ACAFB40" w14:textId="77777777" w:rsidR="001561FD" w:rsidRDefault="001561FD" w:rsidP="005D4AF3">
      <w:pPr>
        <w:spacing w:line="240" w:lineRule="auto"/>
        <w:rPr>
          <w:rStyle w:val="Hyperlink"/>
          <w:i/>
          <w:iCs/>
        </w:rPr>
      </w:pPr>
    </w:p>
    <w:p w14:paraId="5B44C23B" w14:textId="77777777" w:rsidR="001561FD" w:rsidRDefault="001561FD" w:rsidP="005D4AF3">
      <w:pPr>
        <w:spacing w:line="240" w:lineRule="auto"/>
        <w:rPr>
          <w:rStyle w:val="Hyperlink"/>
          <w:i/>
          <w:iCs/>
        </w:rPr>
      </w:pPr>
    </w:p>
    <w:p w14:paraId="583DA284" w14:textId="77777777" w:rsidR="001561FD" w:rsidRDefault="001561FD" w:rsidP="005D4AF3">
      <w:pPr>
        <w:spacing w:line="240" w:lineRule="auto"/>
        <w:rPr>
          <w:rStyle w:val="Hyperlink"/>
          <w:i/>
          <w:iCs/>
        </w:rPr>
      </w:pPr>
    </w:p>
    <w:p w14:paraId="7973382B" w14:textId="77777777" w:rsidR="001561FD" w:rsidRDefault="001561FD" w:rsidP="005D4AF3">
      <w:pPr>
        <w:spacing w:line="240" w:lineRule="auto"/>
        <w:rPr>
          <w:rStyle w:val="Hyperlink"/>
          <w:i/>
          <w:iCs/>
        </w:rPr>
      </w:pPr>
    </w:p>
    <w:p w14:paraId="0575D090" w14:textId="77777777" w:rsidR="001561FD" w:rsidRDefault="001561FD" w:rsidP="005D4AF3">
      <w:pPr>
        <w:spacing w:line="240" w:lineRule="auto"/>
        <w:rPr>
          <w:rStyle w:val="Hyperlink"/>
          <w:i/>
          <w:iCs/>
        </w:rPr>
      </w:pPr>
    </w:p>
    <w:p w14:paraId="7FA9A407" w14:textId="77777777" w:rsidR="001561FD" w:rsidRDefault="001561FD" w:rsidP="005D4AF3">
      <w:pPr>
        <w:spacing w:line="240" w:lineRule="auto"/>
        <w:rPr>
          <w:rStyle w:val="Hyperlink"/>
          <w:i/>
          <w:iCs/>
        </w:rPr>
      </w:pPr>
    </w:p>
    <w:p w14:paraId="5ADBB682" w14:textId="77777777" w:rsidR="001561FD" w:rsidRDefault="001561FD" w:rsidP="005D4AF3">
      <w:pPr>
        <w:spacing w:line="240" w:lineRule="auto"/>
        <w:rPr>
          <w:rStyle w:val="Hyperlink"/>
          <w:i/>
          <w:iCs/>
        </w:rPr>
      </w:pPr>
    </w:p>
    <w:p w14:paraId="1CA492CD" w14:textId="77777777" w:rsidR="001561FD" w:rsidRDefault="001561FD" w:rsidP="005D4AF3">
      <w:pPr>
        <w:spacing w:line="240" w:lineRule="auto"/>
        <w:rPr>
          <w:rStyle w:val="Hyperlink"/>
          <w:i/>
          <w:iCs/>
        </w:rPr>
      </w:pPr>
    </w:p>
    <w:p w14:paraId="593E0167" w14:textId="77777777" w:rsidR="001561FD" w:rsidRDefault="001561FD" w:rsidP="005D4AF3">
      <w:pPr>
        <w:spacing w:line="240" w:lineRule="auto"/>
        <w:rPr>
          <w:rStyle w:val="Hyperlink"/>
          <w:i/>
          <w:iCs/>
        </w:rPr>
      </w:pPr>
    </w:p>
    <w:p w14:paraId="3D722282" w14:textId="77777777" w:rsidR="00507735" w:rsidRDefault="00507735" w:rsidP="005D4AF3">
      <w:pPr>
        <w:spacing w:line="240" w:lineRule="auto"/>
        <w:rPr>
          <w:rStyle w:val="Hyperlink"/>
          <w:i/>
          <w:iCs/>
        </w:rPr>
      </w:pPr>
    </w:p>
    <w:p w14:paraId="72590C1D" w14:textId="26374F94" w:rsidR="001A29C3" w:rsidRPr="00806B18" w:rsidRDefault="00507735" w:rsidP="005D4AF3">
      <w:pPr>
        <w:pStyle w:val="Articletitle"/>
        <w:spacing w:line="240" w:lineRule="auto"/>
        <w:rPr>
          <w:rtl/>
          <w:lang w:bidi="fa-IR"/>
        </w:rPr>
      </w:pPr>
      <w:proofErr w:type="spellStart"/>
      <w:r w:rsidRPr="00AC555D">
        <w:rPr>
          <w:lang w:bidi="fa-IR"/>
        </w:rPr>
        <w:lastRenderedPageBreak/>
        <w:t>Analyzing</w:t>
      </w:r>
      <w:proofErr w:type="spellEnd"/>
      <w:r w:rsidRPr="00AC555D">
        <w:rPr>
          <w:lang w:bidi="fa-IR"/>
        </w:rPr>
        <w:t xml:space="preserve"> Façade Design in Vernacular Architecture of the City of Bushehr, Iran</w:t>
      </w:r>
    </w:p>
    <w:p w14:paraId="70830220" w14:textId="77777777" w:rsidR="00642A54" w:rsidRPr="00642A54" w:rsidRDefault="00642A54" w:rsidP="005D4AF3">
      <w:pPr>
        <w:pStyle w:val="Abstract"/>
        <w:spacing w:line="240" w:lineRule="auto"/>
        <w:ind w:left="0"/>
        <w:jc w:val="both"/>
        <w:rPr>
          <w:b/>
          <w:bCs/>
          <w:lang w:bidi="fa-IR"/>
        </w:rPr>
      </w:pPr>
      <w:r w:rsidRPr="00642A54">
        <w:rPr>
          <w:b/>
          <w:bCs/>
          <w:lang w:bidi="fa-IR"/>
        </w:rPr>
        <w:t>Abstract</w:t>
      </w:r>
    </w:p>
    <w:p w14:paraId="5C74CF6A" w14:textId="6B7B33E6" w:rsidR="00806B18" w:rsidRPr="005E38CB" w:rsidRDefault="00603ED8" w:rsidP="005D4AF3">
      <w:pPr>
        <w:pStyle w:val="Abstract"/>
        <w:spacing w:line="240" w:lineRule="auto"/>
        <w:ind w:left="0"/>
        <w:jc w:val="both"/>
        <w:rPr>
          <w:lang w:bidi="fa-IR"/>
        </w:rPr>
      </w:pPr>
      <w:r>
        <w:rPr>
          <w:lang w:bidi="fa-IR"/>
        </w:rPr>
        <w:t>D</w:t>
      </w:r>
      <w:r w:rsidR="0097611C" w:rsidRPr="005E38CB">
        <w:rPr>
          <w:lang w:bidi="fa-IR"/>
        </w:rPr>
        <w:t xml:space="preserve">esigning </w:t>
      </w:r>
      <w:r w:rsidR="00D841FF" w:rsidRPr="005E38CB">
        <w:rPr>
          <w:lang w:bidi="fa-IR"/>
        </w:rPr>
        <w:t>facade</w:t>
      </w:r>
      <w:r w:rsidR="0097611C" w:rsidRPr="005E38CB">
        <w:rPr>
          <w:lang w:val="en-US" w:bidi="fa-IR"/>
        </w:rPr>
        <w:t>s</w:t>
      </w:r>
      <w:r w:rsidR="00D841FF" w:rsidRPr="005E38CB">
        <w:rPr>
          <w:lang w:bidi="fa-IR"/>
        </w:rPr>
        <w:t xml:space="preserve"> in vernacular architecture, various methods have been used for optimal energy consumption in different regions. In Iran, most of </w:t>
      </w:r>
      <w:r>
        <w:rPr>
          <w:lang w:bidi="fa-IR"/>
        </w:rPr>
        <w:t xml:space="preserve">the </w:t>
      </w:r>
      <w:r w:rsidRPr="005E38CB">
        <w:rPr>
          <w:lang w:bidi="fa-IR"/>
        </w:rPr>
        <w:t>vernacular</w:t>
      </w:r>
      <w:r w:rsidR="00D841FF" w:rsidRPr="005E38CB">
        <w:rPr>
          <w:lang w:bidi="fa-IR"/>
        </w:rPr>
        <w:t xml:space="preserve"> buildings are still being used without major modifications even in challenging climates. In this article, </w:t>
      </w:r>
      <w:r w:rsidR="0081490B">
        <w:rPr>
          <w:lang w:bidi="fa-IR"/>
        </w:rPr>
        <w:t xml:space="preserve">the </w:t>
      </w:r>
      <w:r w:rsidR="0097611C" w:rsidRPr="005E38CB">
        <w:rPr>
          <w:lang w:bidi="fa-IR"/>
        </w:rPr>
        <w:t>quantitati</w:t>
      </w:r>
      <w:r w:rsidR="0081490B">
        <w:rPr>
          <w:lang w:bidi="fa-IR"/>
        </w:rPr>
        <w:t>ve research method was applied t</w:t>
      </w:r>
      <w:r w:rsidR="00811575">
        <w:rPr>
          <w:lang w:bidi="fa-IR"/>
        </w:rPr>
        <w:t>o reveal</w:t>
      </w:r>
      <w:r w:rsidR="0097611C" w:rsidRPr="005E38CB">
        <w:rPr>
          <w:lang w:bidi="fa-IR"/>
        </w:rPr>
        <w:t xml:space="preserve"> principles </w:t>
      </w:r>
      <w:r w:rsidR="005E38CB" w:rsidRPr="005E38CB">
        <w:rPr>
          <w:lang w:bidi="fa-IR"/>
        </w:rPr>
        <w:t>of the</w:t>
      </w:r>
      <w:r w:rsidR="0097611C" w:rsidRPr="005E38CB">
        <w:rPr>
          <w:lang w:bidi="fa-IR"/>
        </w:rPr>
        <w:t xml:space="preserve"> facade design of </w:t>
      </w:r>
      <w:r w:rsidR="00D841FF" w:rsidRPr="005E38CB">
        <w:rPr>
          <w:lang w:bidi="fa-IR"/>
        </w:rPr>
        <w:t>the city of Bushehr vernacular architecture</w:t>
      </w:r>
      <w:r w:rsidR="00715315" w:rsidRPr="005E38CB">
        <w:t xml:space="preserve"> </w:t>
      </w:r>
      <w:r w:rsidR="00715315" w:rsidRPr="005E38CB">
        <w:rPr>
          <w:lang w:bidi="fa-IR"/>
        </w:rPr>
        <w:t>in mathematical language</w:t>
      </w:r>
      <w:r w:rsidR="0097611C" w:rsidRPr="005E38CB">
        <w:rPr>
          <w:lang w:bidi="fa-IR"/>
        </w:rPr>
        <w:t xml:space="preserve">. </w:t>
      </w:r>
      <w:r w:rsidRPr="00AC555D">
        <w:rPr>
          <w:lang w:bidi="fa-IR"/>
        </w:rPr>
        <w:t xml:space="preserve">Physical characteristics </w:t>
      </w:r>
      <w:r>
        <w:rPr>
          <w:lang w:bidi="fa-IR"/>
        </w:rPr>
        <w:t>of e</w:t>
      </w:r>
      <w:r w:rsidRPr="00AC555D">
        <w:rPr>
          <w:lang w:bidi="fa-IR"/>
        </w:rPr>
        <w:t>ight houses</w:t>
      </w:r>
      <w:r>
        <w:rPr>
          <w:lang w:bidi="fa-IR"/>
        </w:rPr>
        <w:t>,</w:t>
      </w:r>
      <w:r w:rsidRPr="00AC555D">
        <w:rPr>
          <w:lang w:bidi="fa-IR"/>
        </w:rPr>
        <w:t xml:space="preserve"> selected as the case studies have been extracted, including window-to-wall ratio, area of each façade as well as height and weight of different openings. </w:t>
      </w:r>
      <w:r>
        <w:rPr>
          <w:lang w:bidi="fa-IR"/>
        </w:rPr>
        <w:t>Defining eighteen c</w:t>
      </w:r>
      <w:r w:rsidRPr="00AC555D">
        <w:rPr>
          <w:lang w:bidi="fa-IR"/>
        </w:rPr>
        <w:t>riter</w:t>
      </w:r>
      <w:r>
        <w:rPr>
          <w:lang w:bidi="fa-IR"/>
        </w:rPr>
        <w:t xml:space="preserve">ia, </w:t>
      </w:r>
      <w:r w:rsidR="009B1A32" w:rsidRPr="00AC555D">
        <w:rPr>
          <w:lang w:bidi="fa-IR"/>
        </w:rPr>
        <w:t xml:space="preserve">physical properties of the houses were extracted </w:t>
      </w:r>
      <w:r w:rsidRPr="00AC555D">
        <w:rPr>
          <w:lang w:bidi="fa-IR"/>
        </w:rPr>
        <w:t xml:space="preserve">for </w:t>
      </w:r>
      <w:r>
        <w:rPr>
          <w:lang w:bidi="fa-IR"/>
        </w:rPr>
        <w:t xml:space="preserve">either </w:t>
      </w:r>
      <w:r w:rsidRPr="00AC555D">
        <w:rPr>
          <w:lang w:bidi="fa-IR"/>
        </w:rPr>
        <w:t xml:space="preserve">interior </w:t>
      </w:r>
      <w:r>
        <w:rPr>
          <w:lang w:bidi="fa-IR"/>
        </w:rPr>
        <w:t>a</w:t>
      </w:r>
      <w:r w:rsidRPr="00AC555D">
        <w:rPr>
          <w:lang w:bidi="fa-IR"/>
        </w:rPr>
        <w:t>nd exterior façade</w:t>
      </w:r>
      <w:r>
        <w:rPr>
          <w:lang w:bidi="fa-IR"/>
        </w:rPr>
        <w:t xml:space="preserve">s. </w:t>
      </w:r>
      <w:r w:rsidR="001A29C3" w:rsidRPr="005E38CB">
        <w:rPr>
          <w:lang w:bidi="fa-IR"/>
        </w:rPr>
        <w:t xml:space="preserve">Linear regression models were used for cases where a linear relationship between variables could be seen. All the statistical </w:t>
      </w:r>
      <w:r w:rsidR="00AD056C" w:rsidRPr="005E38CB">
        <w:rPr>
          <w:lang w:bidi="fa-IR"/>
        </w:rPr>
        <w:t>analyses</w:t>
      </w:r>
      <w:r w:rsidR="001A29C3" w:rsidRPr="005E38CB">
        <w:rPr>
          <w:lang w:bidi="fa-IR"/>
        </w:rPr>
        <w:t xml:space="preserve"> were performed in IBM SPSS Statistics version 16.0.</w:t>
      </w:r>
      <w:r w:rsidR="00806B18" w:rsidRPr="005E38CB">
        <w:rPr>
          <w:lang w:bidi="fa-IR"/>
        </w:rPr>
        <w:t xml:space="preserve"> </w:t>
      </w:r>
      <w:r w:rsidR="00D841FF" w:rsidRPr="005E38CB">
        <w:rPr>
          <w:lang w:bidi="fa-IR"/>
        </w:rPr>
        <w:t>Results revealed the presence of 14 linear models (6 models for exterior, 5 models for inter</w:t>
      </w:r>
      <w:r w:rsidR="00715315" w:rsidRPr="005E38CB">
        <w:rPr>
          <w:lang w:bidi="fa-IR"/>
        </w:rPr>
        <w:t>ior, and 3 models for openings)</w:t>
      </w:r>
      <w:r w:rsidR="00D841FF" w:rsidRPr="005E38CB">
        <w:rPr>
          <w:lang w:bidi="fa-IR"/>
        </w:rPr>
        <w:t>.</w:t>
      </w:r>
      <w:r w:rsidR="009B1A32">
        <w:rPr>
          <w:lang w:bidi="fa-IR"/>
        </w:rPr>
        <w:t xml:space="preserve"> </w:t>
      </w:r>
      <w:r w:rsidR="009B1A32" w:rsidRPr="009B1A32">
        <w:rPr>
          <w:lang w:bidi="fa-IR"/>
        </w:rPr>
        <w:t>The results showed that out of these 16 criteria, 11 criteria (6 criteria for exterior facades and 5 criteria for interior facades) in Bushehr vernacular buildings can be expressed as linear models.</w:t>
      </w:r>
      <w:r w:rsidR="009B1A32" w:rsidRPr="009B1A32">
        <w:rPr>
          <w:rtl/>
          <w:lang w:bidi="fa-IR"/>
        </w:rPr>
        <w:t xml:space="preserve"> </w:t>
      </w:r>
      <w:r w:rsidR="00806B18" w:rsidRPr="005E38CB">
        <w:t>Although the linear models presented are completely specific to the vernacular architecture of Bushehr, the method presented in this study can be used by other researchers to recognize the principles used in vernacular facades of other parts of the world.</w:t>
      </w:r>
    </w:p>
    <w:p w14:paraId="1BA11F99" w14:textId="77777777" w:rsidR="0020415E" w:rsidRDefault="00997B0F" w:rsidP="005D4AF3">
      <w:pPr>
        <w:pStyle w:val="Keywords"/>
        <w:spacing w:line="240" w:lineRule="auto"/>
        <w:rPr>
          <w:lang w:bidi="fa-IR"/>
        </w:rPr>
      </w:pPr>
      <w:r>
        <w:t>Keywords</w:t>
      </w:r>
      <w:r w:rsidRPr="00ED63B3">
        <w:t xml:space="preserve">: </w:t>
      </w:r>
      <w:r w:rsidR="002C4CE6" w:rsidRPr="00ED63B3">
        <w:t>Façade design; Vernacular Architecture; Hot-Humid Climate; Bushehr.</w:t>
      </w:r>
      <w:r w:rsidR="002C4CE6">
        <w:rPr>
          <w:lang w:bidi="fa-IR"/>
        </w:rPr>
        <w:t xml:space="preserve"> </w:t>
      </w:r>
    </w:p>
    <w:p w14:paraId="12932C3A" w14:textId="77777777" w:rsidR="00642A54" w:rsidRDefault="00642A54" w:rsidP="00642A54">
      <w:pPr>
        <w:pStyle w:val="Paragraph"/>
        <w:rPr>
          <w:lang w:bidi="fa-IR"/>
        </w:rPr>
      </w:pPr>
    </w:p>
    <w:p w14:paraId="31CB3562" w14:textId="77777777" w:rsidR="00642A54" w:rsidRDefault="00642A54" w:rsidP="00642A54">
      <w:pPr>
        <w:pStyle w:val="Newparagraph"/>
        <w:rPr>
          <w:lang w:bidi="fa-IR"/>
        </w:rPr>
      </w:pPr>
    </w:p>
    <w:p w14:paraId="32C092A1" w14:textId="77777777" w:rsidR="00642A54" w:rsidRDefault="00642A54" w:rsidP="00642A54">
      <w:pPr>
        <w:pStyle w:val="Newparagraph"/>
        <w:rPr>
          <w:lang w:bidi="fa-IR"/>
        </w:rPr>
      </w:pPr>
    </w:p>
    <w:p w14:paraId="68C8EEDD" w14:textId="77777777" w:rsidR="00642A54" w:rsidRDefault="00642A54" w:rsidP="00642A54">
      <w:pPr>
        <w:pStyle w:val="Newparagraph"/>
        <w:rPr>
          <w:lang w:bidi="fa-IR"/>
        </w:rPr>
      </w:pPr>
    </w:p>
    <w:p w14:paraId="025D3621" w14:textId="77777777" w:rsidR="00642A54" w:rsidRDefault="00642A54" w:rsidP="00642A54">
      <w:pPr>
        <w:pStyle w:val="Newparagraph"/>
        <w:rPr>
          <w:lang w:bidi="fa-IR"/>
        </w:rPr>
      </w:pPr>
    </w:p>
    <w:p w14:paraId="061B7203" w14:textId="77777777" w:rsidR="00642A54" w:rsidRDefault="00642A54" w:rsidP="00642A54">
      <w:pPr>
        <w:pStyle w:val="Newparagraph"/>
        <w:rPr>
          <w:lang w:bidi="fa-IR"/>
        </w:rPr>
      </w:pPr>
    </w:p>
    <w:p w14:paraId="7D91CFDF" w14:textId="77777777" w:rsidR="00642A54" w:rsidRDefault="00642A54" w:rsidP="00642A54">
      <w:pPr>
        <w:pStyle w:val="Newparagraph"/>
        <w:rPr>
          <w:lang w:bidi="fa-IR"/>
        </w:rPr>
      </w:pPr>
    </w:p>
    <w:p w14:paraId="0E5607F8" w14:textId="77777777" w:rsidR="00642A54" w:rsidRDefault="00642A54" w:rsidP="00642A54">
      <w:pPr>
        <w:pStyle w:val="Newparagraph"/>
        <w:rPr>
          <w:lang w:bidi="fa-IR"/>
        </w:rPr>
      </w:pPr>
    </w:p>
    <w:p w14:paraId="5FF2A426" w14:textId="77777777" w:rsidR="00642A54" w:rsidRDefault="00642A54" w:rsidP="00642A54">
      <w:pPr>
        <w:pStyle w:val="Newparagraph"/>
        <w:rPr>
          <w:lang w:bidi="fa-IR"/>
        </w:rPr>
      </w:pPr>
    </w:p>
    <w:p w14:paraId="0AE077A7" w14:textId="77777777" w:rsidR="00642A54" w:rsidRDefault="00642A54" w:rsidP="00642A54">
      <w:pPr>
        <w:pStyle w:val="Newparagraph"/>
        <w:rPr>
          <w:lang w:bidi="fa-IR"/>
        </w:rPr>
      </w:pPr>
    </w:p>
    <w:p w14:paraId="1E69C7DF" w14:textId="77777777" w:rsidR="00642A54" w:rsidRDefault="00642A54" w:rsidP="00642A54">
      <w:pPr>
        <w:pStyle w:val="Newparagraph"/>
        <w:rPr>
          <w:lang w:bidi="fa-IR"/>
        </w:rPr>
      </w:pPr>
    </w:p>
    <w:p w14:paraId="483DD033" w14:textId="77777777" w:rsidR="00642A54" w:rsidRPr="00642A54" w:rsidRDefault="00642A54" w:rsidP="00642A54">
      <w:pPr>
        <w:pStyle w:val="Newparagraph"/>
        <w:rPr>
          <w:lang w:bidi="fa-IR"/>
        </w:rPr>
      </w:pPr>
    </w:p>
    <w:p w14:paraId="5806AA0C" w14:textId="77777777" w:rsidR="00603ED8" w:rsidRPr="00D402D2" w:rsidRDefault="00603ED8" w:rsidP="005D4AF3">
      <w:pPr>
        <w:spacing w:before="240" w:line="240" w:lineRule="auto"/>
        <w:rPr>
          <w:rFonts w:asciiTheme="majorBidi" w:hAnsiTheme="majorBidi" w:cstheme="majorBidi"/>
          <w:b/>
          <w:bCs/>
          <w:lang w:bidi="fa-IR"/>
        </w:rPr>
      </w:pPr>
      <w:r w:rsidRPr="00D402D2">
        <w:rPr>
          <w:rFonts w:asciiTheme="majorBidi" w:hAnsiTheme="majorBidi" w:cstheme="majorBidi"/>
          <w:b/>
          <w:bCs/>
          <w:lang w:bidi="fa-IR"/>
        </w:rPr>
        <w:lastRenderedPageBreak/>
        <w:t>Abbreviations:</w:t>
      </w:r>
    </w:p>
    <w:p w14:paraId="12B676BD" w14:textId="77777777" w:rsidR="00603ED8" w:rsidRPr="00D402D2" w:rsidRDefault="00603ED8" w:rsidP="005D4AF3">
      <w:pPr>
        <w:spacing w:line="240" w:lineRule="auto"/>
        <w:rPr>
          <w:rFonts w:asciiTheme="majorBidi" w:hAnsiTheme="majorBidi" w:cstheme="majorBidi"/>
          <w:lang w:bidi="fa-IR"/>
        </w:rPr>
      </w:pPr>
      <w:r w:rsidRPr="00D402D2">
        <w:rPr>
          <w:rFonts w:asciiTheme="majorBidi" w:hAnsiTheme="majorBidi" w:cstheme="majorBidi"/>
          <w:lang w:bidi="fa-IR"/>
        </w:rPr>
        <w:t>In: Interior</w:t>
      </w:r>
    </w:p>
    <w:p w14:paraId="7CF5E51B" w14:textId="77777777" w:rsidR="00603ED8" w:rsidRPr="00D402D2" w:rsidRDefault="00603ED8" w:rsidP="005D4AF3">
      <w:pPr>
        <w:spacing w:line="240" w:lineRule="auto"/>
        <w:rPr>
          <w:rFonts w:asciiTheme="majorBidi" w:hAnsiTheme="majorBidi" w:cstheme="majorBidi"/>
          <w:lang w:bidi="fa-IR"/>
        </w:rPr>
      </w:pPr>
      <w:r w:rsidRPr="00D402D2">
        <w:rPr>
          <w:rFonts w:asciiTheme="majorBidi" w:hAnsiTheme="majorBidi" w:cstheme="majorBidi"/>
          <w:lang w:bidi="fa-IR"/>
        </w:rPr>
        <w:t>Ex: Exterior</w:t>
      </w:r>
    </w:p>
    <w:p w14:paraId="006342B6" w14:textId="77777777" w:rsidR="00603ED8" w:rsidRPr="00D402D2" w:rsidRDefault="00603ED8" w:rsidP="005D4AF3">
      <w:pPr>
        <w:spacing w:line="240" w:lineRule="auto"/>
        <w:rPr>
          <w:rFonts w:asciiTheme="majorBidi" w:hAnsiTheme="majorBidi" w:cstheme="majorBidi"/>
          <w:lang w:bidi="fa-IR"/>
        </w:rPr>
      </w:pPr>
      <w:r w:rsidRPr="00D402D2">
        <w:rPr>
          <w:rFonts w:asciiTheme="majorBidi" w:hAnsiTheme="majorBidi" w:cstheme="majorBidi"/>
          <w:lang w:bidi="fa-IR"/>
        </w:rPr>
        <w:t>S: Surface Area</w:t>
      </w:r>
    </w:p>
    <w:p w14:paraId="7B02E401" w14:textId="77777777" w:rsidR="00603ED8" w:rsidRPr="00D402D2" w:rsidRDefault="00603ED8" w:rsidP="005D4AF3">
      <w:pPr>
        <w:spacing w:line="240" w:lineRule="auto"/>
        <w:rPr>
          <w:rFonts w:asciiTheme="majorBidi" w:hAnsiTheme="majorBidi" w:cstheme="majorBidi"/>
          <w:lang w:bidi="fa-IR"/>
        </w:rPr>
      </w:pPr>
      <w:r w:rsidRPr="00D402D2">
        <w:rPr>
          <w:rFonts w:asciiTheme="majorBidi" w:hAnsiTheme="majorBidi" w:cstheme="majorBidi"/>
          <w:lang w:bidi="fa-IR"/>
        </w:rPr>
        <w:t>N.: North</w:t>
      </w:r>
    </w:p>
    <w:p w14:paraId="38F1FACB" w14:textId="77777777" w:rsidR="00603ED8" w:rsidRPr="00D402D2" w:rsidRDefault="00603ED8" w:rsidP="005D4AF3">
      <w:pPr>
        <w:spacing w:line="240" w:lineRule="auto"/>
        <w:rPr>
          <w:rFonts w:asciiTheme="majorBidi" w:hAnsiTheme="majorBidi" w:cstheme="majorBidi"/>
          <w:lang w:bidi="fa-IR"/>
        </w:rPr>
      </w:pPr>
      <w:r w:rsidRPr="00D402D2">
        <w:rPr>
          <w:rFonts w:asciiTheme="majorBidi" w:hAnsiTheme="majorBidi" w:cstheme="majorBidi"/>
          <w:lang w:bidi="fa-IR"/>
        </w:rPr>
        <w:t>S.: South</w:t>
      </w:r>
    </w:p>
    <w:p w14:paraId="362F0C59" w14:textId="77777777" w:rsidR="00603ED8" w:rsidRPr="00D402D2" w:rsidRDefault="00603ED8" w:rsidP="005D4AF3">
      <w:pPr>
        <w:spacing w:line="240" w:lineRule="auto"/>
        <w:rPr>
          <w:rFonts w:asciiTheme="majorBidi" w:hAnsiTheme="majorBidi" w:cstheme="majorBidi"/>
          <w:lang w:bidi="fa-IR"/>
        </w:rPr>
      </w:pPr>
      <w:r w:rsidRPr="00D402D2">
        <w:rPr>
          <w:rFonts w:asciiTheme="majorBidi" w:hAnsiTheme="majorBidi" w:cstheme="majorBidi"/>
          <w:lang w:bidi="fa-IR"/>
        </w:rPr>
        <w:t>E.: East</w:t>
      </w:r>
    </w:p>
    <w:p w14:paraId="45F97A90" w14:textId="77777777" w:rsidR="00603ED8" w:rsidRPr="00D402D2" w:rsidRDefault="00603ED8" w:rsidP="005D4AF3">
      <w:pPr>
        <w:spacing w:line="240" w:lineRule="auto"/>
        <w:rPr>
          <w:rFonts w:asciiTheme="majorBidi" w:hAnsiTheme="majorBidi" w:cstheme="majorBidi"/>
          <w:lang w:bidi="fa-IR"/>
        </w:rPr>
      </w:pPr>
      <w:r w:rsidRPr="00D402D2">
        <w:rPr>
          <w:rFonts w:asciiTheme="majorBidi" w:hAnsiTheme="majorBidi" w:cstheme="majorBidi"/>
          <w:lang w:bidi="fa-IR"/>
        </w:rPr>
        <w:t>W.: West</w:t>
      </w:r>
    </w:p>
    <w:p w14:paraId="0EDFC40D" w14:textId="77777777" w:rsidR="00603ED8" w:rsidRPr="00D402D2" w:rsidRDefault="00603ED8" w:rsidP="005D4AF3">
      <w:pPr>
        <w:spacing w:line="240" w:lineRule="auto"/>
        <w:rPr>
          <w:rFonts w:asciiTheme="majorBidi" w:hAnsiTheme="majorBidi" w:cstheme="majorBidi"/>
          <w:lang w:bidi="fa-IR"/>
        </w:rPr>
      </w:pPr>
      <w:r w:rsidRPr="00D402D2">
        <w:rPr>
          <w:rFonts w:asciiTheme="majorBidi" w:hAnsiTheme="majorBidi" w:cstheme="majorBidi"/>
          <w:lang w:bidi="fa-IR"/>
        </w:rPr>
        <w:t>WD: Width of Opening</w:t>
      </w:r>
    </w:p>
    <w:p w14:paraId="3970E31E" w14:textId="77777777" w:rsidR="00603ED8" w:rsidRPr="00D402D2" w:rsidRDefault="00603ED8" w:rsidP="005D4AF3">
      <w:pPr>
        <w:spacing w:line="240" w:lineRule="auto"/>
        <w:rPr>
          <w:rFonts w:asciiTheme="majorBidi" w:hAnsiTheme="majorBidi" w:cstheme="majorBidi"/>
          <w:lang w:bidi="fa-IR"/>
        </w:rPr>
      </w:pPr>
      <w:r w:rsidRPr="00D402D2">
        <w:rPr>
          <w:rFonts w:asciiTheme="majorBidi" w:hAnsiTheme="majorBidi" w:cstheme="majorBidi"/>
          <w:lang w:bidi="fa-IR"/>
        </w:rPr>
        <w:t>H: Height of Opening</w:t>
      </w:r>
    </w:p>
    <w:p w14:paraId="3AC5B8CF" w14:textId="77777777" w:rsidR="00603ED8" w:rsidRPr="00D402D2" w:rsidRDefault="00603ED8" w:rsidP="005D4AF3">
      <w:pPr>
        <w:spacing w:line="240" w:lineRule="auto"/>
        <w:rPr>
          <w:rFonts w:asciiTheme="majorBidi" w:hAnsiTheme="majorBidi" w:cstheme="majorBidi"/>
          <w:lang w:bidi="fa-IR"/>
        </w:rPr>
      </w:pPr>
      <w:r w:rsidRPr="00D402D2">
        <w:rPr>
          <w:rFonts w:asciiTheme="majorBidi" w:hAnsiTheme="majorBidi" w:cstheme="majorBidi"/>
          <w:lang w:bidi="fa-IR"/>
        </w:rPr>
        <w:t>Arch: Arched Opening</w:t>
      </w:r>
    </w:p>
    <w:p w14:paraId="500B2E93" w14:textId="645B9EB9" w:rsidR="00603ED8" w:rsidRPr="00603ED8" w:rsidRDefault="00603ED8" w:rsidP="005D4AF3">
      <w:pPr>
        <w:spacing w:line="240" w:lineRule="auto"/>
        <w:rPr>
          <w:rFonts w:asciiTheme="majorBidi" w:hAnsiTheme="majorBidi" w:cstheme="majorBidi"/>
          <w:lang w:bidi="fa-IR"/>
        </w:rPr>
      </w:pPr>
      <w:r w:rsidRPr="00D402D2">
        <w:rPr>
          <w:rFonts w:asciiTheme="majorBidi" w:hAnsiTheme="majorBidi" w:cstheme="majorBidi"/>
          <w:lang w:bidi="fa-IR"/>
        </w:rPr>
        <w:t>Rec: Rectangular Opening</w:t>
      </w:r>
    </w:p>
    <w:p w14:paraId="09B7C931" w14:textId="77777777" w:rsidR="00ED63B3" w:rsidRPr="00AC555D" w:rsidRDefault="00ED63B3" w:rsidP="005D4AF3">
      <w:pPr>
        <w:pStyle w:val="Heading1"/>
        <w:spacing w:line="240" w:lineRule="auto"/>
        <w:rPr>
          <w:lang w:bidi="fa-IR"/>
        </w:rPr>
      </w:pPr>
      <w:r w:rsidRPr="00AC555D">
        <w:rPr>
          <w:lang w:bidi="fa-IR"/>
        </w:rPr>
        <w:t>1- Introduction</w:t>
      </w:r>
    </w:p>
    <w:p w14:paraId="6AAE0808" w14:textId="002389E9" w:rsidR="00ED63B3" w:rsidRPr="00AC555D" w:rsidRDefault="00ED63B3" w:rsidP="001230AF">
      <w:pPr>
        <w:pStyle w:val="Paragraph"/>
        <w:spacing w:before="0" w:line="240" w:lineRule="auto"/>
        <w:jc w:val="both"/>
      </w:pPr>
      <w:r w:rsidRPr="00AC555D">
        <w:t xml:space="preserve">Building façades present the relationship between inner and outer space </w:t>
      </w:r>
      <w:r w:rsidRPr="00AC555D">
        <w:fldChar w:fldCharType="begin" w:fldLock="1"/>
      </w:r>
      <w:r w:rsidR="008A3122">
        <w:instrText>ADDIN CSL_CITATION {"citationItems":[{"id":"ITEM-1","itemData":{"author":[{"dropping-particle":"","family":"Askari","given":"Amir Hossein","non-dropping-particle":"","parse-names":false,"suffix":""},{"dropping-particle":"","family":"Dola","given":"Kamariah","non-dropping-particle":"","parse-names":false,"suffix":""}],"container-title":"Journal of Design and the Built Environment","id":"ITEM-1","issued":{"date-parts":[["2009"]]},"page":"49-59","title":"Influence of Building Façade Visual Elements on Its Historical Image: Case of Kuala Lumpur City, Malaysia","type":"article-journal","volume":"5"},"uris":["http://www.mendeley.com/documents/?uuid=08d6a5f7-8b6a-4319-8700-da893871e914"]},{"id":"ITEM-2","itemData":{"author":[{"dropping-particle":"","family":"Hayashi","given":"Tomomi","non-dropping-particle":"","parse-names":false,"suffix":""}],"id":"ITEM-2","issued":{"date-parts":[["2004","5"]]},"title":"“Lasnamäe Track and Field Centre:Façade, MAJA Estonian Architectural Review”","type":"article-magazine"},"uris":["http://www.mendeley.com/documents/?uuid=0222bdad-2b67-4d10-9a4f-d70d7fb0c072"]}],"mendeley":{"formattedCitation":"(Askari and Dola 2009; Hayashi 2004)","plainTextFormattedCitation":"(Askari and Dola 2009; Hayashi 2004)","previouslyFormattedCitation":"(Askari and Dola 2009; Hayashi 2004)"},"properties":{"noteIndex":0},"schema":"https://github.com/citation-style-language/schema/raw/master/csl-citation.json"}</w:instrText>
      </w:r>
      <w:r w:rsidRPr="00AC555D">
        <w:fldChar w:fldCharType="separate"/>
      </w:r>
      <w:r w:rsidR="008A3122" w:rsidRPr="008A3122">
        <w:rPr>
          <w:noProof/>
        </w:rPr>
        <w:t>(Askari and Dola 2009; Hayashi 2004)</w:t>
      </w:r>
      <w:r w:rsidRPr="00AC555D">
        <w:fldChar w:fldCharType="end"/>
      </w:r>
      <w:r w:rsidRPr="00AC555D">
        <w:t xml:space="preserve">. It is like an interface “between the pragmatic worlds of facts and the symbolic world of values” </w:t>
      </w:r>
      <w:r w:rsidRPr="00AC555D">
        <w:fldChar w:fldCharType="begin" w:fldLock="1"/>
      </w:r>
      <w:r w:rsidR="008A3122">
        <w:instrText>ADDIN CSL_CITATION {"citationItems":[{"id":"ITEM-1","itemData":{"DOI":"https://doi.org/10.4324/9781315012933","ISBN":"9781315012933","author":[{"dropping-particle":"","family":"Frampton","given":"Kenneth","non-dropping-particle":"","parse-names":false,"suffix":""}],"container-title":"What is Architecture?","edition":"1st Editio","editor":[{"dropping-particle":"","family":"Ballantyne","given":"Andrew","non-dropping-particle":"","parse-names":false,"suffix":""}],"id":"ITEM-1","issued":{"date-parts":[["2002"]]},"page":"138-152","publisher":"Routledge Ltd","publisher-place":"London and New York","title":"Botticher, Semper and the Tectonic: Core Form and Art","type":"chapter"},"uris":["http://www.mendeley.com/documents/?uuid=ac69bf20-4475-455f-afe0-7555d4652e21"]}],"mendeley":{"formattedCitation":"(Frampton 2002)","manualFormatting":"(Frampton, 2002, p. 151)","plainTextFormattedCitation":"(Frampton 2002)","previouslyFormattedCitation":"(Frampton 2002)"},"properties":{"noteIndex":0},"schema":"https://github.com/citation-style-language/schema/raw/master/csl-citation.json"}</w:instrText>
      </w:r>
      <w:r w:rsidRPr="00AC555D">
        <w:fldChar w:fldCharType="separate"/>
      </w:r>
      <w:r w:rsidRPr="00AC555D">
        <w:rPr>
          <w:noProof/>
        </w:rPr>
        <w:t>(Frampton, 2002, p. 151)</w:t>
      </w:r>
      <w:r w:rsidRPr="00AC555D">
        <w:fldChar w:fldCharType="end"/>
      </w:r>
      <w:r w:rsidRPr="00AC555D">
        <w:t xml:space="preserve"> which along with climatic and spatial features creates the identity in a context that can also be affected by culture </w:t>
      </w:r>
      <w:r w:rsidRPr="00AC555D">
        <w:fldChar w:fldCharType="begin" w:fldLock="1"/>
      </w:r>
      <w:r w:rsidR="008A3122">
        <w:instrText>ADDIN CSL_CITATION {"citationItems":[{"id":"ITEM-1","itemData":{"author":[{"dropping-particle":"","family":"Sari","given":"Reyhan Midili","non-dropping-particle":"","parse-names":false,"suffix":""},{"dropping-particle":"","family":"Şen","given":"Derya Elmali","non-dropping-particle":"","parse-names":false,"suffix":""},{"dropping-particle":"","family":"Al","given":"Selda","non-dropping-particle":"","parse-names":false,"suffix":""},{"dropping-particle":"","family":"Kahya","given":"Nimet Candaş","non-dropping-particle":"","parse-names":false,"suffix":""},{"dropping-particle":"","family":"Sağsöz","given":"Ayşe","non-dropping-particle":"","parse-names":false,"suffix":""}],"container-title":"International Journal of Academic Research","id":"ITEM-1","issue":"1","issued":{"date-parts":[["2011"]]},"page":"780-792","title":"the Effects of Traditions, Customs and Beliefs on Architectural Design: the Example of Turkey","type":"paper-conference","volume":"3"},"uris":["http://www.mendeley.com/documents/?uuid=be14dd8d-ae99-42e4-b11d-39420f273cff"]}],"mendeley":{"formattedCitation":"(Sari et al. 2011)","plainTextFormattedCitation":"(Sari et al. 2011)","previouslyFormattedCitation":"(Sari et al. 2011)"},"properties":{"noteIndex":0},"schema":"https://github.com/citation-style-language/schema/raw/master/csl-citation.json"}</w:instrText>
      </w:r>
      <w:r w:rsidRPr="00AC555D">
        <w:fldChar w:fldCharType="separate"/>
      </w:r>
      <w:r w:rsidR="008A3122" w:rsidRPr="008A3122">
        <w:rPr>
          <w:noProof/>
        </w:rPr>
        <w:t>(Sari et al. 2011)</w:t>
      </w:r>
      <w:r w:rsidRPr="00AC555D">
        <w:fldChar w:fldCharType="end"/>
      </w:r>
      <w:r w:rsidRPr="00AC555D">
        <w:t xml:space="preserve">. It is one of the most effective factors in the urban landscape and city image </w:t>
      </w:r>
      <w:r w:rsidRPr="00AC555D">
        <w:fldChar w:fldCharType="begin" w:fldLock="1"/>
      </w:r>
      <w:r w:rsidR="008A3122">
        <w:instrText>ADDIN CSL_CITATION {"citationItems":[{"id":"ITEM-1","itemData":{"author":[{"dropping-particle":"","family":"Wang","given":"H.","non-dropping-particle":"","parse-names":false,"suffix":""}],"id":"ITEM-1","issued":{"date-parts":[["2007"]]},"publisher":"National Yunlin University of Science and Technology","title":"Evaluation of the facade of buildings in \"Type I Residential Area\" of the 7th Land Consideration District in Taichung City.","type":"thesis"},"uris":["http://www.mendeley.com/documents/?uuid=b0918657-3f6f-4287-b064-ebd0a891cab4"]},{"id":"ITEM-2","itemData":{"author":[{"dropping-particle":"","family":"Utaberta","given":"Nangkula","non-dropping-particle":"","parse-names":false,"suffix":""},{"dropping-particle":"","family":"Jalali","given":"Afshin","non-dropping-particle":"","parse-names":false,"suffix":""},{"dropping-particle":"","family":"Johar","given":"Suhana","non-dropping-particle":"","parse-names":false,"suffix":""},{"dropping-particle":"","family":"Surat","given":"Mastor","non-dropping-particle":"","parse-names":false,"suffix":""},{"dropping-particle":"","family":"Che-Ani","given":"Adi Irfan","non-dropping-particle":"","parse-names":false,"suffix":""}],"container-title":"World Academy of Science, Engineering and Technology, International Journal of Social, Behavioral, Educational, Economic, Business and Industrial Engineering","id":"ITEM-2","issued":{"date-parts":[["2012"]]},"page":"1839-1844","title":"Building Facade Study in Lahijan City, Iran: The Impact of Facade's Visual Elements on Historical Image","type":"article-journal","volume":"6"},"uris":["http://www.mendeley.com/documents/?uuid=7b492266-f527-464c-8e4d-3e9e421d356e"]}],"mendeley":{"formattedCitation":"(H. Wang 2007; Utaberta et al. 2012)","plainTextFormattedCitation":"(H. Wang 2007; Utaberta et al. 2012)","previouslyFormattedCitation":"(H. Wang 2007; Utaberta et al. 2012)"},"properties":{"noteIndex":0},"schema":"https://github.com/citation-style-language/schema/raw/master/csl-citation.json"}</w:instrText>
      </w:r>
      <w:r w:rsidRPr="00AC555D">
        <w:fldChar w:fldCharType="separate"/>
      </w:r>
      <w:r w:rsidR="008A3122" w:rsidRPr="008A3122">
        <w:rPr>
          <w:noProof/>
        </w:rPr>
        <w:t>(H. Wang 2007; Utaberta et al. 2012)</w:t>
      </w:r>
      <w:r w:rsidRPr="00AC555D">
        <w:fldChar w:fldCharType="end"/>
      </w:r>
      <w:r w:rsidRPr="00AC555D">
        <w:t xml:space="preserve">. So, the building facades can be evaluated from various points of view </w:t>
      </w:r>
      <w:r w:rsidRPr="00AC555D">
        <w:fldChar w:fldCharType="begin" w:fldLock="1"/>
      </w:r>
      <w:r w:rsidR="008A3122">
        <w:instrText>ADDIN CSL_CITATION {"citationItems":[{"id":"ITEM-1","itemData":{"author":[{"dropping-particle":"","family":"Namazi","given":"Mohammad","non-dropping-particle":"","parse-names":false,"suffix":""},{"dropping-particle":"","family":"Eshrati","given":"Parastoo","non-dropping-particle":"","parse-names":false,"suffix":""},{"dropping-particle":"","family":"Eshrati","given":"Dorna","non-dropping-particle":"","parse-names":false,"suffix":""},{"dropping-particle":"","family":"Fadaei Nezhad Bahramjerdi","given":"Somayeh","non-dropping-particle":"","parse-names":false,"suffix":""}],"container-title":"Journal of Applied Environmental and Biological Sciences","id":"ITEM-1","issued":{"date-parts":[["2016","1","1"]]},"page":"61-68","title":"The Study of Effective Components in Façade Engineering Towards Developing a Conceptual Framework","type":"article-journal","volume":"6"},"uris":["http://www.mendeley.com/documents/?uuid=eb8248f4-252e-4e95-9188-afea9c2f37d1"]}],"mendeley":{"formattedCitation":"(Namazi et al. 2016)","plainTextFormattedCitation":"(Namazi et al. 2016)","previouslyFormattedCitation":"(Namazi et al. 2016)"},"properties":{"noteIndex":0},"schema":"https://github.com/citation-style-language/schema/raw/master/csl-citation.json"}</w:instrText>
      </w:r>
      <w:r w:rsidRPr="00AC555D">
        <w:fldChar w:fldCharType="separate"/>
      </w:r>
      <w:r w:rsidR="008A3122" w:rsidRPr="008A3122">
        <w:rPr>
          <w:noProof/>
        </w:rPr>
        <w:t>(Namazi et al. 2016)</w:t>
      </w:r>
      <w:r w:rsidRPr="00AC555D">
        <w:fldChar w:fldCharType="end"/>
      </w:r>
      <w:r w:rsidRPr="00AC555D">
        <w:t xml:space="preserve"> (aesthetic, structural, social, cultural and climatic) and are determined by the composition, shape, texture, and </w:t>
      </w:r>
      <w:proofErr w:type="spellStart"/>
      <w:r w:rsidRPr="00AC555D">
        <w:t>color</w:t>
      </w:r>
      <w:proofErr w:type="spellEnd"/>
      <w:r w:rsidRPr="00AC555D">
        <w:t xml:space="preserve"> of their components </w:t>
      </w:r>
      <w:r w:rsidRPr="00AC555D">
        <w:fldChar w:fldCharType="begin" w:fldLock="1"/>
      </w:r>
      <w:r w:rsidR="008A3122">
        <w:instrText>ADDIN CSL_CITATION {"citationItems":[{"id":"ITEM-1","itemData":{"author":[{"dropping-particle":"","family":"Baper","given":"Salahaddin Yasin","non-dropping-particle":"","parse-names":false,"suffix":""},{"dropping-particle":"","family":"Hassan","given":"Ahmad Sanusi","non-dropping-particle":"","parse-names":false,"suffix":""}],"id":"ITEM-1","issued":{"date-parts":[["2012"]]},"publisher":"Baper, S. Y., &amp; Hassan, A. S. (2012). Factors affecting the continuity of architectural identity. American Transactions on Engineering &amp; Applied Sciences","title":"Factors Affecting the Continuity of Architectural Identity","type":"paper-conference"},"uris":["http://www.mendeley.com/documents/?uuid=6ebb25b8-9dc3-4517-b6e2-c61c05b666ef"]}],"mendeley":{"formattedCitation":"(Baper and Hassan 2012)","plainTextFormattedCitation":"(Baper and Hassan 2012)","previouslyFormattedCitation":"(Baper and Hassan 2012)"},"properties":{"noteIndex":0},"schema":"https://github.com/citation-style-language/schema/raw/master/csl-citation.json"}</w:instrText>
      </w:r>
      <w:r w:rsidRPr="00AC555D">
        <w:fldChar w:fldCharType="separate"/>
      </w:r>
      <w:r w:rsidR="008A3122" w:rsidRPr="008A3122">
        <w:rPr>
          <w:noProof/>
        </w:rPr>
        <w:t>(Baper and Hassan 2012)</w:t>
      </w:r>
      <w:r w:rsidRPr="00AC555D">
        <w:fldChar w:fldCharType="end"/>
      </w:r>
      <w:r w:rsidRPr="00AC555D">
        <w:t>.</w:t>
      </w:r>
    </w:p>
    <w:p w14:paraId="317713B1" w14:textId="46A6EC3D" w:rsidR="00ED63B3" w:rsidRPr="00AC555D" w:rsidRDefault="00ED63B3" w:rsidP="005D4AF3">
      <w:pPr>
        <w:pStyle w:val="Newparagraph"/>
        <w:spacing w:line="240" w:lineRule="auto"/>
        <w:jc w:val="both"/>
      </w:pPr>
      <w:r w:rsidRPr="00AC555D">
        <w:t>In recent decades, the energy crisis, global warming, and reduction of fossil fuels, along with sustainable development, made a priority in energy efficiency.</w:t>
      </w:r>
      <w:r w:rsidRPr="00AC555D">
        <w:rPr>
          <w:rtl/>
        </w:rPr>
        <w:t xml:space="preserve"> </w:t>
      </w:r>
      <w:r w:rsidRPr="00AC555D">
        <w:t xml:space="preserve">Building’s energy consumption is become a major concern as the building sector consumes about one-third of the total energy consumption worldwide </w:t>
      </w:r>
      <w:r w:rsidRPr="00AC555D">
        <w:fldChar w:fldCharType="begin" w:fldLock="1"/>
      </w:r>
      <w:r w:rsidR="008A3122">
        <w:instrText>ADDIN CSL_CITATION {"citationItems":[{"id":"ITEM-1","itemData":{"DOI":"10.1016/j.buildenv.2011.04.019","author":[{"dropping-particle":"","family":"Nguyen","given":"Anh Tuan","non-dropping-particle":"","parse-names":false,"suffix":""},{"dropping-particle":"","family":"Quoc Bao","given":"Tran","non-dropping-particle":"","parse-names":false,"suffix":""},{"dropping-particle":"","family":"Tran","given":"Duc-Quang","non-dropping-particle":"","parse-names":false,"suffix":""},{"dropping-particle":"","family":"Reiter","given":"Sigrid","non-dropping-particle":"","parse-names":false,"suffix":""}],"container-title":"Building and Environment","id":"ITEM-1","issued":{"date-parts":[["2011","10","1"]]},"page":"2088-2106","title":"An investigation on climate responsive design strategies of vernacular housing in Vietnam","type":"article-journal","volume":"46"},"uris":["http://www.mendeley.com/documents/?uuid=d42881b6-9b7f-48d8-a44e-f98b0d806716"]}],"mendeley":{"formattedCitation":"(Nguyen et al. 2011)","plainTextFormattedCitation":"(Nguyen et al. 2011)","previouslyFormattedCitation":"(Nguyen et al. 2011)"},"properties":{"noteIndex":0},"schema":"https://github.com/citation-style-language/schema/raw/master/csl-citation.json"}</w:instrText>
      </w:r>
      <w:r w:rsidRPr="00AC555D">
        <w:fldChar w:fldCharType="separate"/>
      </w:r>
      <w:r w:rsidR="008A3122" w:rsidRPr="008A3122">
        <w:rPr>
          <w:noProof/>
        </w:rPr>
        <w:t>(Nguyen et al. 2011)</w:t>
      </w:r>
      <w:r w:rsidRPr="00AC555D">
        <w:fldChar w:fldCharType="end"/>
      </w:r>
      <w:r w:rsidRPr="00AC555D">
        <w:t>. Building façade, including walls, roofs and openings, can control air temperature,</w:t>
      </w:r>
      <w:r w:rsidRPr="00AC555D">
        <w:rPr>
          <w:lang w:bidi="fa-IR"/>
        </w:rPr>
        <w:t xml:space="preserve"> shading and ventilation and </w:t>
      </w:r>
      <w:r w:rsidRPr="00AC555D">
        <w:t xml:space="preserve">assure thermal and daylight comfort </w:t>
      </w:r>
      <w:r w:rsidRPr="00AC555D">
        <w:fldChar w:fldCharType="begin" w:fldLock="1"/>
      </w:r>
      <w:r w:rsidR="008A3122">
        <w:instrText>ADDIN CSL_CITATION {"citationItems":[{"id":"ITEM-1","itemData":{"DOI":"https://doi.org/10.1016/j.enbuild.2013.08.027","ISSN":"0378-7788","abstract":"Cost optimal and as energy efficient as possible façade solutions, including window properties, external wall insulation, window-to-wall ratio and external shading were determined with energy and daylight simulations in the cold climate of Estonia. Heating dominated in the energy balance and therefore windows with higher number of panes and low emissivity coatings improved energy performance. The window sizes resulting in best energy performance for double and triple glazing were as small as daylight requirements allow, 22–24% respectively. For quadruple and hypothetical quintuple glazing the optimal window-to-wall ratios were larger, about 40% and 60% respectively, because of daylight utilization and good solar factor naturally provided by so many panes. The cost optimal façade solution was highly transparent triple low emissivity glazing with window-to-wall ratios of about 25% and external wall insulation thickness of 200mm (U=0.16). Dynamic external shading gave positive effect on energy performance only in case of large window sizes whereas due to high investment cost it was not financially feasible. Limited number of simulations with Central European climate showed that triple glazing with double low emissivity coating and window-to-wall ratio of about 40%, i.e. slightly larger and with external shading compared to Estonian cost optimal one, clearly outperformed conventional design.","author":[{"dropping-particle":"","family":"Thalfeldt","given":"Martin","non-dropping-particle":"","parse-names":false,"suffix":""},{"dropping-particle":"","family":"Pikas","given":"Ergo","non-dropping-particle":"","parse-names":false,"suffix":""},{"dropping-particle":"","family":"Kurnitski","given":"Jarek","non-dropping-particle":"","parse-names":false,"suffix":""},{"dropping-particle":"","family":"Voll","given":"Hendrik","non-dropping-particle":"","parse-names":false,"suffix":""}],"container-title":"Energy and Buildings","id":"ITEM-1","issued":{"date-parts":[["2013"]]},"page":"309-321","title":"Facade design principles for nearly zero energy buildings in a cold climate","type":"article-journal","volume":"67"},"uris":["http://www.mendeley.com/documents/?uuid=6d8855cb-0269-4069-9e8d-76bded292ace"]}],"mendeley":{"formattedCitation":"(Thalfeldt et al. 2013)","plainTextFormattedCitation":"(Thalfeldt et al. 2013)","previouslyFormattedCitation":"(Thalfeldt et al. 2013)"},"properties":{"noteIndex":0},"schema":"https://github.com/citation-style-language/schema/raw/master/csl-citation.json"}</w:instrText>
      </w:r>
      <w:r w:rsidRPr="00AC555D">
        <w:fldChar w:fldCharType="separate"/>
      </w:r>
      <w:r w:rsidR="008A3122" w:rsidRPr="008A3122">
        <w:rPr>
          <w:noProof/>
        </w:rPr>
        <w:t>(Thalfeldt et al. 2013)</w:t>
      </w:r>
      <w:r w:rsidRPr="00AC555D">
        <w:fldChar w:fldCharType="end"/>
      </w:r>
      <w:r w:rsidRPr="00AC555D">
        <w:t xml:space="preserve">. A proper design and accurate location of openings, coupled with sufficient window and door areas overall, are key factors in designing energy-efficient facades </w:t>
      </w:r>
      <w:r w:rsidRPr="00AC555D">
        <w:fldChar w:fldCharType="begin" w:fldLock="1"/>
      </w:r>
      <w:r w:rsidR="008A3122">
        <w:instrText>ADDIN CSL_CITATION {"citationItems":[{"id":"ITEM-1","itemData":{"DOI":"10.1080/14733315.2002.11683625","author":[{"dropping-particle":"","family":"Heiselberg","given":"Per","non-dropping-particle":"","parse-names":false,"suffix":""},{"dropping-particle":"","family":"Bjørn","given":"Erik","non-dropping-particle":"","parse-names":false,"suffix":""},{"dropping-particle":"","family":"Nielsen","given":"Peter","non-dropping-particle":"","parse-names":false,"suffix":""}],"container-title":"International Journal of Ventilation","id":"ITEM-1","issued":{"date-parts":[["2002","10","1"]]},"page":"91-100","title":"Impact of Open Windows on Room Air Flow and Thermal Comfort","type":"article-journal","volume":"1"},"uris":["http://www.mendeley.com/documents/?uuid=a7c26116-a1fa-4a1b-8c7c-815e75d20bad"]}],"mendeley":{"formattedCitation":"(Heiselberg, Bjørn, and Nielsen 2002)","plainTextFormattedCitation":"(Heiselberg, Bjørn, and Nielsen 2002)","previouslyFormattedCitation":"(Heiselberg, Bjørn, and Nielsen 2002)"},"properties":{"noteIndex":0},"schema":"https://github.com/citation-style-language/schema/raw/master/csl-citation.json"}</w:instrText>
      </w:r>
      <w:r w:rsidRPr="00AC555D">
        <w:fldChar w:fldCharType="separate"/>
      </w:r>
      <w:r w:rsidR="008A3122" w:rsidRPr="008A3122">
        <w:rPr>
          <w:noProof/>
        </w:rPr>
        <w:t>(Heiselberg, Bjørn, and Nielsen 2002)</w:t>
      </w:r>
      <w:r w:rsidRPr="00AC555D">
        <w:fldChar w:fldCharType="end"/>
      </w:r>
      <w:r w:rsidRPr="00AC555D">
        <w:rPr>
          <w:sz w:val="28"/>
          <w:szCs w:val="28"/>
        </w:rPr>
        <w:t xml:space="preserve"> </w:t>
      </w:r>
      <w:r w:rsidRPr="00AC555D">
        <w:t xml:space="preserve">that can have significant impacts on the lighting, heating and cooling load and minimize the usage of air-conditioning </w:t>
      </w:r>
      <w:r w:rsidRPr="00AC555D">
        <w:fldChar w:fldCharType="begin" w:fldLock="1"/>
      </w:r>
      <w:r w:rsidR="008A3122">
        <w:instrText>ADDIN CSL_CITATION {"citationItems":[{"id":"ITEM-1","itemData":{"author":[{"dropping-particle":"","family":"Okba","given":"Ehab","non-dropping-particle":"","parse-names":false,"suffix":""}],"container-title":"International Conference \"Passive and Low Energy Cooling for the Built Environment\"","id":"ITEM-1","issued":{"date-parts":[["2005"]]},"title":"Building envelope design as a passive cooling technique","type":"article-journal"},"uris":["http://www.mendeley.com/documents/?uuid=9a75ee0d-24ae-4ca4-bc9e-24a37cfb65f9"]}],"mendeley":{"formattedCitation":"(Okba 2005)","plainTextFormattedCitation":"(Okba 2005)","previouslyFormattedCitation":"(Okba 2005)"},"properties":{"noteIndex":0},"schema":"https://github.com/citation-style-language/schema/raw/master/csl-citation.json"}</w:instrText>
      </w:r>
      <w:r w:rsidRPr="00AC555D">
        <w:fldChar w:fldCharType="separate"/>
      </w:r>
      <w:r w:rsidR="008A3122" w:rsidRPr="008A3122">
        <w:rPr>
          <w:noProof/>
        </w:rPr>
        <w:t>(Okba 2005)</w:t>
      </w:r>
      <w:r w:rsidRPr="00AC555D">
        <w:fldChar w:fldCharType="end"/>
      </w:r>
      <w:r w:rsidRPr="00AC555D">
        <w:t xml:space="preserve">. As the result, appropriate facade design is decisive for the design of climatic buildings. Several studies have been </w:t>
      </w:r>
      <w:proofErr w:type="spellStart"/>
      <w:r w:rsidRPr="00AC555D">
        <w:t>analyzed</w:t>
      </w:r>
      <w:proofErr w:type="spellEnd"/>
      <w:r w:rsidRPr="00AC555D">
        <w:t xml:space="preserve"> the facade design influence on buildings’ energy consumption and thermal environment </w:t>
      </w:r>
      <w:r w:rsidRPr="00AC555D">
        <w:fldChar w:fldCharType="begin" w:fldLock="1"/>
      </w:r>
      <w:r w:rsidR="008A3122">
        <w:instrText>ADDIN CSL_CITATION {"citationItems":[{"id":"ITEM-1","itemData":{"DOI":"10.1016/j.solener.2007.02.006","ISSN":"0038092X","abstract":"This paper presents a simulation case study of façade and envelope preliminary design options for the new Engineering building of Concordia University in Montreal. A major principle of the analysis was to create a high quality building envelope in order to optimally control solar gains, reduce heating and cooling energy demand and reduce electricity consumption for lighting, while at the same time maintain a comfortable and pleasant indoor environment. The stated approach of the design team was to aim for an energy-efficient building, employing innovative technologies and integrating concepts such as daylighting and natural ventilation. Detailed energy simulations were therefore performed from the early design stage, in order to present recommendations on the choice of façade, glazings, shading devices, lighting control options, and natural ventilation. Integrated thermal studies, a daylighting analysis and the impact of the above on HVAC system sizing were considered. Simulation results showed that, using an optimum combination of glazings, shading devices and controllable electric lighting systems, the energy savings in perimeter spaces can be substantial. Perimeter heating could be eliminated if a high performance envelope is used. The building is currently being commissioned. © 2007 Elsevier Ltd. All rights reserved.","author":[{"dropping-particle":"","family":"Tzempelikos, Athanassios, Athienitis","given":"Andreas K.","non-dropping-particle":"","parse-names":false,"suffix":""},{"dropping-particle":"","family":"Karava","given":"Panagiota","non-dropping-particle":"","parse-names":false,"suffix":""}],"container-title":"Solar Energy","id":"ITEM-1","issue":"9","issued":{"date-parts":[["2007","9","1"]]},"page":"1088-1103","title":"Simulation of façade and envelope design options for a new institutional building","type":"article-journal","volume":"81"},"uris":["http://www.mendeley.com/documents/?uuid=ab12c301-775c-42b1-9a34-bcf717210f05"]},{"id":"ITEM-2","itemData":{"DOI":"https://doi.org/10.1016/j.enbuild.2013.05.039","ISSN":"0378-7788","abstract":"This article presents key energy use figures and explores the energy saving potentials in office buildings across Europe by simulating several currently available scenarios. The information provided in this research work is based on a review of relevant literature and the results of EnergyPlus simulations of a reference office building that can be considered as a representative office building across Europe. Three locations were selected to represent the three climate zones in which Europe was divided. Lighting has been pointed out as an area with significant improvement potentials. These improvements have been investigated by using two scenarios with different lighting control systems. In both cases and regardless of the location of the office building, the energy savings were achieved with already existing technology and will bring important reductions in the overall energy bill. Two further aspects were investigated in this work: the first one is an improvement of the insulation of the windows and the external walls (U-value) and the second one the orientation of the building. Unlikely to the lighting improvements, the location of the buildings highly influences the amount of energy required by HVAC systems. It is observed that higher insulation factors are recommended in cold and medium climate zones while they should be carefully chosen in the warmer climate zones. Office buildings constructed in warm climate zones are subjected to higher heat gains that cannot be easily released from buildings within a well-insulated envelope. Consequently, the energy demand for cooling purposes is increased, affecting the overall energy consumption and the economic performance of the building.","author":[{"dropping-particle":"","family":"Boyano","given":"A","non-dropping-particle":"","parse-names":false,"suffix":""},{"dropping-particle":"","family":"Hernandez","given":"P","non-dropping-particle":"","parse-names":false,"suffix":""},{"dropping-particle":"","family":"Wolf","given":"O","non-dropping-particle":"","parse-names":false,"suffix":""}],"container-title":"Energy and Buildings","id":"ITEM-2","issued":{"date-parts":[["2013"]]},"page":"19-28","title":"Energy demands and potential savings in European office buildings: Case studies based on EnergyPlus simulations","type":"article-journal","volume":"65"},"uris":["http://www.mendeley.com/documents/?uuid=94728bbe-73c7-4145-b71a-13d151c954cb"]},{"id":"ITEM-3","itemData":{"DOI":"https://doi.org/10.1016/j.enbuild.2007.10.011","ISSN":"0378-7788","abstract":"Highly glazed buildings are designed by architects to be airy, light and transparent with more access to daylight. Their energy efficiency, however, has become questioned. Therefore, energy simulations of single skin office buildings in Sweden were carried out, using a dynamic energy simulation tool. In order to study the impact of glass on the energy use during the occupation stage, office building alternatives with 30, 60 and 100% window to external wall area were studied. Other varied parameters were the building's orientation, the plan type (open and cell plan offices), the control set points and the façade elements (type and size of windows, type and position of shading devices, etc.). The main conclusion is that careful design is needed to ensure low energy use and good thermal comfort, especially for highly glazed office buildings. Careful design of glazed office buildings has to be based on detailed thermal simulations. Especially in fully glazed buildings (in which the façade is more “sensitive” to climatic conditions), proper combination of control set points, glazing and solar shading are crucial for the energy performance. A sensitivity analysis of single skin glazed office buildings was one of the main aims of the study. Although it was concluded that highly glazed single skin buildings are likely to consume more energy during the occupation stage, after studying the impact of shadings, window types, etc., the increase was lowered to 15% (100% glazed alternative compared to a typical reference building with 30% window to external wall area) maintaining at the same time an acceptable level of thermal comfort.","author":[{"dropping-particle":"","family":"Poirazis","given":"Harris","non-dropping-particle":"","parse-names":false,"suffix":""},{"dropping-particle":"","family":"Blomsterberg","given":"Åke","non-dropping-particle":"","parse-names":false,"suffix":""},{"dropping-particle":"","family":"Wall","given":"Maria","non-dropping-particle":"","parse-names":false,"suffix":""}],"container-title":"Energy and Buildings","id":"ITEM-3","issue":"7","issued":{"date-parts":[["2008"]]},"page":"1161-1170","title":"Energy simulations for glazed office buildings in Sweden","type":"article-journal","volume":"40"},"uris":["http://www.mendeley.com/documents/?uuid=ce10c27b-1092-49ba-9a81-258685c85195"]},{"id":"ITEM-4","itemData":{"DOI":"10.3846/jcem.2010.39","author":[{"dropping-particle":"","family":"Motuzienė","given":"Violeta","non-dropping-particle":"","parse-names":false,"suffix":""},{"dropping-particle":"","family":"Juodis","given":"Egidijus","non-dropping-particle":"","parse-names":false,"suffix":""}],"container-title":"JOURNAL OF CIVIL ENGINEERING AND MANAGEMENT","id":"ITEM-4","issued":{"date-parts":[["2010","9","1"]]},"page":"345-351","title":"Simulation based complex energy assessment of office building fenestration","type":"article-journal","volume":"16"},"uris":["http://www.mendeley.com/documents/?uuid=29b98a66-8fe6-409e-862f-3bafc465ac0f"]},{"id":"ITEM-5","itemData":{"DOI":"https://doi.org/10.1016/j.enbuild.2013.02.029","ISSN":"0378-7788","abstract":"One of the most effective actions for reduction of energy loss through the building envelope is to optimize the thermal performance, area and localization of the transparent components in the façade in order to obtain minimal heat losses and optimal solar gains. When considering the thermal performance of these transparent components, one should consider, not only heat loss (or gains) caused by thermal transmission, but also the beneficial effects of incident solar radiation and hence reduced demand for heating and artificial lighting. This study presents calculations for a range of windows as part of a building where the coupled effects of incident solar radiation and thermal transmission heat losses are accounted for in terms of a net energy balance for the various solutions. Effects of varying thermal transmittance values (U-values) are studied in connection with solar heat gain coefficients. Three different rating methods have been proposed and applied to assess the energy performance of several window configurations. It has been found that various rating methods give different energy saving potentials in terms of absolute figures. Furthermore, it has been found that windows, even with existing technology, might outperform an opaque wall in terms of heating and cooling demands.","author":[{"dropping-particle":"","family":"Grynning","given":"Steinar","non-dropping-particle":"","parse-names":false,"suffix":""},{"dropping-particle":"","family":"Gustavsen","given":"Arild","non-dropping-particle":"","parse-names":false,"suffix":""},{"dropping-particle":"","family":"Time","given":"Berit","non-dropping-particle":"","parse-names":false,"suffix":""},{"dropping-particle":"","family":"Jelle","given":"Bjørn Petter","non-dropping-particle":"","parse-names":false,"suffix":""}],"container-title":"Energy and Buildings","id":"ITEM-5","issued":{"date-parts":[["2013"]]},"page":"185-192","title":"Windows in the buildings of tomorrow: Energy losers or energy gainers?","type":"article-journal","volume":"61"},"uris":["http://www.mendeley.com/documents/?uuid=895c327b-b655-4893-b079-698e19971992"]},{"id":"ITEM-6","itemData":{"author":[{"dropping-particle":"","family":"Susorova","given":"Irina","non-dropping-particle":"","parse-names":false,"suffix":""},{"dropping-particle":"","family":"Tabibzadeh","given":"Meysam","non-dropping-particle":"","parse-names":false,"suffix":""},{"dropping-particle":"","family":"Rahman","given":"Anisur","non-dropping-particle":"","parse-names":false,"suffix":""},{"dropping-particle":"","family":"Clack","given":"Herek L","non-dropping-particle":"","parse-names":false,"suffix":""},{"dropping-particle":"","family":"Elnimeiri","given":"Mahjoub","non-dropping-particle":"","parse-names":false,"suffix":""}],"container-title":"Energy and Buildings","id":"ITEM-6","issued":{"date-parts":[["2013"]]},"page":"6-13","title":"The effect of geometry factors on fenestration energy performance and energy savings in office buildings","type":"article-journal","volume":"57"},"uris":["http://www.mendeley.com/documents/?uuid=1df6d994-3164-4874-80c5-229609673589"]}],"mendeley":{"formattedCitation":"(Tzempelikos, Athanassios, Athienitis and Karava 2007; Boyano, Hernandez, and Wolf 2013; Poirazis, Blomsterberg, and Wall 2008; Motuzienė and Juodis 2010; Grynning et al. 2013; Susorova et al. 2013)","plainTextFormattedCitation":"(Tzempelikos, Athanassios, Athienitis and Karava 2007; Boyano, Hernandez, and Wolf 2013; Poirazis, Blomsterberg, and Wall 2008; Motuzienė and Juodis 2010; Grynning et al. 2013; Susorova et al. 2013)","previouslyFormattedCitation":"(Tzempelikos, Athanassios, Athienitis and Karava 2007; Boyano, Hernandez, and Wolf 2013; Poirazis, Blomsterberg, and Wall 2008; Motuzienė and Juodis 2010; Grynning et al. 2013; Susorova et al. 2013)"},"properties":{"noteIndex":0},"schema":"https://github.com/citation-style-language/schema/raw/master/csl-citation.json"}</w:instrText>
      </w:r>
      <w:r w:rsidRPr="00AC555D">
        <w:fldChar w:fldCharType="separate"/>
      </w:r>
      <w:r w:rsidR="008A3122" w:rsidRPr="008A3122">
        <w:rPr>
          <w:noProof/>
        </w:rPr>
        <w:t>(Tzempelikos, Athanassios, Athienitis and Karava 2007; Boyano, Hernandez, and Wolf 2013; Poirazis, Blomsterberg, and Wall 2008; Motuzienė and Juodis 2010; Grynning et al. 2013; Susorova et al. 2013)</w:t>
      </w:r>
      <w:r w:rsidRPr="00AC555D">
        <w:fldChar w:fldCharType="end"/>
      </w:r>
      <w:r w:rsidRPr="00AC555D">
        <w:t xml:space="preserve">. Energy efficient facade properties include window-to-wall ratio, window sizes and properties, building orientation, wall insulation, external shading devices and some specific elements such as the shape of louvered windows and different forms of apertures </w:t>
      </w:r>
      <w:r w:rsidRPr="00AC555D">
        <w:fldChar w:fldCharType="begin" w:fldLock="1"/>
      </w:r>
      <w:r w:rsidR="008A3122">
        <w:instrText>ADDIN CSL_CITATION {"citationItems":[{"id":"ITEM-1","itemData":{"DOI":"10.1108/MEQ-05-2015-0102","ISSN":"14777835","abstract":"Purpose: The purpose of this paper is to constitute an efficient way to improve energy efficiency and occupants comfort in buildings through reduction of direct solar heat gains by exterior shading devices. The shadings orientation and layout depends on the building location and façade orientation, and influence consequently the windows layout. It is still debated which type of window layout is preferable for a specific building location and façade orientation. Design/methodology/approach: The paper presents a method to determine the most efficient windows’ layout, horizontal or vertical, for shading devices optimization by mean of integrating energy simulations and computational design. A parametric model has been built by visual programming language to simulate, iterate and compare the results. Findings: The research shows the most efficient layouts of windows to be shaded for three latitudes and locations, and the 16 cardinal directions, to be used by architects and designers. The results show a significant prevalence of the horizontal window type on the south façades but also on the east and west orientations for all the three locations, while the rules of thumb would suggest the vertical layout for the sunrise and sunset façades. Originality/value: The task of designing exterior shading devices presents two main issues: the shading period selection and the method of calculating its size and shape. The present research uses the innovative method Shaderade that existing literature demonstrates superior comparing other more dated like the section method and the solar vectors one.","author":[{"dropping-particle":"","family":"Luca","given":"Francesco","non-dropping-particle":"De","parse-names":false,"suffix":""},{"dropping-particle":"","family":"Voll","given":"Hendrik","non-dropping-particle":"","parse-names":false,"suffix":""},{"dropping-particle":"","family":"Thalfeldt","given":"Martin","non-dropping-particle":"","parse-names":false,"suffix":""}],"container-title":"Management of Environmental Quality: An International Journal","id":"ITEM-1","issue":"6","issued":{"date-parts":[["2016","1","1"]]},"page":"623-633","publisher":"Emerald Group Publishing Limited","title":"Horizontal or vertical? Windows’ layout selection for shading devices optimization","type":"article-journal","volume":"27"},"uris":["http://www.mendeley.com/documents/?uuid=56ad41e7-f3ab-40ba-bf67-b6c97a9f3b89"]},{"id":"ITEM-2","itemData":{"DOI":"https://doi.org/10.1016/j.enbuild.2006.10.011","ISSN":"0378-7788","abstract":"Parametric studies of facade designs for naturally ventilated residential buildings in Singapore were carried out to optimize facade designs for better indoor thermal comfort and energy saving. Two criteria regarding indoor thermal comfort for naturally ventilated residential buildings are used in this study. To avoid the perception of thermal asymmetry, temperature difference between mean radiant temperature and indoor ambient air temperature should be less than 2°C [F.A. Chrenko, Heated ceilings and comfort. J. Inst. Heat. Ventilating Eng. 20 (1953) 375–396; F.A. Chrenko, Heated ceilings and comfort. J. Inst. Heat. Ventilating Eng. 21 (1953) 145–154]. Thermal comfort regression model for naturally ventilated residential buildings in Singapore was used to evaluate various facade designs either. Facade design parameters: U-values, orientations, WWR (window to wall ratio) and shading device lengths are considered in the investigation. The building simulation results for a typical residential building in Singapore indicated that the U-value of facade materials for north and south orientations should be less than 2.5W/m2K and the U-value of facade materials for north and south orientations should be less than 2W/m2K. From the coupled simulation results, it was found that the optimum window to wall ratio is equal to 0.24. Optimum facade designs and thermal comfort indexes are summarized for naturally ventilated residential buildings in Singapore.","author":[{"dropping-particle":"","family":"Wang","given":"Liping","non-dropping-particle":"","parse-names":false,"suffix":""},{"dropping-particle":"","family":"Wong Nyuk","given":"Hien","non-dropping-particle":"","parse-names":false,"suffix":""},{"dropping-particle":"","family":"Li","given":"Shuo","non-dropping-particle":"","parse-names":false,"suffix":""}],"container-title":"Energy and Buildings","id":"ITEM-2","issue":"8","issued":{"date-parts":[["2007"]]},"page":"954-961","title":"Facade design optimization for naturally ventilated residential buildings in Singapore","type":"article-journal","volume":"39"},"uris":["http://www.mendeley.com/documents/?uuid=972b0f46-2c3b-4d15-90de-d89bf341348b"]}],"mendeley":{"formattedCitation":"(De Luca, Voll, and Thalfeldt 2016; L. Wang, Wong Nyuk, and Li 2007)","plainTextFormattedCitation":"(De Luca, Voll, and Thalfeldt 2016; L. Wang, Wong Nyuk, and Li 2007)","previouslyFormattedCitation":"(De Luca, Voll, and Thalfeldt 2016; L. Wang, Wong Nyuk, and Li 2007)"},"properties":{"noteIndex":0},"schema":"https://github.com/citation-style-language/schema/raw/master/csl-citation.json"}</w:instrText>
      </w:r>
      <w:r w:rsidRPr="00AC555D">
        <w:fldChar w:fldCharType="separate"/>
      </w:r>
      <w:r w:rsidR="008A3122" w:rsidRPr="008A3122">
        <w:rPr>
          <w:noProof/>
        </w:rPr>
        <w:t>(De Luca, Voll, and Thalfeldt 2016; L. Wang, Wong Nyuk, and Li 2007)</w:t>
      </w:r>
      <w:r w:rsidRPr="00AC555D">
        <w:fldChar w:fldCharType="end"/>
      </w:r>
      <w:r w:rsidRPr="00AC555D">
        <w:t xml:space="preserve">. Accordingly, most studies focus on the relationship between size, orientation and glazing properties of facade windows </w:t>
      </w:r>
      <w:r w:rsidRPr="00AC555D">
        <w:fldChar w:fldCharType="begin" w:fldLock="1"/>
      </w:r>
      <w:r w:rsidR="008A3122">
        <w:instrText>ADDIN CSL_CITATION {"citationItems":[{"id":"ITEM-1","itemData":{"DOI":"https://doi.org/10.1016/j.enbuild.2015.05.018","ISSN":"0378-7788","abstract":"Appropriate window solutions are decisive for the design of ‘nearly zero-energy’ buildings with healthy and comfortable indoor environment. This paper focuses on the relationship between size, orientation and glazing properties of façade windows for different side-lit room geometries in Danish ‘nearly zero-energy’ houses. The effect of these parameters on space heating demand, daylighting and thermal environment is evaluated by means of EnergyPlus and DAYSIM and presented in charts illustrating how combinations of design parameters with minimum space heating demand can be selected within a solution space defined by targets for daylighting and thermal comfort. In contrast with existing guidelines, the results show an upper limit for energy savings and utilisation of solar gains in south-oriented rooms. Instead, low U-values are needed in both north- and south oriented rooms before large window areas lead to reductions in space heating demand. Furthermore, windows in south-oriented rooms have to be carefully designed to prevent overheating. Design options for prevention of overheating, however, correspond well with options for low space heating demand. Glazings with solar control coating are therefore obvious alternatives to dynamic solar shadings. Regarding room geometry, deep or narrow south-oriented rooms show difficulties in reaching sufficient daylight levels without overheating.","author":[{"dropping-particle":"","family":"Vanhoutteghem","given":"Lies","non-dropping-particle":"","parse-names":false,"suffix":""},{"dropping-particle":"","family":"Skarning","given":"Gunnlaug Cecilie Jensen","non-dropping-particle":"","parse-names":false,"suffix":""},{"dropping-particle":"","family":"Hviid","given":"Christian Anker","non-dropping-particle":"","parse-names":false,"suffix":""},{"dropping-particle":"","family":"Svendsen","given":"Svend","non-dropping-particle":"","parse-names":false,"suffix":""}],"container-title":"Energy and Buildings","id":"ITEM-1","issued":{"date-parts":[["2015"]]},"page":"149-156","title":"Impact of façade window design on energy, daylighting and thermal comfort in nearly zero-energy houses","type":"article-journal","volume":"102"},"uris":["http://www.mendeley.com/documents/?uuid=0bd39418-0787-44e4-802d-868b93d48959"]},{"id":"ITEM-2","itemData":{"DOI":"https://doi.org/10.1016/j.enbuild.2016.08.051","ISSN":"0378-7788","abstract":"The paper presents a study of the effect of geometric design of equatorial-facing, double skin façade on energy performance of multi-story office buildings. The investigated parameters relate to the outer skin surface geometry and to the associated air cavity depth between the two skins of this façade system. Two main geometrical designs are investigated. A simple folded plate geometry – saw-tooth that consists of a single fold, and a more complex folded-plate units based on pyramids. The results indicate that although deviation from the basic flat façade leads generally to an increase in heating load, this is counterbalanced by a reduction in cooling load, and a considerable increase in energy generation potential from façade integrated photovoltaic systems. The position of fold and the depth of the cavity have a significant effect on thermal load and energy generation potential. Under the studied climatic conditions (Calgary, Alberta, Canada – 52°N), The total annual electricity generation potential, by the multifold configurations can exceed that of the flat façade by up to 80%. The increase in total electricity generation potential of some designed configurations is accompanied by an increase in time spread of functional electricity over extended period of time. Multifold façade configurations that combine east and west orientations can provide a peak spread of some 4–5hours.","author":[{"dropping-particle":"","family":"Hachem","given":"Caroline","non-dropping-particle":"","parse-names":false,"suffix":""},{"dropping-particle":"","family":"Elsayed","given":"Mohanmed","non-dropping-particle":"","parse-names":false,"suffix":""}],"container-title":"Energy and Buildings","id":"ITEM-2","issued":{"date-parts":[["2016"]]},"page":"366-377","title":"Patterns of façade system design for enhanced energy performance of multistory buildings","type":"article-journal","volume":"130"},"uris":["http://www.mendeley.com/documents/?uuid=f63d5771-7f04-4438-b102-c92a157a4a5c"]},{"id":"ITEM-3","itemData":{"DOI":"https://doi.org/10.1016/j.apenergy.2015.11.046","ISSN":"0306-2619","abstract":"Design optimisation problems of window size and façade orientation in buildings have been investigated many times, with regard to energy and comfort criteria. To indicate daylight availability in indoor spaces, a number of daylight metrics have been proposed, but those metrics are not always fully accounted in the optimisation process. Also, most studies were conducted for locations with high latitude, where the sun is located most of the time either at the south or at the north part of the sky hemisphere, which is not the case in the tropics. Therefore, this article presents a simulation study to investigate the influence of window-to-wall ratio (WWR), wall reflectance, and window orientation on various daylight metrics and lighting energy demand in simple buildings located in the tropical climate. A simple approach for the multi-objective optimisation was proposed by classifying the results in six pairs of two different performance indicators. Solutions in all Pareto frontiers were filtered against the defined target criteria, and were accepted into the optimum solution space if they belong to at least 4 out of 6 Pareto frontiers, and were ranked either in the order of their mean distance to the utopia points, or in the order of number of times they belong to a Pareto frontier. Three optimum solutions are found, all of which belong to four Pareto frontiers. The most optimum solution with the least mean distance to the utopia points is the combination of WWR 30%, wall reflectance of 0.8, and south orientation. The proposed approach enables one to observe the inter-relationship between the involved performance indicators, while providing a possibility to visualise the boundaries of the solution space.","author":[{"dropping-particle":"","family":"Mangkuto","given":"Rizki A","non-dropping-particle":"","parse-names":false,"suffix":""},{"dropping-particle":"","family":"Rohmah","given":"Mardliyahtur","non-dropping-particle":"","parse-names":false,"suffix":""},{"dropping-particle":"","family":"Asri","given":"Anindya Dian","non-dropping-particle":"","parse-names":false,"suffix":""}],"container-title":"Applied Energy","id":"ITEM-3","issued":{"date-parts":[["2016"]]},"page":"211-219","title":"Design optimisation for window size, orientation, and wall reflectance with regard to various daylight metrics and lighting energy demand: A case study of buildings in the tropics","type":"article-journal","volume":"164"},"uris":["http://www.mendeley.com/documents/?uuid=26a79e25-9ba0-4bd6-9e80-00e7c4d78c8b"]},{"id":"ITEM-4","itemData":{"DOI":"https://doi.org/10.1016/j.egypro.2015.11.235","ISSN":"1876-6102","abstract":"The aim of this study is to quantify the gap between the simulated energy need of an office building with simplified and detailed glazing models. We studied triple, quadruple and quintuple windows and concluded that differences in energy need of similar cases with different glazing models reached 1.9 and 6.4 kWh/m2 in space heating and cooling needs respectively. Significant relative differences in heating and cooling were up to 14% and 40% respectively. Largest differences appeared with triple glazing and smallest with quadruple glazing. Compared to detailed window models standard triple and quadruple glazing models resulted in lower heating and higher cooling needs, whereas in case of quintuple windows the results were the opposite.","author":[{"dropping-particle":"","family":"Thalfeldt","given":"Martin","non-dropping-particle":"","parse-names":false,"suffix":""},{"dropping-particle":"","family":"Kurnitski","given":"Jarek","non-dropping-particle":"","parse-names":false,"suffix":""},{"dropping-particle":"","family":"Voll","given":"Hendrik","non-dropping-particle":"","parse-names":false,"suffix":""}],"container-title":"Energy Procedia","id":"ITEM-4","issued":{"date-parts":[["2015"]]},"page":"2076-2081","title":"Comparison of Simplified and Detailed Window Models in Office Building Energy Simulations","type":"article-journal","volume":"78"},"uris":["http://www.mendeley.com/documents/?uuid=b957318b-b30e-4a4b-bf22-c5cb9df6f497"]},{"id":"ITEM-5","itemData":{"DOI":"https://doi.org/10.1016/j.solener.2016.03.031","ISSN":"0038-092X","abstract":"This paper deals with the search for the optimal window-to-wall ratio (WWR) in different European climates in relation to an office building characterized by best-available technologies for building envelope components and installations. The optimal WWR value is the one that minimizes, on an annual basis, the sum of the energy use for heating, cooling and lighting. By means of integrated thermal and lighting simulations, the optimal WWR for each of the main orientations was found in four different locations, covering the mid-latitude region (35° to 60° N), from temperate to continental climates. Moreover, the robustness of the results was also tested by means of sensitivity analyses against the efficiency of the building equipment, the efficacy of the artificial lighting and the compactness of the building. The results indicate that although there is an optimal WWR in each climate and orientation, most of the ideal values can be found in a relatively narrow range (0.30&lt;WWR&lt;0.45). Only south-oriented façades in very cold or very warm climates require WWR values outside this range. The total energy use may increase in the range of 5–25% when the worst WWR configuration is adopted, compared to when the optimal WWR is used.","author":[{"dropping-particle":"","family":"Goia","given":"Francesco","non-dropping-particle":"","parse-names":false,"suffix":""}],"container-title":"Solar Energy","id":"ITEM-5","issued":{"date-parts":[["2016"]]},"page":"467-492","title":"Search for the optimal window-to-wall ratio in office buildings in different European climates and the implications on total energy saving potential","type":"article-journal","volume":"132"},"uris":["http://www.mendeley.com/documents/?uuid=8318d0b4-fe5a-4981-9493-cc2e3043fd81"]},{"id":"ITEM-6","itemData":{"DOI":"https://doi.org/10.1016/j.apenergy.2015.08.074","ISSN":"0306-2619","abstract":"Properties of facade materials should be considered to determine which of them strongly affect building energy performance, regardless of the building shapes, scales, ideal locations, and building types, and thus may be able to promote energy efficiency in buildings. In this study, the effects of four fundamental facade properties related to the energy efficiency of office buildings in Tokyo, Japan, were investigated with the purpose of reducing the heating and cooling energy demands. Some fundamental design factors such as volume and shape were also considered. It was found that the reduction in both the solar heat gain coefficient and window U-value and increase in the solar reflectance of the opaque parts are promising measures for reducing the energy demand. Conversely, the reduction in the U-value of the opaque parts decreased the heating energy demand, and this was accompanied by an increase in the cooling energy demand in some cases because the total energy demands were predominantly for cooling. The above-mentioned promising measures for reducing building energy demands are thus recommended for use, and an appropriate U-value should be applied to the opaque parts based on careful considerations. This study provides some fundamental ideas to adjust the facade properties of buildings.","author":[{"dropping-particle":"","family":"Ihara","given":"Takeshi","non-dropping-particle":"","parse-names":false,"suffix":""},{"dropping-particle":"","family":"Gustavsen","given":"Arild","non-dropping-particle":"","parse-names":false,"suffix":""},{"dropping-particle":"","family":"Jelle","given":"Bjørn Petter","non-dropping-particle":"","parse-names":false,"suffix":""}],"container-title":"Applied Energy","id":"ITEM-6","issued":{"date-parts":[["2015"]]},"page":"422-432","title":"Effect of facade components on energy efficiency in office buildings","type":"article-journal","volume":"158"},"uris":["http://www.mendeley.com/documents/?uuid=28d464fb-e5b9-4e13-8d3b-67c596777ac7"]},{"id":"ITEM-7","itemData":{"DOI":"https://doi.org/10.1016/j.proeng.2015.08.431","ISSN":"1877-7058","abstract":"A research showed that shading devices integrated within double skin facades (DSFs) could not only decrease direct solar heat gain but also screen unwanted sound transmission. Many researches also indicated that shading device configuration affected airflow patterns, the air velocity, and the air temperature in a DSF air cavity. At acoustical standpoints, other researches described that shading devices acted as sound barriers, however, the area of a DSF's vent opening could led to an increase in noise transmission. Therefore, the proper controls of shading devices inside a DSF air cavity can contribute to thermal and acoustical comfort with avoiding overheating and noise transmission. This study aimed at evaluating the correlation between natural ventilation potential and noise transmission loss based on the degree of orientation and thickness of vertical shading devices inside a DSF air cavity. The initial findings indicated that vertical shading devices should be controlled appropriately for balancing the requirements of thermal performance, natural ventilation efficiency and noise transmission loss.","author":[{"dropping-particle":"","family":"Lee","given":"Jeehwan","non-dropping-particle":"","parse-names":false,"suffix":""},{"dropping-particle":"","family":"Chang","given":"Jae D","non-dropping-particle":"","parse-names":false,"suffix":""}],"container-title":"Procedia Engineering","id":"ITEM-7","issued":{"date-parts":[["2015"]]},"page":"304-309","title":"Influence on Vertical Shading Device Orientation and Thickness on the Natural Ventilation and Acoustical Performance of a Double Skin Facade","type":"article-journal","volume":"118"},"uris":["http://www.mendeley.com/documents/?uuid=a89121fd-69bf-484c-8753-86f70a1adad4"]},{"id":"ITEM-8","itemData":{"DOI":"https://doi.org/10.1016/j.rser.2015.12.246","ISSN":"1364-0321","abstract":"The primary goal of dynamic building envelopes is to meet and balance antagonistic performance criteria utilizing automatic operation. As opposed to static systems, automated shading and daylighting systems are increasingly being used in façade design with the intent to improve building performance. Taking this into consideration, the question that arises is whether such systems can significantly improve buildings energy performance and occupants</w:instrText>
      </w:r>
      <w:r w:rsidR="008A3122">
        <w:rPr>
          <w:rtl/>
          <w:lang w:bidi="he-IL"/>
        </w:rPr>
        <w:instrText>׳</w:instrText>
      </w:r>
      <w:r w:rsidR="008A3122">
        <w:instrText xml:space="preserve"> visual and thermal comfort. The present paper is a review of dynamic operation methods of shading/daylighting systems and their associated implications in building energy balance. Based on the subject distribution of the reviewed studies, the majority of the systems examined are versions of motorized blinds while the analysis of new emerging ideas on deployable and foldable façade systems is limited. User acceptance is quite crucial and is strongly dependent on the system</w:instrText>
      </w:r>
      <w:r w:rsidR="008A3122">
        <w:rPr>
          <w:rtl/>
          <w:lang w:bidi="he-IL"/>
        </w:rPr>
        <w:instrText>׳</w:instrText>
      </w:r>
      <w:r w:rsidR="008A3122">
        <w:instrText>s intuitive operation. According to the paper findings, energy savings with automatically controlled blinds depend on the type of control strategy and their connection to dimmable electric lighting systems. Even though control strategies enhance energy performance and occupants</w:instrText>
      </w:r>
      <w:r w:rsidR="008A3122">
        <w:rPr>
          <w:rtl/>
          <w:lang w:bidi="he-IL"/>
        </w:rPr>
        <w:instrText>׳</w:instrText>
      </w:r>
      <w:r w:rsidR="008A3122">
        <w:instrText xml:space="preserve"> comfort, their level of complexity highly affects their efficiency and therefore influences their performance.","author":[{"dropping-particle":"","family":"Konstantoglou","given":"Maria","non-dropping-particle":"","parse-names":false,"suffix":""},{"dropping-particle":"","family":"Tsangrassoulis","given":"Aris","non-dropping-particle":"","parse-names":false,"suffix":""}],"container-title":"Renewable and Sustainable Energy Reviews","id":"ITEM-8","issued":{"date-parts":[["2016"]]},"page":"268-283","title":"Dynamic operation of daylighting and shading systems: A literature review","type":"article-journal","volume":"60"},"uris":["http://www.mendeley.com/documents/?uuid=d73142c3-9c95-4b8e-acd2-60f02271695b"]},{"id":"ITEM-9","itemData":{"DOI":"10.1016/j.conbuildmat.2016.12.079","ISSN":"09500618","abstract":"In this study, a methodology for the service life prediction of architectural concrete facades is proposed, following a research line previously developed for other types of claddings, to evaluate their durability. The methodology developed is based on the collection of data in visual inspections. In this study, 174 facades were analysed, during the fieldwork phase, through a survey of the different degradation phenomena. This information is used to define degradation curves, which graphically express the loss of performance of architectural concrete facades over time, evaluating the influence of the degradation agents, allowing estimating a reference service life for this type of coating. The model proposed in this study leads to acceptable and consistent results, adequately translating the degradation observed in reality. However, for some characteristics of architectural concrete facades, it is not possible to obtain unequivocal conclusions, which reveals the high susceptibility of these coatings to the aggressive environmental agents, e.g. sea salts, which act simultaneously on the facade, hindering the determination of the separate influence of these characteristics on the degradation found. This study intends to give a contribution to the service life prediction of exterior facades, allowing defining rational maintenance plans and reducing the costs associated to the buildings refurbishment during their life cycle.","author":[{"dropping-particle":"","family":"Serralheiro","given":"Maria Inês","non-dropping-particle":"","parse-names":false,"suffix":""},{"dropping-particle":"","family":"Brito","given":"Jorge","non-dropping-particle":"de","parse-names":false,"suffix":""},{"dropping-particle":"","family":"Silva","given":"Ana","non-dropping-particle":"","parse-names":false,"suffix":""}],"container-title":"Construction and Building Materials","id":"ITEM-9","issue":"C","issued":{"date-parts":[["2017"]]},"page":"261-274","title":"Methodology for service life prediction of architectural concrete facades","type":"article-journal","volume":"133"},"uris":["http://www.mendeley.com/documents/?uuid=848c24a3-36a0-43e2-bfca-3562c241a1b5"]},{"id":"ITEM-10","itemData":{"DOI":"https://doi.org/10.1016/j.ijsbe.2016.04.004","ISSN":"2212-6090","abstract":"Rapid growing of energy use has raised critical concerns over energy supply difficulties and negative environmental impacts globally and among ASEAN countries. Malaysia is experiencing a high average annual energy demand growth rate of approximately 2.3% which large portion of that energy is used by office buildings. Under the hot-humid climatic conditions in Malaysia, high-rise office buildings with large or fully glazed façades are facing a major problem of overheating due to high solar radiation through the glazed façades. This has caused high cooling energy requirements. The aim of this study is to investigate the potential of three types of shading devices on cooling energy savings when applied at different façade orientations. The aim also extends to investigations on different cooling energy savings when shading devices are applied on façade glazing with different configurations and thermal performances. This was done through a case study of a high-rise office building in Kuala Lumpur, Malaysia using IES (VE) building thermal simulation software. Twenty simulation building models were applied with different shading devices at different façade orientations and with high and low performance façade glazing. The simulation results indicate that high-rise office buildings in Malaysia use approximately 45.9% of total building energy for cooling purposes. The results also suggest that use of various shading devices on low-e double glazed façades will result between 1.0% and 3.4% annual cooling energy savings, depending on the types of shading devices and façade orientations. The estimated annual cooling energy savings increase to between 5.0% and 9.9% when the shading devices are applied to all orientations of low-e double glazed façades. The estimated annual cooling energy savings further increase to between 5.6% and 10.4% when the façade glazing is replaced by single clear glazing. This study recommends prioritizing shading devices on the East and West façades for optimized annual cooling energy savings. The simulation results show that egg-crate shadings are able to produce the highest annual cooling energy savings compared to vertical shadings and horizontal shadings. It is recommended to use shading devices on low performance glazing compared to high performance glazing since the energy savings are more significant when shading devices are used on low performance glazing. In conclusion, the use of shading devices is more effective in achieving cool…","author":[{"dropping-particle":"","family":"Lau","given":"Allen Khin Kiet","non-dropping-particle":"","parse-names":false,"suffix":""},{"dropping-particle":"","family":"Salleh","given":"Elias","non-dropping-particle":"","parse-names":false,"suffix":""},{"dropping-particle":"","family":"Lim","given":"Chin Haw","non-dropping-particle":"","parse-names":false,"suffix":""},{"dropping-particle":"","family":"Sulaiman","given":"Mohamad Yusof","non-dropping-particle":"","parse-names":false,"suffix":""}],"container-title":"International Journal of Sustainable Built Environment","id":"ITEM-10","issue":"2","issued":{"date-parts":[["2016"]]},"page":"387-399","title":"Potential of shading devices and glazing configurations on cooling energy savings for high-rise office buildings in hot-humid climates: The case of Malaysia","type":"article-journal","volume":"5"},"uris":["http://www.mendeley.com/documents/?uuid=eed2467d-bf12-4ca5-a3da-47f685bba37a"]},{"id":"ITEM-11","itemData":{"DOI":"https://doi.org/10.1016/j.enbuild.2015.06.047","ISSN":"0378-7788","abstract":"Facade greening is expected to mitigate urban heat stress through shading, transpiration cooling and thermal insulation. This study quantifies cooling effects of facade greenings for the building and the street canyon and distinguishes between transpiration and shading effects. Additionally it discusses insulation effects. Outdoor experiments were conducted during hot summer periods on three building facades in Berlin, Germany. We determined transpiration rates (sap flow) and surface temperatures of greened and bare walls as well as of plant leaves (temperature probes) of three climbing plants: Parthenocissus tricuspidata, Hedera helix and Fallopia baldschuanica. Furthermore, air temperature, relative humidity and incoming short-wave radiation were measured. No cooling effect was detectable for the street canyon. Surface temperatures of the greened exterior walls were up to 15.5°C lower than those of the bare walls, while it was up to 1.7°C for the interior wall (measured during night-time). The cooling effects mainly depended on shading, whereas a lower proportion was due to transpiration. Insulation of the direct greenings reduced radiation during night-time. We conclude that greening can be an effective strategy to mitigate indoor heat stress as long as the plants are sufficiently irrigated with up to 2.5Lm−2d−1 per wall area.","author":[{"dropping-particle":"","family":"Hoelscher","given":"Marie-Therese","non-dropping-particle":"","parse-names":false,"suffix":""},{"dropping-particle":"","family":"Nehls","given":"Thomas","non-dropping-particle":"","parse-names":false,"suffix":""},{"dropping-particle":"","family":"Jänicke","given":"Britta","non-dropping-particle":"","parse-names":false,"suffix":""},{"dropping-particle":"","family":"Wessolek","given":"Gerd","non-dropping-particle":"","parse-names":false,"suffix":""}],"container-title":"Energy and Buildings","id":"ITEM-11","issued":{"date-parts":[["2016"]]},"page":"283-290","title":"Quantifying cooling effects of facade greening: Shading, transpiration and insulation","type":"article-journal","volume":"114"},"uris":["http://www.mendeley.com/documents/?uuid=21881475-429e-4ea3-bde9-59703b791562"]}],"mendeley":{"formattedCitation":"(Vanhoutteghem et al. 2015; Hachem and Elsayed 2016; Mangkuto, Rohmah, and Asri 2016; Thalfeldt, Kurnitski, and Voll 2015; Goia 2016; Ihara, Gustavsen, and Jelle 2015; Lee and Chang 2015; Konstantoglou and Tsangrassoulis 2016; Serralheiro, de Brito, and Silva 2017; Lau et al. 2016; Hoelscher et al. 2016)","plainTextFormattedCitation":"(Vanhoutteghem et al. 2015; Hachem and Elsayed 2016; Mangkuto, Rohmah, and Asri 2016; Thalfeldt, Kurnitski, and Voll 2015; Goia 2016; Ihara, Gustavsen, and Jelle 2015; Lee and Chang 2015; Konstantoglou and Tsangrassoulis 2016; Serralheiro, de Brito, and Silva 2017; Lau et al. 2016; Hoelscher et al. 2016)","previouslyFormattedCitation":"(Vanhoutteghem et al. 2015; Hachem and Elsayed 2016; Mangkuto, Rohmah, and Asri 2016; Thalfeldt, Kurnitski, and Voll 2015; Goia 2016; Ihara, Gustavsen, and Jelle 2015; Lee and Chang 2015; Konstantoglou and Tsangrassoulis 2016; Serralheiro, de Brito, and Silva 2017; Lau et al. 2016; Hoelscher et al. 2016)"},"properties":{"noteIndex":0},"schema":"https://github.com/citation-style-language/schema/raw/master/csl-citation.json"}</w:instrText>
      </w:r>
      <w:r w:rsidRPr="00AC555D">
        <w:fldChar w:fldCharType="separate"/>
      </w:r>
      <w:r w:rsidR="008A3122" w:rsidRPr="008A3122">
        <w:rPr>
          <w:noProof/>
        </w:rPr>
        <w:t>(Vanhoutteghem et al. 2015; Hachem and Elsayed 2016; Mangkuto, Rohmah, and Asri 2016; Thalfeldt, Kurnitski, and Voll 2015; Goia 2016; Ihara, Gustavsen, and Jelle 2015; Lee and Chang 2015; Konstantoglou and Tsangrassoulis 2016; Serralheiro, de Brito, and Silva 2017; Lau et al. 2016; Hoelscher et al. 2016)</w:t>
      </w:r>
      <w:r w:rsidRPr="00AC555D">
        <w:fldChar w:fldCharType="end"/>
      </w:r>
      <w:r w:rsidRPr="00AC555D">
        <w:t xml:space="preserve">. Some of these studies were done to give guidelines for designing building energy-efficient facade </w:t>
      </w:r>
      <w:r w:rsidRPr="00AC555D">
        <w:fldChar w:fldCharType="begin" w:fldLock="1"/>
      </w:r>
      <w:r w:rsidR="008A3122">
        <w:instrText>ADDIN CSL_CITATION {"citationItems":[{"id":"ITEM-1","itemData":{"DOI":"https://doi.org/10.1016/j.enbuild.2013.02.029","ISSN":"0378-7788","abstract":"One of the most effective actions for reduction of energy loss through the building envelope is to optimize the thermal performance, area and localization of the transparent components in the façade in order to obtain minimal heat losses and optimal solar gains. When considering the thermal performance of these transparent components, one should consider, not only heat loss (or gains) caused by thermal transmission, but also the beneficial effects of incident solar radiation and hence reduced demand for heating and artificial lighting. This study presents calculations for a range of windows as part of a building where the coupled effects of incident solar radiation and thermal transmission heat losses are accounted for in terms of a net energy balance for the various solutions. Effects of varying thermal transmittance values (U-values) are studied in connection with solar heat gain coefficients. Three different rating methods have been proposed and applied to assess the energy performance of several window configurations. It has been found that various rating methods give different energy saving potentials in terms of absolute figures. Furthermore, it has been found that windows, even with existing technology, might outperform an opaque wall in terms of heating and cooling demands.","author":[{"dropping-particle":"","family":"Grynning","given":"Steinar","non-dropping-particle":"","parse-names":false,"suffix":""},{"dropping-particle":"","family":"Gustavsen","given":"Arild","non-dropping-particle":"","parse-names":false,"suffix":""},{"dropping-particle":"","family":"Time","given":"Berit","non-dropping-particle":"","parse-names":false,"suffix":""},{"dropping-particle":"","family":"Jelle","given":"Bjørn Petter","non-dropping-particle":"","parse-names":false,"suffix":""}],"container-title":"Energy and Buildings","id":"ITEM-1","issued":{"date-parts":[["2013"]]},"page":"185-192","title":"Windows in the buildings of tomorrow: Energy losers or energy gainers?","type":"article-journal","volume":"61"},"uris":["http://www.mendeley.com/documents/?uuid=895c327b-b655-4893-b079-698e19971992"]},{"id":"ITEM-2","itemData":{"DOI":"https://doi.org/10.1016/j.enbuild.2013.08.027","ISSN":"0378-7788","abstract":"Cost optimal and as energy efficient as possible façade solutions, including window properties, external wall insulation, window-to-wall ratio and external shading were determined with energy and daylight simulations in the cold climate of Estonia. Heating dominated in the energy balance and therefore windows with higher number of panes and low emissivity coatings improved energy performance. The window sizes resulting in best energy performance for double and triple glazing were as small as daylight requirements allow, 22–24% respectively. For quadruple and hypothetical quintuple glazing the optimal window-to-wall ratios were larger, about 40% and 60% respectively, because of daylight utilization and good solar factor naturally provided by so many panes. The cost optimal façade solution was highly transparent triple low emissivity glazing with window-to-wall ratios of about 25% and external wall insulation thickness of 200mm (U=0.16). Dynamic external shading gave positive effect on energy performance only in case of large window sizes whereas due to high investment cost it was not financially feasible. Limited number of simulations with Central European climate showed that triple glazing with double low emissivity coating and window-to-wall ratio of about 40%, i.e. slightly larger and with external shading compared to Estonian cost optimal one, clearly outperformed conventional design.","author":[{"dropping-particle":"","family":"Thalfeldt","given":"Martin","non-dropping-particle":"","parse-names":false,"suffix":""},{"dropping-particle":"","family":"Pikas","given":"Ergo","non-dropping-particle":"","parse-names":false,"suffix":""},{"dropping-particle":"","family":"Kurnitski","given":"Jarek","non-dropping-particle":"","parse-names":false,"suffix":""},{"dropping-particle":"","family":"Voll","given":"Hendrik","non-dropping-particle":"","parse-names":false,"suffix":""}],"container-title":"Energy and Buildings","id":"ITEM-2","issued":{"date-parts":[["2013"]]},"page":"309-321","title":"Facade design principles for nearly zero energy buildings in a cold climate","type":"article-journal","volume":"67"},"uris":["http://www.mendeley.com/documents/?uuid=6d8855cb-0269-4069-9e8d-76bded292ace"]}],"mendeley":{"formattedCitation":"(Grynning et al. 2013; Thalfeldt et al. 2013)","plainTextFormattedCitation":"(Grynning et al. 2013; Thalfeldt et al. 2013)","previouslyFormattedCitation":"(Grynning et al. 2013; Thalfeldt et al. 2013)"},"properties":{"noteIndex":0},"schema":"https://github.com/citation-style-language/schema/raw/master/csl-citation.json"}</w:instrText>
      </w:r>
      <w:r w:rsidRPr="00AC555D">
        <w:fldChar w:fldCharType="separate"/>
      </w:r>
      <w:r w:rsidR="008A3122" w:rsidRPr="008A3122">
        <w:rPr>
          <w:noProof/>
        </w:rPr>
        <w:t>(Grynning et al. 2013; Thalfeldt et al. 2013)</w:t>
      </w:r>
      <w:r w:rsidRPr="00AC555D">
        <w:fldChar w:fldCharType="end"/>
      </w:r>
      <w:r w:rsidRPr="00AC555D">
        <w:t xml:space="preserve">. Pikas, et al. (2014) evaluated the most effective elements and techniques in façade design </w:t>
      </w:r>
      <w:r w:rsidRPr="00AC555D">
        <w:lastRenderedPageBreak/>
        <w:t xml:space="preserve">to be used in current buildings </w:t>
      </w:r>
      <w:r w:rsidRPr="00AC555D">
        <w:fldChar w:fldCharType="begin" w:fldLock="1"/>
      </w:r>
      <w:r w:rsidR="008A3122">
        <w:instrText>ADDIN CSL_CITATION {"citationItems":[{"id":"ITEM-1","itemData":{"DOI":"10.1016/j.enbuild.2014.01.039","author":[{"dropping-particle":"","family":"Pikas","given":"Ergo","non-dropping-particle":"","parse-names":false,"suffix":""},{"dropping-particle":"","family":"Thalfeldt","given":"Martin","non-dropping-particle":"","parse-names":false,"suffix":""},{"dropping-particle":"","family":"Kurnitski","given":"Jarek","non-dropping-particle":"","parse-names":false,"suffix":""}],"container-title":"Energy and Buildings","id":"ITEM-1","issued":{"date-parts":[["2014","5","1"]]},"page":"30–42","title":"Cost optimal and nearly zero energy building solutions for office buildings","type":"article-journal","volume":"74"},"uris":["http://www.mendeley.com/documents/?uuid=71dcfbb7-e712-414e-9064-a94cde667aff"]}],"mendeley":{"formattedCitation":"(Pikas, Thalfeldt, and Kurnitski 2014)","plainTextFormattedCitation":"(Pikas, Thalfeldt, and Kurnitski 2014)","previouslyFormattedCitation":"(Pikas, Thalfeldt, and Kurnitski 2014)"},"properties":{"noteIndex":0},"schema":"https://github.com/citation-style-language/schema/raw/master/csl-citation.json"}</w:instrText>
      </w:r>
      <w:r w:rsidRPr="00AC555D">
        <w:fldChar w:fldCharType="separate"/>
      </w:r>
      <w:r w:rsidR="008A3122" w:rsidRPr="008A3122">
        <w:rPr>
          <w:noProof/>
        </w:rPr>
        <w:t>(Pikas, Thalfeldt, and Kurnitski 2014)</w:t>
      </w:r>
      <w:r w:rsidRPr="00AC555D">
        <w:fldChar w:fldCharType="end"/>
      </w:r>
      <w:r w:rsidRPr="00AC555D">
        <w:t xml:space="preserve">. Payback times and investment cost of façade design have also been thoroughly described by </w:t>
      </w:r>
      <w:proofErr w:type="spellStart"/>
      <w:r w:rsidRPr="00AC555D">
        <w:t>Thalfeldt</w:t>
      </w:r>
      <w:proofErr w:type="spellEnd"/>
      <w:r w:rsidRPr="00AC555D">
        <w:t xml:space="preserve"> et al. (2013).</w:t>
      </w:r>
    </w:p>
    <w:p w14:paraId="403B3FA6" w14:textId="4218C5A4" w:rsidR="00ED63B3" w:rsidRPr="00AC555D" w:rsidRDefault="00ED63B3" w:rsidP="005D4AF3">
      <w:pPr>
        <w:pStyle w:val="Newparagraph"/>
        <w:spacing w:line="240" w:lineRule="auto"/>
        <w:jc w:val="both"/>
      </w:pPr>
      <w:r w:rsidRPr="00AC555D">
        <w:t xml:space="preserve">Analysis of the vernacular settlements in </w:t>
      </w:r>
      <w:proofErr w:type="spellStart"/>
      <w:r w:rsidRPr="00AC555D">
        <w:t>Ushguli</w:t>
      </w:r>
      <w:proofErr w:type="spellEnd"/>
      <w:r w:rsidRPr="00AC555D">
        <w:t xml:space="preserve"> shows the overlapping between private and public spaces without any street or square. There is no dominating facade or hierarchical composition </w:t>
      </w:r>
      <w:r w:rsidRPr="00AC555D">
        <w:fldChar w:fldCharType="begin" w:fldLock="1"/>
      </w:r>
      <w:r w:rsidR="008A3122">
        <w:instrText>ADDIN CSL_CITATION {"citationItems":[{"id":"ITEM-1","itemData":{"DOI":"10.5194/isprs-archives-XLIV-M-1-2020-189-2020","author":[{"dropping-particle":"","family":"Sousa","given":"Goreti","non-dropping-particle":"","parse-names":false,"suffix":""},{"dropping-particle":"","family":"Carlos","given":"Gilberto","non-dropping-particle":"","parse-names":false,"suffix":""},{"dropping-particle":"","family":"Florentino","given":"Rui","non-dropping-particle":"","parse-names":false,"suffix":""},{"dropping-particle":"","family":"Bermudez","given":"T","non-dropping-particle":"","parse-names":false,"suffix":""}],"container-title":"ISPRS - International Archives of the Photogrammetry, Remote Sensing and Spatial Information Sciences","id":"ITEM-1","issued":{"date-parts":[["2020","7","24"]]},"page":"189-193","title":"MULTIDISCIPLINARY ANALYSIS OF THE VERNACULAR SETTLEMENTS IN USHGULI (UPPER SVANETI, GEORGIA)","type":"article-journal","volume":"XLIV-M-1-2"},"uris":["http://www.mendeley.com/documents/?uuid=c265c139-51f0-4d4e-bed4-b476bf1d0d14"]}],"mendeley":{"formattedCitation":"(Sousa et al. 2020)","plainTextFormattedCitation":"(Sousa et al. 2020)","previouslyFormattedCitation":"(Sousa et al. 2020)"},"properties":{"noteIndex":0},"schema":"https://github.com/citation-style-language/schema/raw/master/csl-citation.json"}</w:instrText>
      </w:r>
      <w:r w:rsidRPr="00AC555D">
        <w:fldChar w:fldCharType="separate"/>
      </w:r>
      <w:r w:rsidR="008A3122" w:rsidRPr="008A3122">
        <w:rPr>
          <w:noProof/>
        </w:rPr>
        <w:t>(Sousa et al. 2020)</w:t>
      </w:r>
      <w:r w:rsidRPr="00AC555D">
        <w:fldChar w:fldCharType="end"/>
      </w:r>
      <w:r w:rsidRPr="00AC555D">
        <w:t xml:space="preserve">. The façade of timber houses in Arakawa Village are designed along the wind direction, with a closed front façade to mitigate the effect of wind attacks </w:t>
      </w:r>
      <w:r w:rsidRPr="00AC555D">
        <w:fldChar w:fldCharType="begin" w:fldLock="1"/>
      </w:r>
      <w:r w:rsidR="008A3122">
        <w:instrText>ADDIN CSL_CITATION {"citationItems":[{"id":"ITEM-1","itemData":{"DOI":"10.1080/13467581.2021.1972810","author":[{"dropping-particle":"","family":"Wang","given":"Jingying","non-dropping-particle":"","parse-names":false,"suffix":""},{"dropping-particle":"","family":"Ochiai","given":"Chiho","non-dropping-particle":"","parse-names":false,"suffix":""}],"container-title":"Journal of Asian Architecture and Building Engineering","id":"ITEM-1","issued":{"date-parts":[["2021","10","1"]]},"page":"1-15","title":"Spatial composition and building techniques of farmhouses prone to windstorms:a case study in Arakawa Village, Shiga Prefecture, Japan","type":"article-journal"},"uris":["http://www.mendeley.com/documents/?uuid=c5d6729b-a330-4691-847b-3ef864dc9018"]}],"mendeley":{"formattedCitation":"(J. Wang and Ochiai 2021)","plainTextFormattedCitation":"(J. Wang and Ochiai 2021)","previouslyFormattedCitation":"(J. Wang and Ochiai 2021)"},"properties":{"noteIndex":0},"schema":"https://github.com/citation-style-language/schema/raw/master/csl-citation.json"}</w:instrText>
      </w:r>
      <w:r w:rsidRPr="00AC555D">
        <w:fldChar w:fldCharType="separate"/>
      </w:r>
      <w:r w:rsidR="008A3122" w:rsidRPr="008A3122">
        <w:rPr>
          <w:noProof/>
        </w:rPr>
        <w:t>(J. Wang and Ochiai 2021)</w:t>
      </w:r>
      <w:r w:rsidRPr="00AC555D">
        <w:fldChar w:fldCharType="end"/>
      </w:r>
      <w:r w:rsidRPr="00AC555D">
        <w:t xml:space="preserve">. </w:t>
      </w:r>
      <w:proofErr w:type="spellStart"/>
      <w:r w:rsidRPr="00AC555D">
        <w:t>Foged</w:t>
      </w:r>
      <w:proofErr w:type="spellEnd"/>
      <w:r w:rsidRPr="00AC555D">
        <w:t xml:space="preserve"> has investigated the thermal performances of Spanish Balcony as a vernacular envelope with operable elements. In Spanish balcony, the building envelope has consisted of vertical operable blinds, wooden foldable frames, and vertical rotational shutters. Based on the results, the facades’ operable elements significantly impact adaptive thermal comfort temperatures </w:t>
      </w:r>
      <w:r w:rsidRPr="00AC555D">
        <w:fldChar w:fldCharType="begin" w:fldLock="1"/>
      </w:r>
      <w:r w:rsidR="008A3122">
        <w:instrText>ADDIN CSL_CITATION {"citationItems":[{"id":"ITEM-1","itemData":{"DOI":"10.3390/buildings9040080","ISBN":"2075-5309","abstract":"Many operable and complementary layers make up a vernacular adaptive envelope. With vertical operable translucent textile blinds, horizontal foldable glass doors with thin structural framing, wooden horizontal foldable frames with vertical rotational shutters, plants with dynamic densities, humidity concentrations, and opaque operable textile blinds forming the deep responsive fa&amp;ccedil;ades of many Southern European buildings as part of the building envelope. This low-tech configuration utilizes behavioral human interaction with the building. On their own, these are singular mechanisms, but as coupled systems, they become highly advanced adaptive building systems used to balance temperature sensations. The research investigates such an adaptive envelope structure through identification of operable elements and their thermal and energy performances through computer simulation models. The designed research computational model includes assessment of heat reception and transfer, resultant operative temperatures, and adaptive comfort sensations. The aim of the research and the material presented in this paper is understanding the performance of native, local, low-tech systems as an opposing approach to contemporary high-tech, complex mechanical systems. The study finds that the operable elements and various compositions make a significant, yet less than anticipated, impact on adaptive thermal comfort temperatures.","author":[{"dropping-particle":"","family":"Foged","given":"Isak W","non-dropping-particle":"","parse-names":false,"suffix":""}],"container-title":"Buildings ","id":"ITEM-1","issue":"4","issued":{"date-parts":[["2019"]]},"title":"Thermal Responsive Performances of a Spanish Balcony-Based Vernacular Envelope","type":"article","volume":"9"},"uris":["http://www.mendeley.com/documents/?uuid=2ae11d3e-0fe1-4409-881d-1526aed47841"]}],"mendeley":{"formattedCitation":"(Foged 2019)","plainTextFormattedCitation":"(Foged 2019)","previouslyFormattedCitation":"(Foged 2019)"},"properties":{"noteIndex":0},"schema":"https://github.com/citation-style-language/schema/raw/master/csl-citation.json"}</w:instrText>
      </w:r>
      <w:r w:rsidRPr="00AC555D">
        <w:fldChar w:fldCharType="separate"/>
      </w:r>
      <w:r w:rsidR="008A3122" w:rsidRPr="008A3122">
        <w:rPr>
          <w:noProof/>
        </w:rPr>
        <w:t>(Foged 2019)</w:t>
      </w:r>
      <w:r w:rsidRPr="00AC555D">
        <w:fldChar w:fldCharType="end"/>
      </w:r>
    </w:p>
    <w:p w14:paraId="3C058EAF" w14:textId="4FB570B4" w:rsidR="00ED63B3" w:rsidRPr="00AC555D" w:rsidRDefault="00ED63B3" w:rsidP="005D4AF3">
      <w:pPr>
        <w:pStyle w:val="Newparagraph"/>
        <w:spacing w:line="240" w:lineRule="auto"/>
        <w:jc w:val="both"/>
        <w:rPr>
          <w:rtl/>
        </w:rPr>
      </w:pPr>
      <w:r w:rsidRPr="00AC555D">
        <w:t xml:space="preserve">Few Analyses have been conducted on traditional Turkish architecture including the façade design and some of the architectural features of a rural settlement. The facade characteristics of a traditional Turkish house are defined as no window facing the street in the ground-floor walls while double windows facing the street are used on the first floor </w:t>
      </w:r>
      <w:r w:rsidRPr="00AC555D">
        <w:fldChar w:fldCharType="begin" w:fldLock="1"/>
      </w:r>
      <w:r w:rsidR="008A3122">
        <w:instrText>ADDIN CSL_CITATION {"citationItems":[{"id":"ITEM-1","itemData":{"DOI":"10.1007/978-3-030-10871-7_14","ISBN":"978-3-030-10871-7","abstract":"Alaaddinbey is a small rural hometown located in the north-west skirts of Uludag Mountain, in Nilüfer, Bursa. It was a waqf village that Orhan Gazi had given to his brother Alaaddin Bey. Alaaddinbey Village is one of the rural areas that represent the architectural characteristics of traditional houses in Bursa. At present, new residential and industrial buildings take place in surroundings. Traditional houses are under risk of demolition and vanish because of zoning stress, changing lifestyles and lack of legal protection. In this paper, the traditional urban pattern of the village, plan and facade characteristics, construction techniques and building materials of traditional houses were analysed. The causes of decay of buildings and conservation issues were studied, and recommendations were developed for conservation and survival of traditional houses and urban pattern.","author":[{"dropping-particle":"","family":"Acar Bilgin","given":"Elif","non-dropping-particle":"","parse-names":false,"suffix":""}],"editor":[{"dropping-particle":"","family":"Hawkes","given":"Dean","non-dropping-particle":"","parse-names":false,"suffix":""},{"dropping-particle":"","family":"Bougdah","given":"Hocine","non-dropping-particle":"","parse-names":false,"suffix":""},{"dropping-particle":"","family":"Rosso","given":"Federica","non-dropping-particle":"","parse-names":false,"suffix":""},{"dropping-particle":"","family":"Cavalagli","given":"Nicola","non-dropping-particle":"","parse-names":false,"suffix":""},{"dropping-particle":"","family":"Yousef M. Ghoneem","given":"Mahmoud","non-dropping-particle":"","parse-names":false,"suffix":""},{"dropping-particle":"","family":"Alalouch","given":"Chaham","non-dropping-particle":"","parse-names":false,"suffix":""},{"dropping-particle":"","family":"Mohareb","given":"Nabil","non-dropping-particle":"","parse-names":false,"suffix":""}],"id":"ITEM-1","issued":{"date-parts":[["2019"]]},"page":"161-178","publisher":"Springer International Publishing","publisher-place":"Cham","title":"Rural Architectural Characteristics and Conservation Issues of Alaaddinbey Village in Bursa, Turkey BT  - Conservation of Architectural Heritage: A Culmination of Selected Research Papers from the Second International Conference on Conservation of Archite","type":"chapter"},"uris":["http://www.mendeley.com/documents/?uuid=0895c5db-9065-432c-9202-e9ce08746280"]}],"mendeley":{"formattedCitation":"(Acar Bilgin 2019)","plainTextFormattedCitation":"(Acar Bilgin 2019)","previouslyFormattedCitation":"(Acar Bilgin 2019)"},"properties":{"noteIndex":0},"schema":"https://github.com/citation-style-language/schema/raw/master/csl-citation.json"}</w:instrText>
      </w:r>
      <w:r w:rsidRPr="00AC555D">
        <w:fldChar w:fldCharType="separate"/>
      </w:r>
      <w:r w:rsidR="008A3122" w:rsidRPr="008A3122">
        <w:rPr>
          <w:noProof/>
        </w:rPr>
        <w:t>(Acar Bilgin 2019)</w:t>
      </w:r>
      <w:r w:rsidRPr="00AC555D">
        <w:fldChar w:fldCharType="end"/>
      </w:r>
      <w:r w:rsidRPr="00AC555D">
        <w:t xml:space="preserve">. The features, plan and facade types of traditional Turkish houses have been determined in a study. The facades usually have rectangular, arched or trellised windows. The common features between facades are a cantilevered bay window, central overhangs, wooden buttresses and decorative elements and double-leaf doors partitioned in two or three parts are the characteristics of the entrances </w:t>
      </w:r>
      <w:r w:rsidRPr="00AC555D">
        <w:fldChar w:fldCharType="begin" w:fldLock="1"/>
      </w:r>
      <w:r w:rsidR="008A3122">
        <w:instrText>ADDIN CSL_CITATION {"citationItems":[{"id":"ITEM-1","itemData":{"DOI":"10.5755/j01.sace.28.1.27947","author":[{"dropping-particle":"","family":"Ayla","given":"Zeyneb","non-dropping-particle":"","parse-names":false,"suffix":""},{"dropping-particle":"","family":"Eruzun","given":"Kirenci","non-dropping-particle":"","parse-names":false,"suffix":""}],"container-title":"Journal of Sustainable Architecture and Civil Engineering","id":"ITEM-1","issue":"28","issued":{"date-parts":[["2021"]]},"page":"40-55","title":"An Analysis of the Plan and Facade Typologies of Boyabat ’ s Traditional Turkish Houses","type":"article-journal","volume":"1"},"uris":["http://www.mendeley.com/documents/?uuid=01db867d-98e5-47ad-8456-fa1255b1fb2a"]}],"mendeley":{"formattedCitation":"(Ayla and Eruzun 2021)","plainTextFormattedCitation":"(Ayla and Eruzun 2021)","previouslyFormattedCitation":"(Ayla and Eruzun 2021)"},"properties":{"noteIndex":0},"schema":"https://github.com/citation-style-language/schema/raw/master/csl-citation.json"}</w:instrText>
      </w:r>
      <w:r w:rsidRPr="00AC555D">
        <w:fldChar w:fldCharType="separate"/>
      </w:r>
      <w:r w:rsidR="008A3122" w:rsidRPr="008A3122">
        <w:rPr>
          <w:noProof/>
        </w:rPr>
        <w:t>(Ayla and Eruzun 2021)</w:t>
      </w:r>
      <w:r w:rsidRPr="00AC555D">
        <w:fldChar w:fldCharType="end"/>
      </w:r>
      <w:r w:rsidRPr="00AC555D">
        <w:t>.</w:t>
      </w:r>
    </w:p>
    <w:p w14:paraId="3C3F9F13" w14:textId="55FB5560" w:rsidR="00ED63B3" w:rsidRPr="00AC555D" w:rsidRDefault="00ED63B3" w:rsidP="005D4AF3">
      <w:pPr>
        <w:pStyle w:val="Newparagraph"/>
        <w:spacing w:line="240" w:lineRule="auto"/>
        <w:jc w:val="both"/>
        <w:rPr>
          <w:rtl/>
        </w:rPr>
      </w:pPr>
      <w:r w:rsidRPr="00AC555D">
        <w:t xml:space="preserve">As so most of the previous studies investigated new building facades; however, façade properties of vernacular buildings have been rarely studied especially from the environmental point of view. On the other hand, vernacular architecture is recognized as a practical, effective solution for energy efficient design due to its adaptation to the climate and its context </w:t>
      </w:r>
      <w:r w:rsidRPr="00AC555D">
        <w:fldChar w:fldCharType="begin" w:fldLock="1"/>
      </w:r>
      <w:r w:rsidR="008A3122">
        <w:instrText>ADDIN CSL_CITATION {"citationItems":[{"id":"ITEM-1","itemData":{"DOI":"https://doi.org/10.1016/j.enbuild.2009.10.002","ISSN":"0378-7788","abstract":"Building has significant impacts on the environment and natural resources. The emerging world energy and environment challenges demand a substantial revolution of building design philosophies, strategies, technologies, and construction methods. Vernacular architectures, built by people whose design decisions are influenced by traditions in their culture, have been gleaned through a long period of trial and error and the ingenuity of local builders who possess specific knowledge about their place on the planet, and thus are valuable in promoting climate-specific passive building technologies to modern buildings. This study introduced an approach to categorizing distinct vernacular regions and evaluating energy performance of ancient vernacular homes as well as identifying optimal constructions using vernacular building techniques. The research conducted an extensive computer energy modeling for a number of representative ancient vernacular architectural characteristics observed for different climatic regions. The vernacular test subjects were compared against those established according to the International Energy Conservation Code and those generated by the optimization software. The simulation results of the energy models suggest that considering traditions seen in ancient vernacular architecture as an approach to improving building energy performance is a worthwhile endeavor and a scientific guidance can help enhance the performance. The study indicates that, although many vernacular dwells exist in the world, it is challenging (but desired) to package vernacular architecture traditions and quantitative design knowledge to modern building designers. This project is the first part of a much larger project that intends to create a knowledge base of vernacular building traditions that will include information about not only the energy performance of traditional building techniques, but also address areas of cost, material availability and cultural traditions.","author":[{"dropping-particle":"","family":"Zhai","given":"Zhiqiang (John)","non-dropping-particle":"","parse-names":false,"suffix":""},{"dropping-particle":"","family":"Previtali","given":"Jonathan M","non-dropping-particle":"","parse-names":false,"suffix":""}],"container-title":"Energy and Buildings","id":"ITEM-1","issue":"3","issued":{"date-parts":[["2010"]]},"page":"357-365","title":"Ancient vernacular architecture: characteristics categorization and energy performance evaluation","type":"article-journal","volume":"42"},"uris":["http://www.mendeley.com/documents/?uuid=dd743f1c-5bf9-4d9a-95fc-94910c272e2a"]},{"id":"ITEM-2","itemData":{"DOI":"https://doi.org/10.1016/j.enbuild.2014.06.022","ISSN":"0378-7788","abstract":"Vernacular architecture is the result of hundreds of years of optimization to provide a comfortable shelter in a local climate using available materials and known construction technologies. Due to the absence of mechanical means, traditional buildings use solar passive measures to achieve thermal comfort conditions. In most developing countries it can be observed that with the modernization of the building sector this traditional knowledge of smart and climate responsive design is being lost. Instead the modern building design is dominated by universal architecture that neglects local climate conditions and traditional construction techniques and materials. This paper reviews examples of vernacular architecture and its building elements in Nepal and analyses in a qualitative manner which bioclimatic design strategies were applied.","author":[{"dropping-particle":"","family":"Bodach","given":"Susanne","non-dropping-particle":"","parse-names":false,"suffix":""},{"dropping-particle":"","family":"Lang","given":"Werner","non-dropping-particle":"","parse-names":false,"suffix":""},{"dropping-particle":"","family":"Hamhaber","given":"Johannes","non-dropping-particle":"","parse-names":false,"suffix":""}],"container-title":"Energy and Buildings","id":"ITEM-2","issued":{"date-parts":[["2014"]]},"page":"227-242","title":"Climate responsive building design strategies of vernacular architecture in Nepal","type":"article-journal","volume":"81"},"uris":["http://www.mendeley.com/documents/?uuid=bfa10d07-a0f1-4c2a-b182-f25f64f09583"]},{"id":"ITEM-3","itemData":{"author":[{"dropping-particle":"","family":"Philokyprou","given":"Maria","non-dropping-particle":"","parse-names":false,"suffix":""},{"dropping-particle":"","family":"Michael","given":"Aimilios","non-dropping-particle":"","parse-names":false,"suffix":""},{"dropping-particle":"","family":"Malaktou","given":"Eleni","non-dropping-particle":"","parse-names":false,"suffix":""},{"dropping-particle":"","family":"Savvides","given":"Andreas","non-dropping-particle":"","parse-names":false,"suffix":""}],"container-title":"Building and Environment","id":"ITEM-3","issued":{"date-parts":[["2017"]]},"page":"91-109","title":"Environmentally responsive design in Eastern Mediterranean. The case of vernacular architecture in the coastal, lowland and mountainous regions of Cyprus","type":"article-journal","volume":"111"},"uris":["http://www.mendeley.com/documents/?uuid=57da4f6c-1557-47cb-9963-0c6aea88d833"]},{"id":"ITEM-4","itemData":{"DOI":"https://doi.org/10.1016/j.enbuild.2016.07.051","ISSN":"0378-7788","abstract":"Nowadays one of the most pressing objectives toward a sustainable development is to construct bioclimatic passive buildings. Vernacular architecture is more and more recognized as a source of inspiration for facing this challenge. The main purpose of this paper is to identify how and how much vernacular architecture implements the most performing bioclimatic strategies in the Mediterranean climate. The work starts from the analysis of the island of Sardinia as a case study. The bioclimatic strategies are analyzed by applying the adaptive thermal comfort approach. Several Design Reference Years (DRYs) are defined by elaborating climate data from stations all over regional territory, and then they are inputted in Szokolay’s bioclimatic chart. The results of the analysis are then compared with the characteristics of the Sardinian vernacular built heritage, to verify if and how those strategies were applied. The findings reveal that, in Mediterranean mild, but variable, climate, vernacular architecture incorporates bioclimatic strategies in order to meet both underheating and overheating needs in different ways. In some cases there can be found a strong correlation between constructive and morphological features and climatic contexts.","author":[{"dropping-particle":"","family":"Desogus","given":"Giuseppe","non-dropping-particle":"","parse-names":false,"suffix":""},{"dropping-particle":"","family":"Felice Cannas","given":"Leonardo Giuseppe","non-dropping-particle":"","parse-names":false,"suffix":""},{"dropping-particle":"","family":"Sanna","given":"Antonello","non-dropping-particle":"","parse-names":false,"suffix":""}],"container-title":"Energy and Buildings","id":"ITEM-4","issued":{"date-parts":[["2016"]]},"page":"574-588","title":"Bioclimatic lessons from Mediterranean vernacular architecture: The Sardinian case study","type":"article-journal","volume":"129"},"uris":["http://www.mendeley.com/documents/?uuid=18a3da58-5601-461e-b39c-3298bbf20f83"]},{"id":"ITEM-5","itemData":{"DOI":"10.1016/j.buildenv.2014.08.022","author":[{"dropping-particle":"","family":"Du","given":"Xiaoyu","non-dropping-particle":"","parse-names":false,"suffix":""},{"dropping-particle":"","family":"Bokel","given":"Regina","non-dropping-particle":"","parse-names":false,"suffix":""},{"dropping-particle":"","family":"Dobbelsteen","given":"Andy","non-dropping-particle":"","parse-names":false,"suffix":""}],"container-title":"Building and Environment","id":"ITEM-5","issued":{"date-parts":[["2014","12","1"]]},"page":"215–227","title":"Building microclimate and summer thermal comfort in free-running buildings with diverse spaces: A Chinese vernacular house case","type":"article-journal","volume":"82"},"uris":["http://www.mendeley.com/documents/?uuid=5fc549f2-2567-4792-8d56-376141442d62"]},{"id":"ITEM-6","itemData":{"DOI":"https://doi.org/10.1016/j.buildenv.2008.05.026","ISSN":"0360-1323","abstract":"Sernikaki is a Greek vernacular settlement that can be imagined as a living organism is the outcome of centuries of optimization of material use, construction techniques and climate considerations. Being mountainous and isolated, this small vernacular settlement has preserved old types of dwellings longer than other areas in Phokida, in mainland Greece, and it can, thus, provide rich material for the understanding of architectural continuity and evolution. In this study, various types of adobe dwellings are surveyed and their response to climate, in terms of site and building design, is evaluated. In addition, the techniques of creating microclimatic conditions by incorporating the existing environmental parameters into the design are considered. Bioclimatic design employs appropriate technologies and design principles based on a thoughtful approach to climate and environment. It is concerned with the layout of the buildings (orientation in relation to sun and wind, aspect ratio), the spacing (site planning), the air movement, the openings (size–position, protection), and the building envelope (walls: construction materials-thickness, roof construction detailing). This paper evaluates specific vernacular dwelling types and their response to climate, based on passive design principles that could be adapted to current architectural practice in the area, in order to optimize the relationship between site, building and climate.","author":[{"dropping-particle":"","family":"Anna-Maria","given":"Vissilia","non-dropping-particle":"","parse-names":false,"suffix":""}],"container-title":"Building and Environment","id":"ITEM-6","issue":"6","issued":{"date-parts":[["2009"]]},"page":"1095-1106","title":"Evaluation of a sustainable Greek vernacular settlement and its landscape: Architectural typology and building physics","type":"article-journal","volume":"44"},"uris":["http://www.mendeley.com/documents/?uuid=273938f9-8a9e-4a4e-900f-20881f226c29"]},{"id":"ITEM-7","itemData":{"author":[{"dropping-particle":"","family":"Singh","given":"Manoj Kumar","non-dropping-particle":"","parse-names":false,"suffix":""},{"dropping-particle":"","family":"Mahapatra","given":"Sadhan","non-dropping-particle":"","parse-names":false,"suffix":""},{"dropping-particle":"","family":"Atreya","given":"Srinivas","non-dropping-particle":"","parse-names":false,"suffix":""}],"container-title":"Building and Environment","id":"ITEM-7","issued":{"date-parts":[["2010"]]},"page":"320-329","title":"Thermal performance study and evaluation of comfort temperatures in vernacular buildings of North-East India","type":"article-journal","volume":"45"},"uris":["http://www.mendeley.com/documents/?uuid=4db4c7b8-35e4-4726-99b2-33e52b3b9a91"]},{"id":"ITEM-8","itemData":{"DOI":"10.1016/j.enbuild.2010.01.002","ISSN":"03787788","abstract":"The modern day practice does not give due respect to passive and natural environment control measures in buildings. With modern materials and technology, the buildings of present architectural style results in high energy consumption, in an attempt to provide thermal comfort indoors. The vernacular architecture at any place on the other hand has evolved through ages by consistent and continuous effort for more efficient and perfect solutions. The authors have conducted a qualitative analysis of the passive environment control system of vernacular residential architecture of Kerala that is known for ages for its use of natural and passive methods for a comfortable indoor environment. The orientation of building, internal arrangement of spaces, the presence of internal courtyard, use of locally available materials and special methods of construction, etc. have together created the indoor environment. A quantitative analysis was also carried out based on field experiments by recording thermal comfort parameters in a selected building. The study has provided positive results confirming that the passive environment control system employed in Kerala vernacular architecture is highly effective in providing thermal comfort indoors in all seasons. © 2010 Elsevier B.V. All rights reserved.","author":[{"dropping-particle":"","family":"Dili","given":"A. S.","non-dropping-particle":"","parse-names":false,"suffix":""},{"dropping-particle":"","family":"Naseer","given":"M. A.","non-dropping-particle":"","parse-names":false,"suffix":""},{"dropping-particle":"","family":"Varghese","given":"T. Zacharia","non-dropping-particle":"","parse-names":false,"suffix":""}],"container-title":"Energy and Buildings","id":"ITEM-8","issue":"6","issued":{"date-parts":[["2010"]]},"page":"917-927","title":"Passive environment control system of Kerala vernacular residential architecture for a comfortable indoor environment: A qualitative and quantitative analyses","type":"article-journal","volume":"42"},"uris":["http://www.mendeley.com/documents/?uuid=66556848-3ec8-4e9f-844a-1771423e1854"]},{"id":"ITEM-9","itemData":{"DOI":"https://doi.org/10.1016/j.sbspro.2015.02.408","ISSN":"1877-0428","abstract":"The main purpose of this paper is to determine potential vernacular passive cooling strategies for improving thermal comfort of modern urban houses in hot-humid climate of Malaysia. Field measurements were carried out in two traditional timber Malay houses and two traditional masonry Chinese shophouses to investigate their indoor thermal environments and passive cooling techniques. The results of the former showed that the indoor air temperatures were higher than the outdoor air temperatures by 1°C during daytime under open window conditions and 2°C at night under closed window conditions on average. The results of the latter revealed that indoor air temperatures adjacent to small courtyards were lower than immediate outdoors by up to 5-6°C during daytime; at night, the indoor air temperatures maintained values similar to the outdoors. The small courtyards were effective to enhance night ventilation and nocturnal radiant cooling in the high mass shophouses. When assessed using an adaptive thermal comfort equation for hot-humid climates, the periods of indoor operative temperatures exceeding the 80% comfort upper limit in the Malay houses, Chinese shophouses, daytime ventilated and night ventilated terraced houses were 47%, 7-8%, 91% and 42%, respectively on fair weather days. By comparing these evaluations and relationships between indoor and outdoor thermal conditions of all houses, potential passive cooling strategies for the existing terraced houses including night ventilation, roof/ceiling insulation, window/wall shading, courtyard/forced ventilation, and microclimate and urban heat island mitigation were discussed.","author":[{"dropping-particle":"","family":"Kubota","given":"Tetsu","non-dropping-particle":"","parse-names":false,"suffix":""},{"dropping-particle":"","family":"Toe","given":"Doris Hooi Chyee","non-dropping-particle":"","parse-names":false,"suffix":""}],"container-title":"Procedia - Social and Behavioral Sciences","id":"ITEM-9","issued":{"date-parts":[["2015"]]},"page":"29-39","title":"Application of Passive Cooling Techniques in Vernacular Houses to Modern Urban Houses: A Case Study of Malaysia","type":"article-journal","volume":"179"},"uris":["http://www.mendeley.com/documents/?uuid=56cb7a58-ae1e-450d-bd2c-0967f29b7dd7"]},{"id":"ITEM-10","itemData":{"abstract":"In this study a comprehensive review of vernacular architecture research status is presented. The objective of the study is to identify energy efficient vernacular architecture features affecting indoor thermal comfort conditions for adaptation in modern architecture to suit present day lifestyles. The main features identified are: built mass design, orientation with respect to sun, space planning, openings, sunspace provision, construction techniques, and building and roof materials. Earth with its low compressive strength and durability is found to be prominently used vernacular building material due to its thermal insulation property. The current status and codal provisions regulating use of earth as a building material in different countries namely Australia, New Zealand, South Africa, France, New Mexico, Colombia, Spain and India, are reviewed so as to assess its suitability in modern context. Vernacular architecture features in different climatic zones of India including north-western Himalayan state of Himachal Pradesh are also studied along with a case study in composite climate of Hamirpur region, which identifies the relation of vernacular architectural features with thermal comfort conditions. The study identifies an emerging architectural style for this Himalayan region incorporating thermal comfort, energy efficient features, passive solar features, current design and construction techniques. Studies to develop this architecture style, improvement in the strength and durability of earth as building material and thermal comfort studies of vernacular houses are identified as follow up research areas. The study is of relevance for utilizing vernacular materials and architectural features for improving thermal comfort in modern buildings worldwide.","author":[{"dropping-particle":"","family":"Chandel","given":"S S","non-dropping-particle":"","parse-names":false,"suffix":""},{"dropping-particle":"","family":"Sharma","given":"Vandna","non-dropping-particle":"","parse-names":false,"suffix":""},{"dropping-particle":"","family":"Marwah","given":"Bhanu M","non-dropping-particle":"","parse-names":false,"suffix":""}],"container-title":"Renewable and Sustainable Energy Reviews","id":"ITEM-10","issue":"C","issued":{"date-parts":[["2016"]]},"page":"459-477","title":"Review of energy efficient features in vernacular architecture for improving indoor thermal comfort conditions","type":"article-journal","volume":"65"},"uris":["http://www.mendeley.com/documents/?uuid=1901bd83-cf9e-4874-8056-3c5a10460aa7"]},{"id":"ITEM-11","itemData":{"DOI":"10.1016/j.hbrcj.2016.08.001","ISSN":"1687-4048","author":[{"dropping-particle":"","family":"Motealleh","given":"Parinaz","non-dropping-particle":"","parse-names":false,"suffix":""},{"dropping-particle":"","family":"Zolfaghari","given":"Maryam","non-dropping-particle":"","parse-names":false,"suffix":""},{"dropping-particle":"","family":"Parsaee","given":"Mojtaba","non-dropping-particle":"","parse-names":false,"suffix":""}],"container-title":"HBRC Journal","id":"ITEM-11","issue":"2","issued":{"date-parts":[["2018","8","1"]]},"note":"doi: 10.1016/j.hbrcj.2016.08.001","page":"215-223","publisher":"Taylor &amp; Francis","title":"Investigating climate responsive solutions in vernacular architecture of Bushehr city","type":"article-journal","volume":"14"},"uris":["http://www.mendeley.com/documents/?uuid=a5a02c0f-1a07-4960-9eaa-06dc640a25cc"]}],"mendeley":{"formattedCitation":"(Zhai and Previtali 2010; Bodach, Lang, and Hamhaber 2014; Philokyprou et al. 2017; Desogus, Felice Cannas, and Sanna 2016; Du, Bokel, and Dobbelsteen 2014; Anna-Maria 2009; Singh, Mahapatra, and Atreya 2010; Dili, Naseer, and Varghese 2010; Kubota and Toe 2015; Chandel, Sharma, and Marwah 2016; Motealleh, Zolfaghari, and Parsaee 2018)","plainTextFormattedCitation":"(Zhai and Previtali 2010; Bodach, Lang, and Hamhaber 2014; Philokyprou et al. 2017; Desogus, Felice Cannas, and Sanna 2016; Du, Bokel, and Dobbelsteen 2014; Anna-Maria 2009; Singh, Mahapatra, and Atreya 2010; Dili, Naseer, and Varghese 2010; Kubota and Toe 2015; Chandel, Sharma, and Marwah 2016; Motealleh, Zolfaghari, and Parsaee 2018)","previouslyFormattedCitation":"(Zhai and Previtali 2010; Bodach, Lang, and Hamhaber 2014; Philokyprou et al. 2017; Desogus, Felice Cannas, and Sanna 2016; Du, Bokel, and Dobbelsteen 2014; Anna-Maria 2009; Singh, Mahapatra, and Atreya 2010; Dili, Naseer, and Varghese 2010; Kubota and Toe 2015; Chandel, Sharma, and Marwah 2016; Motealleh, Zolfaghari, and Parsaee 2018)"},"properties":{"noteIndex":0},"schema":"https://github.com/citation-style-language/schema/raw/master/csl-citation.json"}</w:instrText>
      </w:r>
      <w:r w:rsidRPr="00AC555D">
        <w:fldChar w:fldCharType="separate"/>
      </w:r>
      <w:r w:rsidR="008A3122" w:rsidRPr="008A3122">
        <w:rPr>
          <w:noProof/>
        </w:rPr>
        <w:t>(Zhai and Previtali 2010; Bodach, Lang, and Hamhaber 2014; Philokyprou et al. 2017; Desogus, Felice Cannas, and Sanna 2016; Du, Bokel, and Dobbelsteen 2014; Anna-Maria 2009; Singh, Mahapatra, and Atreya 2010; Dili, Naseer, and Varghese 2010; Kubota and Toe 2015; Chandel, Sharma, and Marwah 2016; Motealleh, Zolfaghari, and Parsaee 2018)</w:t>
      </w:r>
      <w:r w:rsidRPr="00AC555D">
        <w:fldChar w:fldCharType="end"/>
      </w:r>
      <w:r w:rsidRPr="00AC555D">
        <w:t xml:space="preserve">. It is also indicated that reduced operating costs, better thermal comfort and indoor air quality in vernacular buildings as the advantages of the application of passive design strategies </w:t>
      </w:r>
      <w:r w:rsidRPr="00AC555D">
        <w:fldChar w:fldCharType="begin" w:fldLock="1"/>
      </w:r>
      <w:r w:rsidR="008A3122">
        <w:instrText>ADDIN CSL_CITATION {"citationItems":[{"id":"ITEM-1","itemData":{"DOI":"https://doi.org/10.1016/j.enbuild.2015.04.033","ISSN":"0378-7788","abstract":"Energy consumption in the building sector is a major concern, especially in tropical climates where high temperatures and humidity force occupants to use electro-mechanical ventilation. Passive design strategies, in particular the application of natural ventilation, are one of the main techniques to moderate temperatures in buildings. Furthermore, many studies have shown reduced operating costs, better thermal comfort and indoor air quality, to be some of the advantages of the application of natural ventilation in buildings. Although existing studies support the efficiency of natural ventilation, the efficiency and practicability of architectural elements to maximise ventilation in buildings remains problematic. This study reviews studies on natural ventilation with other passive design strategies in tropical climates in order to support the argument for the application of natural ventilation in tropical climates. Through a review of studies on the operation of natural ventilation in buildings, it also identifies the most effective architectural elements and techniques in building façades and ventilation openings. The results indicate that ventilation shafts, window-to-wall ratio and building orientation should be applied in future construction. This study also identifies some further specific elements that are worth further investigation, including the shape of louvered windows, different forms of apertures and vernacular elements.","author":[{"dropping-particle":"","family":"Aflaki","given":"Ardalan","non-dropping-particle":"","parse-names":false,"suffix":""},{"dropping-particle":"","family":"Mahyuddin","given":"Norhayati","non-dropping-particle":"","parse-names":false,"suffix":""},{"dropping-particle":"","family":"Al-Cheikh Mahmoud","given":"Zakaria","non-dropping-particle":"","parse-names":false,"suffix":""},{"dropping-particle":"","family":"Baharum","given":"Mohamad Rizal","non-dropping-particle":"","parse-names":false,"suffix":""}],"container-title":"Energy and Buildings","id":"ITEM-1","issued":{"date-parts":[["2015"]]},"page":"153-162","title":"A review on natural ventilation applications through building façade components and ventilation openings in tropical climates","type":"article-journal","volume":"101"},"uris":["http://www.mendeley.com/documents/?uuid=eb2e1d67-e869-4a6c-9a35-de99b8c5e4d1"]}],"mendeley":{"formattedCitation":"(Aflaki et al. 2015)","plainTextFormattedCitation":"(Aflaki et al. 2015)","previouslyFormattedCitation":"(Aflaki et al. 2015)"},"properties":{"noteIndex":0},"schema":"https://github.com/citation-style-language/schema/raw/master/csl-citation.json"}</w:instrText>
      </w:r>
      <w:r w:rsidRPr="00AC555D">
        <w:fldChar w:fldCharType="separate"/>
      </w:r>
      <w:r w:rsidR="008A3122" w:rsidRPr="008A3122">
        <w:rPr>
          <w:noProof/>
        </w:rPr>
        <w:t>(Aflaki et al. 2015)</w:t>
      </w:r>
      <w:r w:rsidRPr="00AC555D">
        <w:fldChar w:fldCharType="end"/>
      </w:r>
      <w:r w:rsidRPr="00AC555D">
        <w:t xml:space="preserve"> in different and creative ways.  </w:t>
      </w:r>
    </w:p>
    <w:p w14:paraId="6FC66B06" w14:textId="7929B302" w:rsidR="00ED63B3" w:rsidRPr="00AC555D" w:rsidRDefault="00ED63B3" w:rsidP="005D4AF3">
      <w:pPr>
        <w:pStyle w:val="Newparagraph"/>
        <w:spacing w:line="240" w:lineRule="auto"/>
        <w:jc w:val="both"/>
        <w:rPr>
          <w:lang w:bidi="fa-IR"/>
        </w:rPr>
      </w:pPr>
      <w:r w:rsidRPr="00AC555D">
        <w:t xml:space="preserve">Iran has rich and diverse vernacular architectural design due to the different climatic conditions throughout the country </w:t>
      </w:r>
      <w:r w:rsidRPr="00AC555D">
        <w:fldChar w:fldCharType="begin" w:fldLock="1"/>
      </w:r>
      <w:r w:rsidR="008A3122">
        <w:instrText>ADDIN CSL_CITATION {"citationItems":[{"id":"ITEM-1","itemData":{"author":[{"dropping-particle":"","family":"Brown","given":"F","non-dropping-particle":"","parse-names":false,"suffix":""},{"dropping-particle":"","family":"Memarian","given":"Gholam Hossein","non-dropping-particle":"","parse-names":false,"suffix":""},{"dropping-particle":"","family":"Edwards","given":"Bryan","non-dropping-particle":"","parse-names":false,"suffix":""},{"dropping-particle":"","family":"Sibley","given":"Magda","non-dropping-particle":"","parse-names":false,"suffix":""},{"dropping-particle":"","family":"Hakmi","given":"M","non-dropping-particle":"","parse-names":false,"suffix":""},{"dropping-particle":"","family":"Land","given":"P","non-dropping-particle":"","parse-names":false,"suffix":""}],"id":"ITEM-1","issued":{"date-parts":[["2006"]]},"title":"The shared characteristics of Iranian and Arab courtyard houses","type":"paper-conference"},"uris":["http://www.mendeley.com/documents/?uuid=63c96fa9-8ab0-4bd2-bdb8-e592edf97850"]}],"mendeley":{"formattedCitation":"(Brown et al. 2006)","manualFormatting":"(Brown et al., 2006: 23)","plainTextFormattedCitation":"(Brown et al. 2006)","previouslyFormattedCitation":"(Brown et al. 2006)"},"properties":{"noteIndex":0},"schema":"https://github.com/citation-style-language/schema/raw/master/csl-citation.json"}</w:instrText>
      </w:r>
      <w:r w:rsidRPr="00AC555D">
        <w:fldChar w:fldCharType="separate"/>
      </w:r>
      <w:r w:rsidRPr="00AC555D">
        <w:rPr>
          <w:noProof/>
        </w:rPr>
        <w:t xml:space="preserve">(Brown </w:t>
      </w:r>
      <w:r w:rsidRPr="00AC555D">
        <w:rPr>
          <w:i/>
          <w:noProof/>
        </w:rPr>
        <w:t>et al.</w:t>
      </w:r>
      <w:r w:rsidRPr="00AC555D">
        <w:rPr>
          <w:noProof/>
        </w:rPr>
        <w:t>, 2006: 23)</w:t>
      </w:r>
      <w:r w:rsidRPr="00AC555D">
        <w:fldChar w:fldCharType="end"/>
      </w:r>
      <w:r w:rsidRPr="00AC555D">
        <w:t xml:space="preserve">. Some of the elements of Iranian vernacular architecture, such as courtyards and wind-catchers, have been studied in previous literature </w:t>
      </w:r>
      <w:r w:rsidRPr="00AC555D">
        <w:fldChar w:fldCharType="begin" w:fldLock="1"/>
      </w:r>
      <w:r w:rsidR="008A3122">
        <w:instrText>ADDIN CSL_CITATION {"citationItems":[{"id":"ITEM-1","itemData":{"ISBN":"9781844072637","abstract":"Passive cooling is increasingly being thought of as the best alternative to air conditioning. This book offers the latest knowledge and techniques on passive cooling, enabling building professionals to understand the state of the art and employ relevant new strategies. ","author":[{"dropping-particle":"","family":"Santamouris","given":"M (Matheos)","non-dropping-particle":"","parse-names":false,"suffix":""}],"id":"ITEM-1","issued":{"date-parts":[["2007"]]},"note":"Includes bibliographical references and index.","publisher":"Earthscan","publisher-place":"London","title":"Advances in passive cooling ","type":"book"},"uris":["http://www.mendeley.com/documents/?uuid=5bba0d95-ba41-43e1-a1da-2b06ca1b1dba"]},{"id":"ITEM-2","itemData":{"DOI":"https://doi.org/10.1016/j.buildenv.2010.07.031","ISSN":"0360-1323","abstract":"Wind catcher as a natural ventilation system is increasingly used in modern buildings to minimize the consumption of non-renewable energy and reduce the harmful emissions. Height, cross section of the air passages and also place and the number of openings are the main factors which affect the ventilation performance of a wind catcher structure. In this study, experimental wind tunnel, smoke visualization testing and computational fluid dynamic (CFD) modeling were conducted to investigate ventilation performance of wind catchers with different number of openings to find how the number of opening affects hydrodynamic behavior of wind catchers. To achieve this particular aim, five cylindrical models with same cross section areas and same heights were employed. The cross sections of all these wind catchers were divided internally into various segments to get two-sided, three-sided, four-sided, six-sided and twelve-sided wind catchers. The experimental investigations were conducted in an open circuit subsonic wind tunnel. For all these five shapes, the ventilated air flow rate into the test room was measured at different air incident angles. Numerical solutions were used for all these five configurations to validate the proposed measuring techniques and the corresponding wind tunnel results. The results show that the number of openings is a main factor in performance of wind catcher systems. It also shows that the sensitivity of the performance of different wind catchers related to the wind angle decreases by increasing the number of openings. Moreover, comparing with a circular wind catcher a rectangular system provides a higher efficiency.","author":[{"dropping-particle":"","family":"Montazeri","given":"Hamid","non-dropping-particle":"","parse-names":false,"suffix":""}],"container-title":"Building and Environment","id":"ITEM-2","issue":"2","issued":{"date-parts":[["2011"]]},"page":"370-378","title":"Experimental and numerical study on natural ventilation performance of various multi-opening wind catchers","type":"article-journal","volume":"46"},"uris":["http://www.mendeley.com/documents/?uuid=f45dec41-32c8-44a1-995e-2ee2fa276cc7"]},{"id":"ITEM-3","itemData":{"DOI":"10.1016/j.rser.2011.11.037","author":[{"dropping-particle":"","family":"Saadatian","given":"Omid","non-dropping-particle":"","parse-names":false,"suffix":""},{"dropping-particle":"","family":"Lim","given":"Chin Haw","non-dropping-particle":"","parse-names":false,"suffix":""},{"dropping-particle":"","family":"CH","given":"","non-dropping-particle":"","parse-names":false,"suffix":""},{"dropping-particle":"","family":"Sopian","given":"Kamaruzzaman","non-dropping-particle":"","parse-names":false,"suffix":""},{"dropping-particle":"","family":"Suleiman","given":"","non-dropping-particle":"","parse-names":false,"suffix":""},{"dropping-particle":"","family":"MY","given":"","non-dropping-particle":"","parse-names":false,"suffix":""}],"container-title":"Renewable &amp; Sustainable Energy Reviews.","id":"ITEM-3","issued":{"date-parts":[["2012","4","1"]]},"title":"Review of Windcatcher Technologies","type":"article-journal"},"uris":["http://www.mendeley.com/documents/?uuid=b5cfcde2-f7bd-4a56-9565-5670f4b04827"]},{"id":"ITEM-4","itemData":{"ISSN":"07380895","abstract":"[This paper is concerned with the traditional courtyard house in Iran and with the factors that shaped its form and development. Through a comparison of two historic cities of central Iran — Yazd and Shiraz — we examine the impact of climate and of religious ideology (Shi'a Islam) on the spatial and formal organization of the house. Both can be seen to have had a significant influence, though the study suggests that the \"weight\" of the factors may differ according to local conditions. A limited comparison is also made between the courtyard houses of Muslims and those of a religious minority in Iran — the Zoroastrians. Despite the asymmetries of power and differences in belief there is evidence that a similar range of house-types developed amongst both peoples.]","author":[{"dropping-particle":"","family":"Memarian","given":"Gholamhossein","non-dropping-particle":"","parse-names":false,"suffix":""},{"dropping-particle":"","family":"Brown","given":"Frank Edward","non-dropping-particle":"","parse-names":false,"suffix":""}],"container-title":"Journal of Architectural and Planning Research","id":"ITEM-4","issue":"3","issued":{"date-parts":[["2003","6","22"]]},"page":"181-198","publisher":"Locke Science Publishing Company, Inc.","title":"CLIMATE, CULTURE, AND RELIGION: ASPECTS OF THE TRADITIONAL COURTYARD HOUSE IN IRAN","type":"article-journal","volume":"20"},"uris":["http://www.mendeley.com/documents/?uuid=ed4e07f8-14c3-4f6d-8b80-bdb312c11e3f"]},{"id":"ITEM-5","itemData":{"DOI":"10.3846/jcem.2010.39","author":[{"dropping-particle":"","family":"Motuzienė","given":"Violeta","non-dropping-particle":"","parse-names":false,"suffix":""},{"dropping-particle":"","family":"Juodis","given":"Egidijus","non-dropping-particle":"","parse-names":false,"suffix":""}],"container-title":"JOURNAL OF CIVIL ENGINEERING AND MANAGEMENT","id":"ITEM-5","issued":{"date-parts":[["2010","9","1"]]},"page":"345-351","title":"Simulation based complex energy assessment of office building fenestration","type":"article-journal","volume":"16"},"uris":["http://www.mendeley.com/documents/?uuid=29b98a66-8fe6-409e-862f-3bafc465ac0f"]},{"id":"ITEM-6","itemData":{"DOI":"10.1016/j.renene.2009.12.003","ISSN":"09601481","abstract":"Experimental wind tunnel and smoke visualization testing as well as CFD and analytical modeling were conducted to investigate the performance of a two-sided wind catcher. This type of wind catcher is divided internally into two halves for the purposes of air supply and extract. In this study, the two-sided wind catcher model was constructed of two similar one-sided wind catcher models, which were attached together back to back. These one-sided models are 1:40 scale models of Kharmani's School wind catcher in the city of Yazd. Experimental investigations were carried out using an open-circuit wind tunnel and both the induced volumetric airflow into the building and the pressure coefficients around all surfaces of the wind catcher model were measured at various wind angles. Furthermore, the CFD simulation was also used to evaluate the pressure coefficient distribution and airflow pattern around and through the wind catcher. Additional experimental tests and computational fluid dynamics simulation of the wind catcher in the wind tunnel were also conducted in order to assess the accuracy of measurement procedures and the uncertainty of experimental results. This article also represents a semi-empirical approach in which experimental data were used for a detailed analytic model, in order to provide an accurate estimate of the performance of wind catchers. It was found that for an isolated two-sided wind catcher model, the maximum efficiency is achieved at the angle of 90°. At this air incident angle the wind catcher efficiency increases approximately 20% more than the one at zero angle. The experimental investigations demonstrated the potential of two-sided wind catcher for enhancing the natural ventilation inside buildings. It can be seen that CFD simulation and analytical modeling results have a good agreement with the experimental results. Theoretical modeling can also help to assess the accuracy of measurement procedures and the uncertainty of experimental results. © 2009 Elsevier Ltd. All rights reserved.","author":[{"dropping-particle":"","family":"Montazeri","given":"H.","non-dropping-particle":"","parse-names":false,"suffix":""},{"dropping-particle":"","family":"Montazeri","given":"F.","non-dropping-particle":"","parse-names":false,"suffix":""},{"dropping-particle":"","family":"Azizian","given":"R.","non-dropping-particle":"","parse-names":false,"suffix":""},{"dropping-particle":"","family":"Mostafavi","given":"S.","non-dropping-particle":"","parse-names":false,"suffix":""}],"container-title":"Renewable Energy","id":"ITEM-6","issue":"7","issued":{"date-parts":[["2010"]]},"page":"1424-1435","title":"Two-sided wind catcher performance evaluation using experimental, numerical and analytical modeling","type":"article-journal","volume":"35"},"uris":["http://www.mendeley.com/documents/?uuid=4afd9555-55ce-4cff-af3c-100396510029"]},{"id":"ITEM-7","itemData":{"author":[{"dropping-particle":"","family":"Soflaei","given":"Farzaneh","non-dropping-particle":"","parse-names":false,"suffix":""},{"dropping-particle":"","family":"Shokouhian","given":"Mehdi","non-dropping-particle":"","parse-names":false,"suffix":""}],"container-title":"1st International Conference on Passive and Low Energy Cooling for the Built Environment (PALENCE2005)","id":"ITEM-7","issued":{"date-parts":[["2005","5"]]},"title":"Natural cooling systems in sustainable traditional architecture of Iran","type":"paper-conference"},"uris":["http://www.mendeley.com/documents/?uuid=4046fb06-9d84-4f29-a258-62d1d33780db"]}],"mendeley":{"formattedCitation":"(Santamouris 2007; Hamid Montazeri 2011; Saadatian et al. 2012; Memarian and Brown 2003; Motuzienė and Juodis 2010; H. Montazeri et al. 2010; Soflaei and Shokouhian 2005)","plainTextFormattedCitation":"(Santamouris 2007; Hamid Montazeri 2011; Saadatian et al. 2012; Memarian and Brown 2003; Motuzienė and Juodis 2010; H. Montazeri et al. 2010; Soflaei and Shokouhian 2005)","previouslyFormattedCitation":"(Santamouris 2007; Hamid Montazeri 2011; Saadatian et al. 2012; Memarian and Brown 2003; Motuzienė and Juodis 2010; H. Montazeri et al. 2010; Soflaei and Shokouhian 2005)"},"properties":{"noteIndex":0},"schema":"https://github.com/citation-style-language/schema/raw/master/csl-citation.json"}</w:instrText>
      </w:r>
      <w:r w:rsidRPr="00AC555D">
        <w:fldChar w:fldCharType="separate"/>
      </w:r>
      <w:r w:rsidR="008A3122" w:rsidRPr="008A3122">
        <w:rPr>
          <w:noProof/>
        </w:rPr>
        <w:t>(Santamouris 2007; Hamid Montazeri 2011; Saadatian et al. 2012; Memarian and Brown 2003; Motuzienė and Juodis 2010; H. Montazeri et al. 2010; Soflaei and Shokouhian 2005)</w:t>
      </w:r>
      <w:r w:rsidRPr="00AC555D">
        <w:fldChar w:fldCharType="end"/>
      </w:r>
      <w:r w:rsidRPr="00AC555D">
        <w:t xml:space="preserve">. However, vernacular façade design has not been much focused. </w:t>
      </w:r>
      <w:r w:rsidRPr="00AC555D">
        <w:rPr>
          <w:lang w:bidi="fa-IR"/>
        </w:rPr>
        <w:t xml:space="preserve">A Comparative Study between vernacular architecture in Hot–Arid and Hot–Arid–Windy Regions of Iran, revealed that despite different appearances, either of these architectures follow the sustainable adaptation to context. According to the results, in Yazd, buildings are attached to neighbouring houses, so the external facades have no openings except the houses’ entrance doors. On the other hand, in </w:t>
      </w:r>
      <w:proofErr w:type="spellStart"/>
      <w:r w:rsidRPr="00AC555D">
        <w:rPr>
          <w:lang w:bidi="fa-IR"/>
        </w:rPr>
        <w:t>Sistan</w:t>
      </w:r>
      <w:proofErr w:type="spellEnd"/>
      <w:r w:rsidRPr="00AC555D">
        <w:rPr>
          <w:lang w:bidi="fa-IR"/>
        </w:rPr>
        <w:t xml:space="preserve">, openings are designed in different levels in exterior facades. In Yazd, building facades are higher than </w:t>
      </w:r>
      <w:proofErr w:type="spellStart"/>
      <w:r w:rsidRPr="00AC555D">
        <w:rPr>
          <w:lang w:bidi="fa-IR"/>
        </w:rPr>
        <w:t>Sistan</w:t>
      </w:r>
      <w:proofErr w:type="spellEnd"/>
      <w:r w:rsidRPr="00AC555D">
        <w:rPr>
          <w:lang w:bidi="fa-IR"/>
        </w:rPr>
        <w:t xml:space="preserve"> resulting more shaded alleys </w:t>
      </w:r>
      <w:r w:rsidRPr="00AC555D">
        <w:rPr>
          <w:lang w:bidi="fa-IR"/>
        </w:rPr>
        <w:fldChar w:fldCharType="begin" w:fldLock="1"/>
      </w:r>
      <w:r w:rsidR="008A3122">
        <w:rPr>
          <w:lang w:bidi="fa-IR"/>
        </w:rPr>
        <w:instrText>ADDIN CSL_CITATION {"citationItems":[{"id":"ITEM-1","itemData":{"DOI":"10.3390/su9050749","ISBN":"2071-1050","abstract":"Vernacular architecture has evolved over time to reflect and sustainably comply with the environmental and cultural contexts in which it exists. This kind of architecture possesses a variety of original and clever practices and technologies to satisfy various necessities imposed by context. Iran’s vernacular architecture has mastered the art of adaptation to context by developing different architectures in different regions of the country. Despite their different appearances, these architectures follow the same logic in spirit: sustainable adaptation to context. This original research work surveys this logic in two regions, one hot-arid and the other hot-arid-windy, in Iran (represented by the city of Yazd and the region of Sistan, respectively) through a comparative study. This paper studies different elements and techniques of sustainability in these areas, reasons for their existence and the factors that have shaped them into the specific way that they are. The main elements that were studied through this survey include: fabric and orientation, sidewalks, facades, materials, entrances, courtyards, basements and cellars, porches, roofs, wind-catchers, and openings. In conclusion, links that connect different specifications of context to different aspects of construction are discovered and their role in overall character of two region’s architecture is illustrated so they can be used as guidelines for future designs and constructions.","author":[{"dropping-particle":"","family":"Sahebzadeh","given":"Sadra","non-dropping-particle":"","parse-names":false,"suffix":""},{"dropping-particle":"","family":"Heidari","given":"Abolfazl","non-dropping-particle":"","parse-names":false,"suffix":""},{"dropping-particle":"","family":"Kamelnia","given":"Hamed","non-dropping-particle":"","parse-names":false,"suffix":""},{"dropping-particle":"","family":"Baghbani","given":"Abolfazl","non-dropping-particle":"","parse-names":false,"suffix":""}],"container-title":"Sustainability ","id":"ITEM-1","issue":"5","issued":{"date-parts":[["2017"]]},"title":"Sustainability Features of Iran’s Vernacular Architecture: A Comparative Study between the Architecture of Hot–Arid and Hot–Arid–Windy Regions","type":"article","volume":"9"},"uris":["http://www.mendeley.com/documents/?uuid=12711855-0116-45a8-a93f-5747db5bf3ad"]}],"mendeley":{"formattedCitation":"(Sahebzadeh et al. 2017)","plainTextFormattedCitation":"(Sahebzadeh et al. 2017)","previouslyFormattedCitation":"(Sahebzadeh et al. 2017)"},"properties":{"noteIndex":0},"schema":"https://github.com/citation-style-language/schema/raw/master/csl-citation.json"}</w:instrText>
      </w:r>
      <w:r w:rsidRPr="00AC555D">
        <w:rPr>
          <w:lang w:bidi="fa-IR"/>
        </w:rPr>
        <w:fldChar w:fldCharType="separate"/>
      </w:r>
      <w:r w:rsidR="008A3122" w:rsidRPr="008A3122">
        <w:rPr>
          <w:noProof/>
          <w:lang w:bidi="fa-IR"/>
        </w:rPr>
        <w:t>(Sahebzadeh et al. 2017)</w:t>
      </w:r>
      <w:r w:rsidRPr="00AC555D">
        <w:rPr>
          <w:lang w:bidi="fa-IR"/>
        </w:rPr>
        <w:fldChar w:fldCharType="end"/>
      </w:r>
      <w:r w:rsidRPr="00AC555D">
        <w:rPr>
          <w:lang w:bidi="fa-IR"/>
        </w:rPr>
        <w:t xml:space="preserve">. In a recent study the Role of </w:t>
      </w:r>
      <w:proofErr w:type="spellStart"/>
      <w:r w:rsidRPr="00AC555D">
        <w:rPr>
          <w:lang w:bidi="fa-IR"/>
        </w:rPr>
        <w:t>Orosi</w:t>
      </w:r>
      <w:proofErr w:type="spellEnd"/>
      <w:r w:rsidRPr="00AC555D">
        <w:rPr>
          <w:lang w:bidi="fa-IR"/>
        </w:rPr>
        <w:t xml:space="preserve"> openings in the vernacular Building Façade considering daylight performance and visual comfort. The results confirmed a significant potential of </w:t>
      </w:r>
      <w:proofErr w:type="spellStart"/>
      <w:r w:rsidRPr="00AC555D">
        <w:rPr>
          <w:lang w:bidi="fa-IR"/>
        </w:rPr>
        <w:t>orosi</w:t>
      </w:r>
      <w:proofErr w:type="spellEnd"/>
      <w:r w:rsidRPr="00AC555D">
        <w:rPr>
          <w:lang w:bidi="fa-IR"/>
        </w:rPr>
        <w:t xml:space="preserve"> to address the requirements of visual comforts especially on the South façade </w:t>
      </w:r>
      <w:r w:rsidRPr="00AC555D">
        <w:rPr>
          <w:lang w:bidi="fa-IR"/>
        </w:rPr>
        <w:fldChar w:fldCharType="begin" w:fldLock="1"/>
      </w:r>
      <w:r w:rsidR="008A3122">
        <w:rPr>
          <w:lang w:bidi="fa-IR"/>
        </w:rPr>
        <w:instrText>ADDIN CSL_CITATION {"citationItems":[{"id":"ITEM-1","itemData":{"author":[{"dropping-particle":"","family":"Hosseini","given":"Seyedeh","non-dropping-particle":"","parse-names":false,"suffix":""},{"dropping-particle":"","family":"Hosseini","given":"Morteza","non-dropping-particle":"","parse-names":false,"suffix":""},{"dropping-particle":"","family":"Heiranipour","given":"Milad","non-dropping-particle":"","parse-names":false,"suffix":""}],"container-title":"Journal of Daylighting","id":"ITEM-1","issued":{"date-parts":[["2020","11","7"]]},"page":"201-221","title":"The Role of Orosi's Islamic Geometric Patterns in the Building Façade Design for Improving Occupants' Daylight Performance","type":"article-journal","volume":"7"},"uris":["http://www.mendeley.com/documents/?uuid=455670d2-beec-4ccf-baf4-802a03a671ff"]}],"mendeley":{"formattedCitation":"(Hosseini, Hosseini, and Heiranipour 2020)","plainTextFormattedCitation":"(Hosseini, Hosseini, and Heiranipour 2020)","previouslyFormattedCitation":"(Hosseini, Hosseini, and Heiranipour 2020)"},"properties":{"noteIndex":0},"schema":"https://github.com/citation-style-language/schema/raw/master/csl-citation.json"}</w:instrText>
      </w:r>
      <w:r w:rsidRPr="00AC555D">
        <w:rPr>
          <w:lang w:bidi="fa-IR"/>
        </w:rPr>
        <w:fldChar w:fldCharType="separate"/>
      </w:r>
      <w:r w:rsidR="008A3122" w:rsidRPr="008A3122">
        <w:rPr>
          <w:noProof/>
          <w:lang w:bidi="fa-IR"/>
        </w:rPr>
        <w:t xml:space="preserve">(Hosseini, Hosseini, and </w:t>
      </w:r>
      <w:r w:rsidR="008A3122" w:rsidRPr="008A3122">
        <w:rPr>
          <w:noProof/>
          <w:lang w:bidi="fa-IR"/>
        </w:rPr>
        <w:lastRenderedPageBreak/>
        <w:t>Heiranipour 2020)</w:t>
      </w:r>
      <w:r w:rsidRPr="00AC555D">
        <w:rPr>
          <w:lang w:bidi="fa-IR"/>
        </w:rPr>
        <w:fldChar w:fldCharType="end"/>
      </w:r>
      <w:r w:rsidRPr="00AC555D">
        <w:rPr>
          <w:lang w:bidi="fa-IR"/>
        </w:rPr>
        <w:t>. The mentioned studies are among rare research which have been conducted considering façade design in Iranian vernacular architecture.</w:t>
      </w:r>
    </w:p>
    <w:p w14:paraId="2A04BE31" w14:textId="1D315F69" w:rsidR="00ED63B3" w:rsidRPr="00AC555D" w:rsidRDefault="00ED63B3" w:rsidP="005D4AF3">
      <w:pPr>
        <w:pStyle w:val="Newparagraph"/>
        <w:spacing w:line="240" w:lineRule="auto"/>
        <w:jc w:val="both"/>
      </w:pPr>
      <w:r w:rsidRPr="00AC555D">
        <w:t xml:space="preserve">This paper aims to </w:t>
      </w:r>
      <w:proofErr w:type="spellStart"/>
      <w:r w:rsidRPr="00AC555D">
        <w:t>analyze</w:t>
      </w:r>
      <w:proofErr w:type="spellEnd"/>
      <w:r w:rsidRPr="00AC555D">
        <w:t xml:space="preserve"> the characteristics of vernacular façade design of the city of Bushehr. Although various strategies and physical elements of Bushehr vernacular buildings as microclimate modifiers have been studied in the previous studies </w:t>
      </w:r>
      <w:r w:rsidRPr="00AC555D">
        <w:fldChar w:fldCharType="begin" w:fldLock="1"/>
      </w:r>
      <w:r w:rsidR="008A3122">
        <w:instrText>ADDIN CSL_CITATION {"citationItems":[{"id":"ITEM-1","itemData":{"ISSN":"1735-9635","abstract":"The way of climatic design has an important role in environmental comfort. This is more important in cities with specific climate. Through climatic factors the wind flow has a main effect on form of city. Street direction, buildings height and density, distribution of high buildings, etc are elements of urban plan that effect on wind flow style in urban public spaces. Despite the interaction of urban design and urban wind flow has been concentrated by experts from 1950 onwards, there are not sufficient researches about this subject in Iran. There is a rich treasure of climatic design in old cities of Iran. Bushehr, being located in northern side of Persian Gulf, has settled in hot humid region since four hundred years ago. Urban spaces of Bushehr have formed based on the climate position. We can see climatic design initiatives from whole city to buildings. This article according to descriptive analytical method and data collection with field survey pursuits climatic design initiatives according to wind flow in old Bushehr. Results show that urban spaces of Bushehr have formed in a hierarchy of climatic design according to regional wind. We can see this initiative hierarchy in site selection of city, distributing density in city, the specific form of plazas and streets, streets direction, streets profile, building elevation, urban spaces skylines, the form of architectural spaces and some specific architectural elements like Shenashir, Tarmeh, Boon.","author":[{"dropping-particle":"","family":"ranjbar","given":"ehsan","non-dropping-particle":"","parse-names":false,"suffix":""},{"dropping-particle":"","family":"pourjafar","given":"mohammadreza","non-dropping-particle":"","parse-names":false,"suffix":""},{"dropping-particle":"","family":"khaliji","given":"keynav","non-dropping-particle":"","parse-names":false,"suffix":""}],"container-title":"The Monthly Scientific Journal of Bagh-e Nazar","id":"ITEM-1","issue":"13","issued":{"date-parts":[["2010"]]},"language":"en","page":"17-34","title":"Innovations In Climatic Designing Due to The Wind Flowing Through The Old Bushehr","type":"article-journal","volume":"7"},"uris":["http://www.mendeley.com/documents/?uuid=e5c03afd-7163-4ce6-ad1f-f4c5eff79651"]},{"id":"ITEM-2","itemData":{"author":[{"dropping-particle":"","family":"Vakilinezhad","given":"Roza","non-dropping-particle":"","parse-names":false,"suffix":""},{"dropping-particle":"","family":"Mofidi","given":"S","non-dropping-particle":"","parse-names":false,"suffix":""},{"dropping-particle":"","family":"Mehdizadeh","given":"","non-dropping-particle":"","parse-names":false,"suffix":""}],"container-title":"International Journal of Environmental Sustainability","id":"ITEM-2","issued":{"date-parts":[["2013","1","1"]]},"page":"101-110","title":"'Shanashil': A sustainable element to balance light, view, and thermal comfort","type":"article-journal","volume":"8"},"uris":["http://www.mendeley.com/documents/?uuid=a65eba08-e1c7-4d6c-ab53-a010dcec0327"]},{"id":"ITEM-3","itemData":{"DOI":"10.1016/j.ijsbe.2016.05.010","ISSN":"22126104","abstract":"For many years central court houses have been used in parts of Iran with different climates. Though initially there appear to be many similarities, some aspects of these houses vary from one climatic zone to another. Several studies have also suggested that users of these houses moved within them as they sought for better thermal situations. This article sets out how differing sizes, forms and dimensional ratios of central courts in two climate zones of Iran (Yazd, hot and dry, and Bushehr, hot and humid) can support this behaviour. In both places these central court forms can provide good situations for human comfort on various sides and levels of the court. Consequently, residents could move within the house with the seasons to get their desired level of thermal comfort but these traditional patterns of movement differ for each climate zone.","author":[{"dropping-particle":"","family":"Khajehzadeh","given":"Iman","non-dropping-particle":"","parse-names":false,"suffix":""},{"dropping-particle":"","family":"Vale","given":"Brenda","non-dropping-particle":"","parse-names":false,"suffix":""},{"dropping-particle":"","family":"Yavari","given":"Fatemeh","non-dropping-particle":"","parse-names":false,"suffix":""}],"container-title":"International Journal of Sustainable Built Environment","id":"ITEM-3","issue":"2","issued":{"date-parts":[["2016"]]},"page":"470-483","title":"A comparison of the traditional use of court houses in two cities","type":"article-journal","volume":"5"},"uris":["http://www.mendeley.com/documents/?uuid=95d04ff2-1c92-4b17-baef-b4d2b02013d6"]},{"id":"ITEM-4","itemData":{"DOI":"10.30475/isau.2017.62028","ISSN":"2228-589X","author":[{"dropping-particle":"","family":"Nikghadam","given":"Niloofar","non-dropping-particle":"","parse-names":false,"suffix":""}],"container-title":"Journal of Iranian  Architecture &amp; Urbanism(JIAU)","id":"ITEM-4","issue":"2","issued":{"date-parts":[["2016"]]},"language":"en","page":"29-46","title":"Airflow and Radiation Impact on Moderating Heat Conditions in the Bushehr Houses (Case Study: Golshan House)","type":"article-journal","volume":"7"},"uris":["http://www.mendeley.com/documents/?uuid=993e5e17-abb6-4fb8-8a14-598830547d5c"]},{"id":"ITEM-5","itemData":{"DOI":"10.1016/J.LANDURBPLAN.2016.10.001","ISSN":"0169-2046","abstract":"Heat waves and the related heat stress can increase human morbidity and mortality, decrease human productivity and increase building energy consumption for cooling. There is a need for sustainable systems to reduce heat stress in urban areas. Evaporative cooling by water spray systems is increasingly used for this purpose. However, the evaluation of the cooling potential of such systems is difficult. To our knowledge, a systematic investigation of the cooling potential of such a system in an actual urban area has not yet been performed. This paper presents high-resolution Computational Fluid Dynamics (CFD) simulations based on the 3D unsteady Reynolds-Averaged Navier-Stokes equations to assess the cooling potential by a water spray system with 15 hollow-cone nozzles. The system is numerically implemented for a courtyard in the Bergpolder Zuid region of Rotterdam, the Netherlands and operated during the heat wave period of July 2006. The simulations are validated based on wind-tunnel measurements of an evaporative cooling process and satellite imagery data during the heat wave period. The Universal Thermal Climate Index (UTCI) is used to assess the heat stress reduction due to evaporative cooling. The results show that for given values of injected water flow rate (ṁw = 9.0 l/min) and height of the spray system (H = 3 m), a maximum temperature reduction and UTCI reduction of about 7 and 5 °C are achieved at pedestrian height. In addition, a thermal comfort improvement from strong heat stress (without spray system) to moderate heat stress up to a distance of 5 m from the spray line is obtained.","author":[{"dropping-particle":"","family":"Montazeri","given":"H.","non-dropping-particle":"","parse-names":false,"suffix":""},{"dropping-particle":"","family":"Toparlar","given":"Y.","non-dropping-particle":"","parse-names":false,"suffix":""},{"dropping-particle":"","family":"Blocken","given":"B.","non-dropping-particle":"","parse-names":false,"suffix":""},{"dropping-particle":"","family":"Hensen","given":"J. L.M.","non-dropping-particle":"","parse-names":false,"suffix":""}],"container-title":"Landscape and Urban Planning","id":"ITEM-5","issued":{"date-parts":[["2017","3","1"]]},"page":"85-100","publisher":"Elsevier","title":"Simulating the cooling effects of water spray systems in urban landscapes: A computational fluid dynamics study in Rotterdam, The Netherlands","type":"article-journal","volume":"159"},"uris":["http://www.mendeley.com/documents/?uuid=c00aa54b-e2ea-3364-a67b-4e8781557cd0"]},{"id":"ITEM-6","itemData":{"ISSN":"2008-4994","author":[{"dropping-particle":"","family":"HEDAYAT","given":"AZAM","non-dropping-particle":"","parse-names":false,"suffix":""},{"dropping-particle":"","family":"ESHRATI","given":"PARASTOO","non-dropping-particle":"","parse-names":false,"suffix":""}],"container-title":"HOUSING AND RURAL ENVIRONMENT","id":"ITEM-6","issue":"172 #T001049","issued":{"date-parts":[["2021"]]},"language":"English","note":"Export Date: Jun 24 2022 12:00AM","page":"106-119","title":"Typology of Tarmeh in the Historic city of Bushehr","type":"article-journal","volume":"39"},"uris":["http://www.mendeley.com/documents/?uuid=8dd69475-6cd9-4b88-8148-57e7df7143a1"]}],"mendeley":{"formattedCitation":"(ranjbar, pourjafar, and khaliji 2010; Vakilinezhad, Mofidi, and Mehdizadeh 2013; Khajehzadeh, Vale, and Yavari 2016; Nikghadam 2016; H. Montazeri et al. 2017; HEDAYAT and ESHRATI 2021)","manualFormatting":"(ranjbar, pourjafar and khaliji, 2010; Vakilinezhad, Mofidi and Mehdizadeh, 2013; Khajehzadeh, Vale and Yavari, 2016; Nikghadam, 2016; Montazeri et al., 2017; Hedayat and Eshrati, 2021)","plainTextFormattedCitation":"(ranjbar, pourjafar, and khaliji 2010; Vakilinezhad, Mofidi, and Mehdizadeh 2013; Khajehzadeh, Vale, and Yavari 2016; Nikghadam 2016; H. Montazeri et al. 2017; HEDAYAT and ESHRATI 2021)","previouslyFormattedCitation":"(ranjbar, pourjafar, and khaliji 2010; Vakilinezhad, Mofidi, and Mehdizadeh 2013; Khajehzadeh, Vale, and Yavari 2016; Nikghadam 2016; H. Montazeri et al. 2017; HEDAYAT and ESHRATI 2021)"},"properties":{"noteIndex":0},"schema":"https://github.com/citation-style-language/schema/raw/master/csl-citation.json"}</w:instrText>
      </w:r>
      <w:r w:rsidRPr="00AC555D">
        <w:fldChar w:fldCharType="separate"/>
      </w:r>
      <w:r w:rsidRPr="00AC555D">
        <w:rPr>
          <w:noProof/>
        </w:rPr>
        <w:t xml:space="preserve">(ranjbar, pourjafar and khaliji, 2010; Vakilinezhad, Mofidi and Mehdizadeh, 2013; Khajehzadeh, Vale and Yavari, 2016; Nikghadam, 2016; Montazeri </w:t>
      </w:r>
      <w:r w:rsidRPr="00AC555D">
        <w:rPr>
          <w:i/>
          <w:noProof/>
        </w:rPr>
        <w:t>et al.</w:t>
      </w:r>
      <w:r w:rsidRPr="00AC555D">
        <w:rPr>
          <w:noProof/>
        </w:rPr>
        <w:t>, 2017; Hedayat and Eshrati, 2021)</w:t>
      </w:r>
      <w:r w:rsidRPr="00AC555D">
        <w:fldChar w:fldCharType="end"/>
      </w:r>
      <w:r w:rsidRPr="00AC555D">
        <w:t xml:space="preserve">, vernacular façade design principles have not been studied yet. Design principles conceived from this study could be recommended as the appropriate solutions for new building envelop design. </w:t>
      </w:r>
    </w:p>
    <w:p w14:paraId="3FD92125" w14:textId="34388D9E" w:rsidR="001230AF" w:rsidRDefault="00ED63B3" w:rsidP="001230AF">
      <w:pPr>
        <w:pStyle w:val="Newparagraph"/>
        <w:spacing w:line="240" w:lineRule="auto"/>
        <w:jc w:val="both"/>
      </w:pPr>
      <w:r w:rsidRPr="00AC555D">
        <w:t xml:space="preserve">To reveal some façade design principles of vernacular houses in Bushehr, this paper was conducted in three steps: In the first step, previous studies about vernacular façade design were reviewed to find the research gap. In the second step, eight houses have been selected as the case studies. In the third step, data collected from the field study of the eight cases were classified and prepared to be </w:t>
      </w:r>
      <w:proofErr w:type="spellStart"/>
      <w:r w:rsidRPr="00AC555D">
        <w:t>analyzed</w:t>
      </w:r>
      <w:proofErr w:type="spellEnd"/>
      <w:r w:rsidRPr="00AC555D">
        <w:t xml:space="preserve"> using SPSS. </w:t>
      </w:r>
    </w:p>
    <w:p w14:paraId="2D060B30" w14:textId="77777777" w:rsidR="00315D1E" w:rsidRPr="00315D1E" w:rsidRDefault="00315D1E" w:rsidP="001230AF">
      <w:pPr>
        <w:pStyle w:val="Heading1"/>
        <w:spacing w:before="240" w:after="0" w:line="240" w:lineRule="auto"/>
        <w:rPr>
          <w:rFonts w:eastAsiaTheme="minorHAnsi"/>
        </w:rPr>
      </w:pPr>
      <w:r w:rsidRPr="00315D1E">
        <w:rPr>
          <w:rFonts w:eastAsiaTheme="minorHAnsi"/>
        </w:rPr>
        <w:t>2- Materials and Methods</w:t>
      </w:r>
    </w:p>
    <w:p w14:paraId="5BE7FCF0" w14:textId="77777777" w:rsidR="00315D1E" w:rsidRPr="00315D1E" w:rsidRDefault="00315D1E" w:rsidP="001230AF">
      <w:pPr>
        <w:pStyle w:val="Heading2"/>
        <w:spacing w:before="0" w:after="0" w:line="240" w:lineRule="auto"/>
        <w:rPr>
          <w:rFonts w:eastAsiaTheme="minorHAnsi"/>
          <w:rtl/>
        </w:rPr>
      </w:pPr>
      <w:r w:rsidRPr="00315D1E">
        <w:rPr>
          <w:rFonts w:eastAsiaTheme="minorHAnsi"/>
        </w:rPr>
        <w:t>2-1- Case Study</w:t>
      </w:r>
    </w:p>
    <w:p w14:paraId="6DDF6E7B" w14:textId="77777777" w:rsidR="00315D1E" w:rsidRPr="00315D1E" w:rsidRDefault="00315D1E" w:rsidP="001230AF">
      <w:pPr>
        <w:pStyle w:val="Heading3"/>
        <w:spacing w:before="0" w:after="0" w:line="240" w:lineRule="auto"/>
        <w:rPr>
          <w:rFonts w:eastAsiaTheme="minorHAnsi"/>
        </w:rPr>
      </w:pPr>
      <w:r w:rsidRPr="00315D1E">
        <w:rPr>
          <w:rFonts w:eastAsiaTheme="minorHAnsi"/>
        </w:rPr>
        <w:t>2-1-1- City of Bushehr</w:t>
      </w:r>
    </w:p>
    <w:p w14:paraId="6B3222F8" w14:textId="361070D8" w:rsidR="00F76511" w:rsidRPr="00603ED8" w:rsidRDefault="00315D1E" w:rsidP="001230AF">
      <w:pPr>
        <w:pStyle w:val="Paragraph"/>
        <w:spacing w:before="0" w:line="240" w:lineRule="auto"/>
        <w:jc w:val="both"/>
        <w:rPr>
          <w:rFonts w:eastAsia="Calibri"/>
          <w:rtl/>
        </w:rPr>
      </w:pPr>
      <w:r w:rsidRPr="00AC555D">
        <w:rPr>
          <w:rFonts w:eastAsia="Calibri"/>
        </w:rPr>
        <w:t>The city of Bushehr is a peninsula in the south of Iran, on the north margin of the Persian Gulf. It has very hot and humid summers and temperate winters. Based on</w:t>
      </w:r>
      <w:r w:rsidRPr="00AC555D">
        <w:rPr>
          <w:shd w:val="clear" w:color="auto" w:fill="FFFFFF"/>
        </w:rPr>
        <w:t xml:space="preserve"> the </w:t>
      </w:r>
      <w:proofErr w:type="spellStart"/>
      <w:r w:rsidRPr="00AC555D">
        <w:rPr>
          <w:rStyle w:val="Emphasis"/>
          <w:rFonts w:asciiTheme="majorBidi" w:hAnsiTheme="majorBidi" w:cstheme="majorBidi"/>
          <w:shd w:val="clear" w:color="auto" w:fill="FFFFFF"/>
        </w:rPr>
        <w:t>Köppen’s</w:t>
      </w:r>
      <w:proofErr w:type="spellEnd"/>
      <w:r w:rsidRPr="00AC555D">
        <w:rPr>
          <w:rStyle w:val="Emphasis"/>
          <w:rFonts w:asciiTheme="majorBidi" w:hAnsiTheme="majorBidi" w:cstheme="majorBidi"/>
          <w:b/>
          <w:bCs/>
          <w:shd w:val="clear" w:color="auto" w:fill="FFFFFF"/>
        </w:rPr>
        <w:t xml:space="preserve"> </w:t>
      </w:r>
      <w:r w:rsidRPr="00AC555D">
        <w:rPr>
          <w:rStyle w:val="Emphasis"/>
          <w:rFonts w:asciiTheme="majorBidi" w:hAnsiTheme="majorBidi" w:cstheme="majorBidi"/>
          <w:shd w:val="clear" w:color="auto" w:fill="FFFFFF"/>
        </w:rPr>
        <w:t>climate classification</w:t>
      </w:r>
      <w:r w:rsidRPr="00AC555D">
        <w:rPr>
          <w:rFonts w:eastAsia="Calibri"/>
        </w:rPr>
        <w:t xml:space="preserve">, the climate of this port is hot and humid. Table 1 shows the climatic information of Bushehr. The average temperature is 26.2 degrees Celsius, reaching 45.6 </w:t>
      </w:r>
      <w:r w:rsidRPr="00AC555D">
        <w:rPr>
          <w:shd w:val="clear" w:color="auto" w:fill="FFFFFF"/>
        </w:rPr>
        <w:t>C°</w:t>
      </w:r>
      <w:r w:rsidRPr="00AC555D">
        <w:rPr>
          <w:rFonts w:eastAsia="Calibri"/>
        </w:rPr>
        <w:t xml:space="preserve"> on the hottest days, but rarely drops below 7 </w:t>
      </w:r>
      <w:r w:rsidRPr="00AC555D">
        <w:rPr>
          <w:shd w:val="clear" w:color="auto" w:fill="FFFFFF"/>
        </w:rPr>
        <w:t>C°</w:t>
      </w:r>
      <w:r w:rsidRPr="00AC555D">
        <w:rPr>
          <w:rFonts w:eastAsia="Calibri"/>
        </w:rPr>
        <w:t>.</w:t>
      </w:r>
      <w:r w:rsidRPr="00AC555D">
        <w:t xml:space="preserve"> </w:t>
      </w:r>
      <w:r w:rsidRPr="00AC555D">
        <w:rPr>
          <w:rFonts w:eastAsia="Calibri"/>
        </w:rPr>
        <w:t xml:space="preserve">Based on the meteorological data analysis of Bushehr synoptic stations by </w:t>
      </w:r>
      <w:proofErr w:type="spellStart"/>
      <w:r w:rsidRPr="00AC555D">
        <w:rPr>
          <w:rFonts w:eastAsia="Calibri"/>
        </w:rPr>
        <w:t>Terjang</w:t>
      </w:r>
      <w:proofErr w:type="spellEnd"/>
      <w:r w:rsidRPr="00AC555D">
        <w:rPr>
          <w:rFonts w:eastAsia="Calibri"/>
        </w:rPr>
        <w:t xml:space="preserve"> method in July, August, September, and October, it is extremely hot during the day and very hot at night. Its average humidity is 81% and can reach 98%. The prevailing annual wind is from the northwest with a maximum speed of 25 meters per second (90 </w:t>
      </w:r>
      <w:proofErr w:type="spellStart"/>
      <w:r w:rsidRPr="00AC555D">
        <w:rPr>
          <w:rFonts w:eastAsia="Calibri"/>
        </w:rPr>
        <w:t>kilometers</w:t>
      </w:r>
      <w:proofErr w:type="spellEnd"/>
      <w:r w:rsidRPr="00AC555D">
        <w:rPr>
          <w:rFonts w:eastAsia="Calibri"/>
        </w:rPr>
        <w:t xml:space="preserve"> per hour). Also, there are various local winds (Bushehr Meteorological Statistical Yearbook, 2021). Figure 1 illustrates the location of the historical texture of Bushehr at the tip of the peninsula</w:t>
      </w:r>
      <w:r w:rsidRPr="00AC555D">
        <w:rPr>
          <w:rFonts w:eastAsia="Calibri"/>
          <w:rtl/>
        </w:rPr>
        <w:t>.</w:t>
      </w:r>
    </w:p>
    <w:p w14:paraId="7D7463D9" w14:textId="77777777" w:rsidR="00315D1E" w:rsidRPr="00315D1E" w:rsidRDefault="00315D1E" w:rsidP="005D4AF3">
      <w:pPr>
        <w:pStyle w:val="Tabletitle"/>
        <w:spacing w:line="240" w:lineRule="auto"/>
        <w:rPr>
          <w:rtl/>
        </w:rPr>
      </w:pPr>
      <w:r w:rsidRPr="00315D1E">
        <w:t>Table 1. Monthly average of weather condition in Bushehr (Bushehr Meteorological Statistical Yearbook, 2021)</w:t>
      </w:r>
    </w:p>
    <w:tbl>
      <w:tblPr>
        <w:tblStyle w:val="PlainTable2"/>
        <w:tblpPr w:leftFromText="180" w:rightFromText="180" w:vertAnchor="text" w:horzAnchor="page" w:tblpX="1234" w:tblpY="69"/>
        <w:tblW w:w="9270" w:type="dxa"/>
        <w:tblLook w:val="04A0" w:firstRow="1" w:lastRow="0" w:firstColumn="1" w:lastColumn="0" w:noHBand="0" w:noVBand="1"/>
      </w:tblPr>
      <w:tblGrid>
        <w:gridCol w:w="1890"/>
        <w:gridCol w:w="691"/>
        <w:gridCol w:w="601"/>
        <w:gridCol w:w="632"/>
        <w:gridCol w:w="601"/>
        <w:gridCol w:w="644"/>
        <w:gridCol w:w="571"/>
        <w:gridCol w:w="601"/>
        <w:gridCol w:w="608"/>
        <w:gridCol w:w="601"/>
        <w:gridCol w:w="601"/>
        <w:gridCol w:w="595"/>
        <w:gridCol w:w="634"/>
      </w:tblGrid>
      <w:tr w:rsidR="00F76511" w:rsidRPr="00AC555D" w14:paraId="6BD2F5BE" w14:textId="77777777" w:rsidTr="00B84F75">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890" w:type="dxa"/>
          </w:tcPr>
          <w:p w14:paraId="7527816D" w14:textId="77777777" w:rsidR="00315D1E" w:rsidRPr="00F76511" w:rsidRDefault="00315D1E" w:rsidP="005D4AF3">
            <w:pPr>
              <w:spacing w:line="240" w:lineRule="auto"/>
              <w:jc w:val="both"/>
              <w:rPr>
                <w:rFonts w:asciiTheme="majorBidi" w:hAnsiTheme="majorBidi" w:cstheme="majorBidi"/>
                <w:sz w:val="22"/>
                <w:szCs w:val="22"/>
                <w:lang w:bidi="fa-IR"/>
              </w:rPr>
            </w:pPr>
            <w:r w:rsidRPr="00F76511">
              <w:rPr>
                <w:rFonts w:asciiTheme="majorBidi" w:hAnsiTheme="majorBidi" w:cstheme="majorBidi"/>
                <w:sz w:val="22"/>
                <w:szCs w:val="22"/>
                <w:lang w:bidi="fa-IR"/>
              </w:rPr>
              <w:t>Bushehr</w:t>
            </w:r>
          </w:p>
        </w:tc>
        <w:tc>
          <w:tcPr>
            <w:tcW w:w="691" w:type="dxa"/>
          </w:tcPr>
          <w:p w14:paraId="079D2DB5" w14:textId="77777777" w:rsidR="00315D1E" w:rsidRPr="00F76511" w:rsidRDefault="00315D1E" w:rsidP="005D4AF3">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Jan</w:t>
            </w:r>
          </w:p>
        </w:tc>
        <w:tc>
          <w:tcPr>
            <w:tcW w:w="0" w:type="auto"/>
          </w:tcPr>
          <w:p w14:paraId="33EF3D04" w14:textId="77777777" w:rsidR="00315D1E" w:rsidRPr="00F76511" w:rsidRDefault="00315D1E" w:rsidP="005D4AF3">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Feb</w:t>
            </w:r>
          </w:p>
        </w:tc>
        <w:tc>
          <w:tcPr>
            <w:tcW w:w="0" w:type="auto"/>
          </w:tcPr>
          <w:p w14:paraId="7C048822" w14:textId="77777777" w:rsidR="00315D1E" w:rsidRPr="00F76511" w:rsidRDefault="00315D1E" w:rsidP="005D4AF3">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Mar</w:t>
            </w:r>
          </w:p>
        </w:tc>
        <w:tc>
          <w:tcPr>
            <w:tcW w:w="0" w:type="auto"/>
          </w:tcPr>
          <w:p w14:paraId="54E77DB5" w14:textId="77777777" w:rsidR="00315D1E" w:rsidRPr="00F76511" w:rsidRDefault="00315D1E" w:rsidP="005D4AF3">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Apr</w:t>
            </w:r>
          </w:p>
        </w:tc>
        <w:tc>
          <w:tcPr>
            <w:tcW w:w="0" w:type="auto"/>
          </w:tcPr>
          <w:p w14:paraId="4FCE5E3F" w14:textId="77777777" w:rsidR="00315D1E" w:rsidRPr="00F76511" w:rsidRDefault="00315D1E" w:rsidP="005D4AF3">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May</w:t>
            </w:r>
          </w:p>
        </w:tc>
        <w:tc>
          <w:tcPr>
            <w:tcW w:w="0" w:type="auto"/>
          </w:tcPr>
          <w:p w14:paraId="3B027A64" w14:textId="77777777" w:rsidR="00315D1E" w:rsidRPr="00F76511" w:rsidRDefault="00315D1E" w:rsidP="005D4AF3">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Jun</w:t>
            </w:r>
          </w:p>
        </w:tc>
        <w:tc>
          <w:tcPr>
            <w:tcW w:w="0" w:type="auto"/>
          </w:tcPr>
          <w:p w14:paraId="691E308F" w14:textId="77777777" w:rsidR="00315D1E" w:rsidRPr="00F76511" w:rsidRDefault="00315D1E" w:rsidP="005D4AF3">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Jul</w:t>
            </w:r>
          </w:p>
        </w:tc>
        <w:tc>
          <w:tcPr>
            <w:tcW w:w="0" w:type="auto"/>
          </w:tcPr>
          <w:p w14:paraId="4639BCCF" w14:textId="77777777" w:rsidR="00315D1E" w:rsidRPr="00F76511" w:rsidRDefault="00315D1E" w:rsidP="005D4AF3">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Aug</w:t>
            </w:r>
          </w:p>
        </w:tc>
        <w:tc>
          <w:tcPr>
            <w:tcW w:w="0" w:type="auto"/>
          </w:tcPr>
          <w:p w14:paraId="300D2964" w14:textId="77777777" w:rsidR="00315D1E" w:rsidRPr="00F76511" w:rsidRDefault="00315D1E" w:rsidP="005D4AF3">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Sep</w:t>
            </w:r>
          </w:p>
        </w:tc>
        <w:tc>
          <w:tcPr>
            <w:tcW w:w="0" w:type="auto"/>
          </w:tcPr>
          <w:p w14:paraId="03F9B327" w14:textId="77777777" w:rsidR="00315D1E" w:rsidRPr="00F76511" w:rsidRDefault="00315D1E" w:rsidP="005D4AF3">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Oct</w:t>
            </w:r>
          </w:p>
        </w:tc>
        <w:tc>
          <w:tcPr>
            <w:tcW w:w="0" w:type="auto"/>
          </w:tcPr>
          <w:p w14:paraId="1D5AA022" w14:textId="77777777" w:rsidR="00315D1E" w:rsidRPr="00F76511" w:rsidRDefault="00315D1E" w:rsidP="005D4AF3">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Nov</w:t>
            </w:r>
          </w:p>
        </w:tc>
        <w:tc>
          <w:tcPr>
            <w:tcW w:w="634" w:type="dxa"/>
          </w:tcPr>
          <w:p w14:paraId="38BDFE56" w14:textId="77777777" w:rsidR="00315D1E" w:rsidRPr="00F76511" w:rsidRDefault="00315D1E" w:rsidP="005D4AF3">
            <w:pPr>
              <w:spacing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Dec</w:t>
            </w:r>
          </w:p>
        </w:tc>
      </w:tr>
      <w:tr w:rsidR="00F76511" w:rsidRPr="00AC555D" w14:paraId="068CD78E" w14:textId="77777777" w:rsidTr="00B84F75">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890" w:type="dxa"/>
          </w:tcPr>
          <w:p w14:paraId="172A6553" w14:textId="77777777" w:rsidR="00315D1E" w:rsidRPr="00B84F75" w:rsidRDefault="00315D1E" w:rsidP="005D4AF3">
            <w:pPr>
              <w:tabs>
                <w:tab w:val="left" w:pos="-120"/>
                <w:tab w:val="left" w:pos="-30"/>
              </w:tabs>
              <w:spacing w:line="240" w:lineRule="auto"/>
              <w:jc w:val="both"/>
              <w:rPr>
                <w:rFonts w:asciiTheme="majorBidi" w:hAnsiTheme="majorBidi" w:cstheme="majorBidi"/>
                <w:b w:val="0"/>
                <w:bCs w:val="0"/>
                <w:sz w:val="22"/>
                <w:szCs w:val="22"/>
                <w:lang w:bidi="fa-IR"/>
              </w:rPr>
            </w:pPr>
            <w:r w:rsidRPr="00B84F75">
              <w:rPr>
                <w:rFonts w:asciiTheme="majorBidi" w:hAnsiTheme="majorBidi" w:cstheme="majorBidi"/>
                <w:b w:val="0"/>
                <w:bCs w:val="0"/>
                <w:sz w:val="22"/>
                <w:szCs w:val="22"/>
                <w:lang w:bidi="fa-IR"/>
              </w:rPr>
              <w:t>Average Dry Bulb Temperature (C)</w:t>
            </w:r>
          </w:p>
        </w:tc>
        <w:tc>
          <w:tcPr>
            <w:tcW w:w="691" w:type="dxa"/>
          </w:tcPr>
          <w:p w14:paraId="507DD8D3" w14:textId="77777777" w:rsidR="00315D1E" w:rsidRPr="00F76511" w:rsidRDefault="00315D1E" w:rsidP="005D4AF3">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14.9</w:t>
            </w:r>
          </w:p>
        </w:tc>
        <w:tc>
          <w:tcPr>
            <w:tcW w:w="0" w:type="auto"/>
          </w:tcPr>
          <w:p w14:paraId="06F3EEEC" w14:textId="77777777" w:rsidR="00315D1E" w:rsidRPr="00F76511" w:rsidRDefault="00315D1E" w:rsidP="005D4AF3">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16.5</w:t>
            </w:r>
          </w:p>
        </w:tc>
        <w:tc>
          <w:tcPr>
            <w:tcW w:w="0" w:type="auto"/>
          </w:tcPr>
          <w:p w14:paraId="57218629" w14:textId="77777777" w:rsidR="00315D1E" w:rsidRPr="00F76511" w:rsidRDefault="00315D1E" w:rsidP="005D4AF3">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19.9</w:t>
            </w:r>
          </w:p>
        </w:tc>
        <w:tc>
          <w:tcPr>
            <w:tcW w:w="0" w:type="auto"/>
          </w:tcPr>
          <w:p w14:paraId="3C24B61A" w14:textId="77777777" w:rsidR="00315D1E" w:rsidRPr="00F76511" w:rsidRDefault="00315D1E" w:rsidP="005D4AF3">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24.2</w:t>
            </w:r>
          </w:p>
        </w:tc>
        <w:tc>
          <w:tcPr>
            <w:tcW w:w="0" w:type="auto"/>
          </w:tcPr>
          <w:p w14:paraId="676AC9CD" w14:textId="77777777" w:rsidR="00315D1E" w:rsidRPr="00F76511" w:rsidRDefault="00315D1E" w:rsidP="005D4AF3">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29.3</w:t>
            </w:r>
          </w:p>
        </w:tc>
        <w:tc>
          <w:tcPr>
            <w:tcW w:w="0" w:type="auto"/>
          </w:tcPr>
          <w:p w14:paraId="06CCACD2" w14:textId="77777777" w:rsidR="00315D1E" w:rsidRPr="00F76511" w:rsidRDefault="00315D1E" w:rsidP="005D4AF3">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31</w:t>
            </w:r>
          </w:p>
        </w:tc>
        <w:tc>
          <w:tcPr>
            <w:tcW w:w="0" w:type="auto"/>
          </w:tcPr>
          <w:p w14:paraId="750EA49D" w14:textId="77777777" w:rsidR="00315D1E" w:rsidRPr="00F76511" w:rsidRDefault="00315D1E" w:rsidP="005D4AF3">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33.1</w:t>
            </w:r>
          </w:p>
        </w:tc>
        <w:tc>
          <w:tcPr>
            <w:tcW w:w="0" w:type="auto"/>
          </w:tcPr>
          <w:p w14:paraId="4DCE214E" w14:textId="77777777" w:rsidR="00315D1E" w:rsidRPr="00F76511" w:rsidRDefault="00315D1E" w:rsidP="005D4AF3">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33.7</w:t>
            </w:r>
          </w:p>
        </w:tc>
        <w:tc>
          <w:tcPr>
            <w:tcW w:w="0" w:type="auto"/>
          </w:tcPr>
          <w:p w14:paraId="77E09A5A" w14:textId="77777777" w:rsidR="00315D1E" w:rsidRPr="00F76511" w:rsidRDefault="00315D1E" w:rsidP="005D4AF3">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31.3</w:t>
            </w:r>
          </w:p>
        </w:tc>
        <w:tc>
          <w:tcPr>
            <w:tcW w:w="0" w:type="auto"/>
          </w:tcPr>
          <w:p w14:paraId="7E8E79E9" w14:textId="77777777" w:rsidR="00315D1E" w:rsidRPr="00F76511" w:rsidRDefault="00315D1E" w:rsidP="005D4AF3">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28.4</w:t>
            </w:r>
          </w:p>
        </w:tc>
        <w:tc>
          <w:tcPr>
            <w:tcW w:w="0" w:type="auto"/>
          </w:tcPr>
          <w:p w14:paraId="3AE7CC5E" w14:textId="77777777" w:rsidR="00315D1E" w:rsidRPr="00F76511" w:rsidRDefault="00315D1E" w:rsidP="005D4AF3">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22</w:t>
            </w:r>
          </w:p>
        </w:tc>
        <w:tc>
          <w:tcPr>
            <w:tcW w:w="634" w:type="dxa"/>
          </w:tcPr>
          <w:p w14:paraId="6997FB34" w14:textId="77777777" w:rsidR="00315D1E" w:rsidRPr="00F76511" w:rsidRDefault="00315D1E" w:rsidP="005D4AF3">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17.1</w:t>
            </w:r>
          </w:p>
        </w:tc>
      </w:tr>
      <w:tr w:rsidR="00F76511" w:rsidRPr="00AC555D" w14:paraId="68227197" w14:textId="77777777" w:rsidTr="00B84F75">
        <w:trPr>
          <w:trHeight w:val="437"/>
        </w:trPr>
        <w:tc>
          <w:tcPr>
            <w:cnfStyle w:val="001000000000" w:firstRow="0" w:lastRow="0" w:firstColumn="1" w:lastColumn="0" w:oddVBand="0" w:evenVBand="0" w:oddHBand="0" w:evenHBand="0" w:firstRowFirstColumn="0" w:firstRowLastColumn="0" w:lastRowFirstColumn="0" w:lastRowLastColumn="0"/>
            <w:tcW w:w="1890" w:type="dxa"/>
          </w:tcPr>
          <w:p w14:paraId="64361802" w14:textId="77777777" w:rsidR="00315D1E" w:rsidRPr="00B84F75" w:rsidRDefault="00315D1E" w:rsidP="005D4AF3">
            <w:pPr>
              <w:spacing w:line="240" w:lineRule="auto"/>
              <w:jc w:val="both"/>
              <w:rPr>
                <w:rFonts w:asciiTheme="majorBidi" w:hAnsiTheme="majorBidi" w:cstheme="majorBidi"/>
                <w:b w:val="0"/>
                <w:bCs w:val="0"/>
                <w:sz w:val="22"/>
                <w:szCs w:val="22"/>
                <w:lang w:bidi="fa-IR"/>
              </w:rPr>
            </w:pPr>
            <w:r w:rsidRPr="00B84F75">
              <w:rPr>
                <w:rFonts w:asciiTheme="majorBidi" w:hAnsiTheme="majorBidi" w:cstheme="majorBidi"/>
                <w:b w:val="0"/>
                <w:bCs w:val="0"/>
                <w:sz w:val="22"/>
                <w:szCs w:val="22"/>
                <w:lang w:bidi="fa-IR"/>
              </w:rPr>
              <w:t>Average Relative Humidity (%)</w:t>
            </w:r>
          </w:p>
        </w:tc>
        <w:tc>
          <w:tcPr>
            <w:tcW w:w="691" w:type="dxa"/>
          </w:tcPr>
          <w:p w14:paraId="0A43F220" w14:textId="77777777" w:rsidR="00315D1E" w:rsidRPr="00F76511" w:rsidRDefault="00315D1E" w:rsidP="005D4AF3">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74</w:t>
            </w:r>
          </w:p>
        </w:tc>
        <w:tc>
          <w:tcPr>
            <w:tcW w:w="0" w:type="auto"/>
          </w:tcPr>
          <w:p w14:paraId="6BAC7097" w14:textId="77777777" w:rsidR="00315D1E" w:rsidRPr="00F76511" w:rsidRDefault="00315D1E" w:rsidP="005D4AF3">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72</w:t>
            </w:r>
          </w:p>
        </w:tc>
        <w:tc>
          <w:tcPr>
            <w:tcW w:w="0" w:type="auto"/>
          </w:tcPr>
          <w:p w14:paraId="51684F2F" w14:textId="77777777" w:rsidR="00315D1E" w:rsidRPr="00F76511" w:rsidRDefault="00315D1E" w:rsidP="005D4AF3">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69</w:t>
            </w:r>
          </w:p>
        </w:tc>
        <w:tc>
          <w:tcPr>
            <w:tcW w:w="0" w:type="auto"/>
          </w:tcPr>
          <w:p w14:paraId="29B2A181" w14:textId="77777777" w:rsidR="00315D1E" w:rsidRPr="00F76511" w:rsidRDefault="00315D1E" w:rsidP="005D4AF3">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66</w:t>
            </w:r>
          </w:p>
        </w:tc>
        <w:tc>
          <w:tcPr>
            <w:tcW w:w="0" w:type="auto"/>
          </w:tcPr>
          <w:p w14:paraId="44EAAD20" w14:textId="77777777" w:rsidR="00315D1E" w:rsidRPr="00F76511" w:rsidRDefault="00315D1E" w:rsidP="005D4AF3">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59</w:t>
            </w:r>
          </w:p>
        </w:tc>
        <w:tc>
          <w:tcPr>
            <w:tcW w:w="0" w:type="auto"/>
          </w:tcPr>
          <w:p w14:paraId="7A00879A" w14:textId="77777777" w:rsidR="00315D1E" w:rsidRPr="00F76511" w:rsidRDefault="00315D1E" w:rsidP="005D4AF3">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65</w:t>
            </w:r>
          </w:p>
        </w:tc>
        <w:tc>
          <w:tcPr>
            <w:tcW w:w="0" w:type="auto"/>
          </w:tcPr>
          <w:p w14:paraId="015F1D21" w14:textId="77777777" w:rsidR="00315D1E" w:rsidRPr="00F76511" w:rsidRDefault="00315D1E" w:rsidP="005D4AF3">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67</w:t>
            </w:r>
          </w:p>
        </w:tc>
        <w:tc>
          <w:tcPr>
            <w:tcW w:w="0" w:type="auto"/>
          </w:tcPr>
          <w:p w14:paraId="38ED29F8" w14:textId="77777777" w:rsidR="00315D1E" w:rsidRPr="00F76511" w:rsidRDefault="00315D1E" w:rsidP="005D4AF3">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72</w:t>
            </w:r>
          </w:p>
        </w:tc>
        <w:tc>
          <w:tcPr>
            <w:tcW w:w="0" w:type="auto"/>
          </w:tcPr>
          <w:p w14:paraId="7D6FE4A9" w14:textId="77777777" w:rsidR="00315D1E" w:rsidRPr="00F76511" w:rsidRDefault="00315D1E" w:rsidP="005D4AF3">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70</w:t>
            </w:r>
          </w:p>
        </w:tc>
        <w:tc>
          <w:tcPr>
            <w:tcW w:w="0" w:type="auto"/>
          </w:tcPr>
          <w:p w14:paraId="48A41D55" w14:textId="77777777" w:rsidR="00315D1E" w:rsidRPr="00F76511" w:rsidRDefault="00315D1E" w:rsidP="005D4AF3">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68</w:t>
            </w:r>
          </w:p>
        </w:tc>
        <w:tc>
          <w:tcPr>
            <w:tcW w:w="0" w:type="auto"/>
          </w:tcPr>
          <w:p w14:paraId="5B061C1F" w14:textId="77777777" w:rsidR="00315D1E" w:rsidRPr="00F76511" w:rsidRDefault="00315D1E" w:rsidP="005D4AF3">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65</w:t>
            </w:r>
          </w:p>
        </w:tc>
        <w:tc>
          <w:tcPr>
            <w:tcW w:w="634" w:type="dxa"/>
          </w:tcPr>
          <w:p w14:paraId="1471ADBA" w14:textId="77777777" w:rsidR="00315D1E" w:rsidRPr="00F76511" w:rsidRDefault="00315D1E" w:rsidP="005D4AF3">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F76511">
              <w:rPr>
                <w:rFonts w:asciiTheme="majorBidi" w:hAnsiTheme="majorBidi" w:cstheme="majorBidi"/>
                <w:sz w:val="22"/>
                <w:szCs w:val="22"/>
                <w:lang w:bidi="fa-IR"/>
              </w:rPr>
              <w:t>75</w:t>
            </w:r>
          </w:p>
        </w:tc>
      </w:tr>
    </w:tbl>
    <w:p w14:paraId="0C6C9077" w14:textId="77777777" w:rsidR="00315D1E" w:rsidRPr="00AC555D" w:rsidRDefault="00315D1E" w:rsidP="005D4AF3">
      <w:pPr>
        <w:spacing w:line="240" w:lineRule="auto"/>
        <w:jc w:val="both"/>
        <w:rPr>
          <w:rFonts w:asciiTheme="majorBidi" w:eastAsia="Calibri" w:hAnsiTheme="majorBidi" w:cstheme="majorBidi"/>
          <w:rtl/>
        </w:rPr>
      </w:pPr>
    </w:p>
    <w:p w14:paraId="3BEEDA35" w14:textId="77777777" w:rsidR="00315D1E" w:rsidRPr="00AC555D" w:rsidRDefault="00315D1E" w:rsidP="005D4AF3">
      <w:pPr>
        <w:spacing w:line="240" w:lineRule="auto"/>
        <w:jc w:val="center"/>
        <w:rPr>
          <w:rFonts w:asciiTheme="majorBidi" w:eastAsia="Calibri" w:hAnsiTheme="majorBidi" w:cstheme="majorBidi"/>
          <w:sz w:val="20"/>
          <w:szCs w:val="20"/>
          <w:rtl/>
        </w:rPr>
      </w:pPr>
      <w:r w:rsidRPr="00AC555D">
        <w:rPr>
          <w:rFonts w:asciiTheme="majorBidi" w:hAnsiTheme="majorBidi" w:cstheme="majorBidi"/>
          <w:noProof/>
          <w:lang w:val="en-US" w:eastAsia="en-US"/>
        </w:rPr>
        <w:drawing>
          <wp:inline distT="0" distB="0" distL="0" distR="0" wp14:anchorId="34F7095E" wp14:editId="042F2435">
            <wp:extent cx="2644140" cy="1888377"/>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t="3815"/>
                    <a:stretch/>
                  </pic:blipFill>
                  <pic:spPr bwMode="auto">
                    <a:xfrm>
                      <a:off x="0" y="0"/>
                      <a:ext cx="2644140" cy="1888377"/>
                    </a:xfrm>
                    <a:prstGeom prst="rect">
                      <a:avLst/>
                    </a:prstGeom>
                    <a:ln>
                      <a:noFill/>
                    </a:ln>
                    <a:extLst>
                      <a:ext uri="{53640926-AAD7-44D8-BBD7-CCE9431645EC}">
                        <a14:shadowObscured xmlns:a14="http://schemas.microsoft.com/office/drawing/2010/main"/>
                      </a:ext>
                    </a:extLst>
                  </pic:spPr>
                </pic:pic>
              </a:graphicData>
            </a:graphic>
          </wp:inline>
        </w:drawing>
      </w:r>
    </w:p>
    <w:p w14:paraId="5535E6D7" w14:textId="77777777" w:rsidR="00315D1E" w:rsidRPr="00AC555D" w:rsidRDefault="00315D1E" w:rsidP="005D4AF3">
      <w:pPr>
        <w:pStyle w:val="Figurecaption"/>
        <w:spacing w:before="0" w:line="240" w:lineRule="auto"/>
        <w:rPr>
          <w:rFonts w:eastAsia="Calibri"/>
          <w:rtl/>
          <w:lang w:bidi="fa-IR"/>
        </w:rPr>
      </w:pPr>
      <w:r w:rsidRPr="00AC555D">
        <w:rPr>
          <w:rFonts w:eastAsia="Calibri"/>
        </w:rPr>
        <w:lastRenderedPageBreak/>
        <w:t>Figure 1</w:t>
      </w:r>
      <w:r w:rsidR="00354240">
        <w:rPr>
          <w:rFonts w:eastAsia="Calibri"/>
        </w:rPr>
        <w:t>.</w:t>
      </w:r>
      <w:r w:rsidRPr="00AC555D">
        <w:rPr>
          <w:rFonts w:eastAsia="Calibri"/>
        </w:rPr>
        <w:t xml:space="preserve"> Location of Bushehr historical urban fabric in the peninsula; Source: (Document </w:t>
      </w:r>
      <w:r w:rsidR="00F76511" w:rsidRPr="00AC555D">
        <w:rPr>
          <w:rFonts w:eastAsia="Calibri"/>
        </w:rPr>
        <w:t>Centre</w:t>
      </w:r>
      <w:r w:rsidRPr="00AC555D">
        <w:rPr>
          <w:rFonts w:eastAsia="Calibri"/>
        </w:rPr>
        <w:t xml:space="preserve"> of Bushehr)</w:t>
      </w:r>
    </w:p>
    <w:p w14:paraId="0FE599CE" w14:textId="77777777" w:rsidR="00315D1E" w:rsidRPr="00AC555D" w:rsidRDefault="00315D1E" w:rsidP="005D4AF3">
      <w:pPr>
        <w:pStyle w:val="Heading3"/>
        <w:spacing w:line="240" w:lineRule="auto"/>
        <w:rPr>
          <w:rFonts w:eastAsia="Calibri"/>
          <w:lang w:bidi="fa-IR"/>
        </w:rPr>
      </w:pPr>
      <w:r w:rsidRPr="00AC555D">
        <w:rPr>
          <w:rFonts w:eastAsia="Calibri"/>
          <w:lang w:bidi="fa-IR"/>
        </w:rPr>
        <w:t>2-1-2- Façade &amp; Opening Characteristics</w:t>
      </w:r>
    </w:p>
    <w:p w14:paraId="764A2330" w14:textId="2FCFA70B" w:rsidR="00315D1E" w:rsidRPr="00AC555D" w:rsidRDefault="00315D1E" w:rsidP="001230AF">
      <w:pPr>
        <w:pStyle w:val="Paragraph"/>
        <w:spacing w:before="0" w:line="240" w:lineRule="auto"/>
        <w:jc w:val="both"/>
        <w:rPr>
          <w:noProof/>
        </w:rPr>
      </w:pPr>
      <w:r w:rsidRPr="00AC555D">
        <w:rPr>
          <w:rFonts w:eastAsia="Calibri"/>
          <w:lang w:bidi="fa-IR"/>
        </w:rPr>
        <w:t xml:space="preserve">Bushehr vernacular buildings have an introverted-extroverted pattern. It means that facades open both towards the central courtyard and also the urban passageway </w:t>
      </w:r>
      <w:r w:rsidRPr="00AC555D">
        <w:rPr>
          <w:rFonts w:eastAsia="Calibri"/>
          <w:lang w:bidi="fa-IR"/>
        </w:rPr>
        <w:fldChar w:fldCharType="begin" w:fldLock="1"/>
      </w:r>
      <w:r w:rsidR="008A3122">
        <w:rPr>
          <w:rFonts w:eastAsia="Calibri"/>
          <w:lang w:bidi="fa-IR"/>
        </w:rPr>
        <w:instrText>ADDIN CSL_CITATION {"citationItems":[{"id":"ITEM-1","itemData":{"author":[{"dropping-particle":"","family":"Karimi","given":"Bagher","non-dropping-particle":"","parse-names":false,"suffix":""}],"container-title":"HOVIAT-E-SHAHR","id":"ITEM-1","issue":"11","issued":{"date-parts":[["2012"]]},"page":"85-96","title":"Persian Gulf Architecture The Effect Of Bushehr Old Tissue On The Culture And Architecture Of The Persian Gulf Countries (Case Study: Al-Bastakiyeh Neighborhood In Dubai)","type":"article-journal","volume":"6"},"uris":["http://www.mendeley.com/documents/?uuid=ab346adf-10f0-45f2-85f1-7174c5041f45"]},{"id":"ITEM-2","itemData":{"abstract":"Vernacular architecture is the product of the interaction between local residents and the nature in geographical area which results in unique achievements in providing physical, mental and intellectual needs of human. Vernacular architecture of Bushehr has provided considerable strategies in accordance with the micro ecosystem in its multilayers cultural link. Understanding these strategies can provide ideas for applying in architectural design. One of the ideas was formed intimation in the hot and humid climate of this city. This principle was very important in some architectural places like Girls&amp;rsaquo; schools. Having contact to the outdoor area, especially for the girl students, who have a low contact because of living in apartment, is very effective in terms of physical, mental and intellectual growth. Therefore, intimation, through increasing the feeling of belonging to the environment, can improve the satisfaction level of girl students to the school which finally improve their creativity. Intimation of schools is considered as providing conditions through architecture and regulations, so that girl students can study in open, semi-open, semi-closed and closed areas of the school more freely and in accordance to the Islamic dress code. This has been considered in the document of fundamental transformation of education and here it has been emphasized on the observance of intimation sentences in the considered area. The purpose of this study is to show the manner of intimating in the schools of Bushehr regarding to the four psychological, cultural, religious, and educational needs. So this study, with emphasizing on intimation in vernacular architecture of Bushehr, and achieving cultural strategies of intimation in climatic architecture of Bushehr, proposes this question: How intimation is manifested in the vernacular architecture of the city of Bushehr? The main strategy for answering this question is a qualitative investigation which has been used for developing the framework of the research; for collecting data it has been used from literature studies, scientific databases and observation methods, and, qualitative analysis has been used for analyzing the data. Findings of this study shows that intimation in the vernacular architecture of Bushehr has been provided in three scales of micro, middle and macro scales. Intimation in micro-scale refers to the single elements of the building in the vernacular architecture of Bushehr which has been manif…","author":[{"dropping-particle":"","family":"Eshrati","given":"Parastoo","non-dropping-particle":"","parse-names":false,"suffix":""},{"dropping-particle":"","family":"Namazi","given":"Mohammad Kazem","non-dropping-particle":"","parse-names":false,"suffix":""},{"dropping-particle":"","family":"Eshrati","given":"Dorna","non-dropping-particle":"","parse-names":false,"suffix":""},{"dropping-particle":"","family":"Fadaei Nezhad Bahramjerdi","given":"Somayeh","non-dropping-particle":"","parse-names":false,"suffix":""}],"container-title":"Jria","id":"ITEM-2","issue":"2","issued":{"date-parts":[["2016","9","1"]]},"page":"37-56","title":"Intimating Girls' schools With an emphasis on vernacular architecture Bushehr city","type":"article-journal","volume":"4"},"uris":["http://www.mendeley.com/documents/?uuid=6de3c597-6449-41a3-ae29-6e6198949693"]}],"mendeley":{"formattedCitation":"(Karimi 2012; Eshrati et al. 2016)","manualFormatting":"(Karimi, 2012: 85; Eshrati et al., 2016: 45-47)","plainTextFormattedCitation":"(Karimi 2012; Eshrati et al. 2016)","previouslyFormattedCitation":"(Karimi 2012; Eshrati et al. 2016)"},"properties":{"noteIndex":0},"schema":"https://github.com/citation-style-language/schema/raw/master/csl-citation.json"}</w:instrText>
      </w:r>
      <w:r w:rsidRPr="00AC555D">
        <w:rPr>
          <w:rFonts w:eastAsia="Calibri"/>
          <w:lang w:bidi="fa-IR"/>
        </w:rPr>
        <w:fldChar w:fldCharType="separate"/>
      </w:r>
      <w:r w:rsidRPr="00AC555D">
        <w:rPr>
          <w:rFonts w:eastAsia="Calibri"/>
          <w:noProof/>
          <w:lang w:bidi="fa-IR"/>
        </w:rPr>
        <w:t xml:space="preserve">(Karimi, 2012: 85; Eshrati </w:t>
      </w:r>
      <w:r w:rsidRPr="00AC555D">
        <w:rPr>
          <w:rFonts w:eastAsia="Calibri"/>
          <w:i/>
          <w:noProof/>
          <w:lang w:bidi="fa-IR"/>
        </w:rPr>
        <w:t>et al.</w:t>
      </w:r>
      <w:r w:rsidRPr="00AC555D">
        <w:rPr>
          <w:rFonts w:eastAsia="Calibri"/>
          <w:noProof/>
          <w:lang w:bidi="fa-IR"/>
        </w:rPr>
        <w:t>, 2016: 45-47)</w:t>
      </w:r>
      <w:r w:rsidRPr="00AC555D">
        <w:rPr>
          <w:rFonts w:eastAsia="Calibri"/>
          <w:lang w:bidi="fa-IR"/>
        </w:rPr>
        <w:fldChar w:fldCharType="end"/>
      </w:r>
      <w:r w:rsidRPr="00AC555D">
        <w:rPr>
          <w:rFonts w:eastAsia="Calibri"/>
          <w:lang w:bidi="fa-IR"/>
        </w:rPr>
        <w:t xml:space="preserve">. This pattern helps to reduce humidity of interior spaces by making cross-ventilation possible </w:t>
      </w:r>
      <w:r w:rsidRPr="00AC555D">
        <w:rPr>
          <w:rFonts w:eastAsia="Calibri"/>
          <w:lang w:bidi="fa-IR"/>
        </w:rPr>
        <w:fldChar w:fldCharType="begin" w:fldLock="1"/>
      </w:r>
      <w:r w:rsidR="008A3122">
        <w:rPr>
          <w:rFonts w:eastAsia="Calibri"/>
          <w:lang w:bidi="fa-IR"/>
        </w:rPr>
        <w:instrText>ADDIN CSL_CITATION {"citationItems":[{"id":"ITEM-1","itemData":{"author":[{"dropping-particle":"","family":"Vakilinezhad","given":"Roza","non-dropping-particle":"","parse-names":false,"suffix":""},{"dropping-particle":"","family":"Mofidi","given":"S","non-dropping-particle":"","parse-names":false,"suffix":""},{"dropping-particle":"","family":"Mehdizadeh","given":"","non-dropping-particle":"","parse-names":false,"suffix":""}],"container-title":"International Journal of Environmental Sustainability","id":"ITEM-1","issued":{"date-parts":[["2013","1","1"]]},"page":"101-110","title":"'Shanashil': A sustainable element to balance light, view, and thermal comfort","type":"article-journal","volume":"8"},"uris":["http://www.mendeley.com/documents/?uuid=a65eba08-e1c7-4d6c-ab53-a010dcec0327"]},{"id":"ITEM-2","itemData":{"author":[{"dropping-particle":"","family":"Brown","given":"F","non-dropping-particle":"","parse-names":false,"suffix":""},{"dropping-particle":"","family":"Memarian","given":"Gholam Hossein","non-dropping-particle":"","parse-names":false,"suffix":""},{"dropping-particle":"","family":"Edwards","given":"Bryan","non-dropping-particle":"","parse-names":false,"suffix":""},{"dropping-particle":"","family":"Sibley","given":"Magda","non-dropping-particle":"","parse-names":false,"suffix":""},{"dropping-particle":"","family":"Hakmi","given":"M","non-dropping-particle":"","parse-names":false,"suffix":""},{"dropping-particle":"","family":"Land","given":"P","non-dropping-particle":"","parse-names":false,"suffix":""}],"id":"ITEM-2","issued":{"date-parts":[["2006"]]},"title":"The shared characteristics of Iranian and Arab courtyard houses","type":"paper-conference"},"uris":["http://www.mendeley.com/documents/?uuid=63c96fa9-8ab0-4bd2-bdb8-e592edf97850"]}],"mendeley":{"formattedCitation":"(Vakilinezhad, Mofidi, and Mehdizadeh 2013; Brown et al. 2006)","manualFormatting":"(Brown et al., 2006; Vakilinezhad, Mofidi and Mehdizadeh, 2013: 6)","plainTextFormattedCitation":"(Vakilinezhad, Mofidi, and Mehdizadeh 2013; Brown et al. 2006)","previouslyFormattedCitation":"(Vakilinezhad, Mofidi, and Mehdizadeh 2013; Brown et al. 2006)"},"properties":{"noteIndex":0},"schema":"https://github.com/citation-style-language/schema/raw/master/csl-citation.json"}</w:instrText>
      </w:r>
      <w:r w:rsidRPr="00AC555D">
        <w:rPr>
          <w:rFonts w:eastAsia="Calibri"/>
          <w:lang w:bidi="fa-IR"/>
        </w:rPr>
        <w:fldChar w:fldCharType="separate"/>
      </w:r>
      <w:r w:rsidRPr="00AC555D">
        <w:rPr>
          <w:rFonts w:eastAsia="Calibri"/>
          <w:noProof/>
          <w:lang w:bidi="fa-IR"/>
        </w:rPr>
        <w:t xml:space="preserve">(Brown </w:t>
      </w:r>
      <w:r w:rsidRPr="00AC555D">
        <w:rPr>
          <w:rFonts w:eastAsia="Calibri"/>
          <w:i/>
          <w:noProof/>
          <w:lang w:bidi="fa-IR"/>
        </w:rPr>
        <w:t>et al.</w:t>
      </w:r>
      <w:r w:rsidRPr="00AC555D">
        <w:rPr>
          <w:rFonts w:eastAsia="Calibri"/>
          <w:noProof/>
          <w:lang w:bidi="fa-IR"/>
        </w:rPr>
        <w:t>, 2006; Vakilinezhad, Mofidi and Mehdizadeh, 2013: 6)</w:t>
      </w:r>
      <w:r w:rsidRPr="00AC555D">
        <w:rPr>
          <w:rFonts w:eastAsia="Calibri"/>
          <w:lang w:bidi="fa-IR"/>
        </w:rPr>
        <w:fldChar w:fldCharType="end"/>
      </w:r>
      <w:r w:rsidRPr="00AC555D">
        <w:rPr>
          <w:rFonts w:eastAsia="Calibri"/>
          <w:lang w:bidi="fa-IR"/>
        </w:rPr>
        <w:t xml:space="preserve"> (Figure 2). </w:t>
      </w:r>
    </w:p>
    <w:p w14:paraId="1534E0DA" w14:textId="77777777" w:rsidR="00315D1E" w:rsidRPr="00AC555D" w:rsidRDefault="00315D1E" w:rsidP="005D4AF3">
      <w:pPr>
        <w:spacing w:line="240" w:lineRule="auto"/>
        <w:jc w:val="center"/>
        <w:rPr>
          <w:rFonts w:asciiTheme="majorBidi" w:hAnsiTheme="majorBidi" w:cstheme="majorBidi"/>
          <w:rtl/>
          <w:lang w:bidi="fa-IR"/>
        </w:rPr>
      </w:pPr>
      <w:r w:rsidRPr="00AC555D">
        <w:rPr>
          <w:rFonts w:asciiTheme="majorBidi" w:hAnsiTheme="majorBidi" w:cstheme="majorBidi"/>
          <w:noProof/>
          <w:lang w:val="en-US" w:eastAsia="en-US"/>
        </w:rPr>
        <w:drawing>
          <wp:inline distT="0" distB="0" distL="0" distR="0" wp14:anchorId="1F8CBC8E" wp14:editId="752A4902">
            <wp:extent cx="2438400" cy="1625600"/>
            <wp:effectExtent l="19050" t="19050" r="19050"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مردم شناسی- بیرون.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48050" cy="1632033"/>
                    </a:xfrm>
                    <a:prstGeom prst="rect">
                      <a:avLst/>
                    </a:prstGeom>
                    <a:ln>
                      <a:solidFill>
                        <a:schemeClr val="bg1"/>
                      </a:solidFill>
                    </a:ln>
                  </pic:spPr>
                </pic:pic>
              </a:graphicData>
            </a:graphic>
          </wp:inline>
        </w:drawing>
      </w:r>
      <w:r w:rsidRPr="00AC555D">
        <w:rPr>
          <w:rFonts w:asciiTheme="majorBidi" w:hAnsiTheme="majorBidi" w:cstheme="majorBidi"/>
          <w:noProof/>
          <w:lang w:val="en-US" w:eastAsia="en-US"/>
        </w:rPr>
        <w:drawing>
          <wp:inline distT="0" distB="0" distL="0" distR="0" wp14:anchorId="723FBF1E" wp14:editId="1293E999">
            <wp:extent cx="2354580" cy="1567672"/>
            <wp:effectExtent l="19050" t="19050" r="26670" b="139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مردم شناسی.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04031" cy="1600596"/>
                    </a:xfrm>
                    <a:prstGeom prst="rect">
                      <a:avLst/>
                    </a:prstGeom>
                    <a:ln>
                      <a:solidFill>
                        <a:schemeClr val="bg1"/>
                      </a:solidFill>
                    </a:ln>
                  </pic:spPr>
                </pic:pic>
              </a:graphicData>
            </a:graphic>
          </wp:inline>
        </w:drawing>
      </w:r>
    </w:p>
    <w:p w14:paraId="28A2BAC7" w14:textId="77777777" w:rsidR="00315D1E" w:rsidRPr="00354240" w:rsidRDefault="00315D1E" w:rsidP="005D4AF3">
      <w:pPr>
        <w:pStyle w:val="Figurecaption"/>
        <w:spacing w:before="0" w:after="240" w:line="240" w:lineRule="auto"/>
      </w:pPr>
      <w:r w:rsidRPr="00354240">
        <w:t>Figure 2</w:t>
      </w:r>
      <w:r w:rsidR="00354240">
        <w:t>.</w:t>
      </w:r>
      <w:r w:rsidRPr="00354240">
        <w:t xml:space="preserve"> Vernacular architecture with introverted-extroverted pattern of Bushehr city: (left) Exterior views facing the urban passage; (Right) interior views facing the central courtyard; Source: (Document </w:t>
      </w:r>
      <w:r w:rsidR="00F76511" w:rsidRPr="00354240">
        <w:t>Centre</w:t>
      </w:r>
      <w:r w:rsidRPr="00354240">
        <w:t xml:space="preserve"> of Bushehr)</w:t>
      </w:r>
    </w:p>
    <w:p w14:paraId="05E424E3" w14:textId="1F17D4D0" w:rsidR="00315D1E" w:rsidRPr="00AC555D" w:rsidRDefault="00315D1E" w:rsidP="005D4AF3">
      <w:pPr>
        <w:pStyle w:val="Newparagraph"/>
        <w:spacing w:line="240" w:lineRule="auto"/>
        <w:jc w:val="both"/>
      </w:pPr>
      <w:r w:rsidRPr="00AC555D">
        <w:t xml:space="preserve">Bushehr buildings have generally two floors </w:t>
      </w:r>
      <w:r w:rsidRPr="00AC555D">
        <w:fldChar w:fldCharType="begin" w:fldLock="1"/>
      </w:r>
      <w:r w:rsidR="008A3122">
        <w:instrText>ADDIN CSL_CITATION {"citationItems":[{"id":"ITEM-1","itemData":{"DOI":"10.1016/j.ijsbe.2016.05.010","ISSN":"22126104","abstract":"For many years central court houses have been used in parts of Iran with different climates. Though initially there appear to be many similarities, some aspects of these houses vary from one climatic zone to another. Several studies have also suggested that users of these houses moved within them as they sought for better thermal situations. This article sets out how differing sizes, forms and dimensional ratios of central courts in two climate zones of Iran (Yazd, hot and dry, and Bushehr, hot and humid) can support this behaviour. In both places these central court forms can provide good situations for human comfort on various sides and levels of the court. Consequently, residents could move within the house with the seasons to get their desired level of thermal comfort but these traditional patterns of movement differ for each climate zone.","author":[{"dropping-particle":"","family":"Khajehzadeh","given":"Iman","non-dropping-particle":"","parse-names":false,"suffix":""},{"dropping-particle":"","family":"Vale","given":"Brenda","non-dropping-particle":"","parse-names":false,"suffix":""},{"dropping-particle":"","family":"Yavari","given":"Fatemeh","non-dropping-particle":"","parse-names":false,"suffix":""}],"container-title":"International Journal of Sustainable Built Environment","id":"ITEM-1","issue":"2","issued":{"date-parts":[["2016"]]},"page":"470-483","title":"A comparison of the traditional use of court houses in two cities","type":"article-journal","volume":"5"},"uris":["http://www.mendeley.com/documents/?uuid=95d04ff2-1c92-4b17-baef-b4d2b02013d6"]}],"mendeley":{"formattedCitation":"(Khajehzadeh, Vale, and Yavari 2016)","manualFormatting":"(Khajehzadeh, Vale and Yavari, 2016: 473)","plainTextFormattedCitation":"(Khajehzadeh, Vale, and Yavari 2016)","previouslyFormattedCitation":"(Khajehzadeh, Vale, and Yavari 2016)"},"properties":{"noteIndex":0},"schema":"https://github.com/citation-style-language/schema/raw/master/csl-citation.json"}</w:instrText>
      </w:r>
      <w:r w:rsidRPr="00AC555D">
        <w:fldChar w:fldCharType="separate"/>
      </w:r>
      <w:r w:rsidRPr="00AC555D">
        <w:rPr>
          <w:noProof/>
        </w:rPr>
        <w:t>(Khajehzadeh, Vale and Yavari, 2016: 473)</w:t>
      </w:r>
      <w:r w:rsidRPr="00AC555D">
        <w:fldChar w:fldCharType="end"/>
      </w:r>
      <w:r w:rsidRPr="00AC555D">
        <w:t xml:space="preserve"> There may be rooms in two, three, or four directions of the central courtyard. Facades have openings with different dimensions in both arched and rectangular shapes. Due to the diversity of sizes, in this article, openings were divided into three categories based on their sizes, including small, medium and large. Openings that occupy an area of less than 1 square meter are classified in the category of small openings, openings between 1 and 3 square meters are classified in the category of medium openings and openings that occupy more than 3 square meters of the facade are classified in the category of large openings. It should be noted that in this article, the term “opening” includes both windows and door-windows in the facade (Figure 3)</w:t>
      </w:r>
      <w:r w:rsidRPr="00AC555D">
        <w:rPr>
          <w:rtl/>
        </w:rPr>
        <w:t>.</w:t>
      </w:r>
    </w:p>
    <w:p w14:paraId="1C67BB9C" w14:textId="77777777" w:rsidR="00315D1E" w:rsidRPr="00AC555D" w:rsidRDefault="00315D1E" w:rsidP="005D4AF3">
      <w:pPr>
        <w:pStyle w:val="ListParagraph"/>
        <w:spacing w:line="240" w:lineRule="auto"/>
        <w:ind w:left="39"/>
        <w:rPr>
          <w:rtl/>
        </w:rPr>
      </w:pPr>
      <w:r w:rsidRPr="00AC555D">
        <w:rPr>
          <w:noProof/>
          <w:rtl/>
        </w:rPr>
        <w:drawing>
          <wp:inline distT="0" distB="0" distL="0" distR="0" wp14:anchorId="4F754442" wp14:editId="60C88239">
            <wp:extent cx="5463540" cy="2087937"/>
            <wp:effectExtent l="0" t="0" r="381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3.JPG"/>
                    <pic:cNvPicPr/>
                  </pic:nvPicPr>
                  <pic:blipFill>
                    <a:blip r:embed="rId18">
                      <a:extLst>
                        <a:ext uri="{28A0092B-C50C-407E-A947-70E740481C1C}">
                          <a14:useLocalDpi xmlns:a14="http://schemas.microsoft.com/office/drawing/2010/main" val="0"/>
                        </a:ext>
                      </a:extLst>
                    </a:blip>
                    <a:stretch>
                      <a:fillRect/>
                    </a:stretch>
                  </pic:blipFill>
                  <pic:spPr>
                    <a:xfrm>
                      <a:off x="0" y="0"/>
                      <a:ext cx="5502109" cy="2102676"/>
                    </a:xfrm>
                    <a:prstGeom prst="rect">
                      <a:avLst/>
                    </a:prstGeom>
                  </pic:spPr>
                </pic:pic>
              </a:graphicData>
            </a:graphic>
          </wp:inline>
        </w:drawing>
      </w:r>
    </w:p>
    <w:p w14:paraId="52950A6A" w14:textId="77777777" w:rsidR="00315D1E" w:rsidRPr="00AC555D" w:rsidRDefault="00315D1E" w:rsidP="005D4AF3">
      <w:pPr>
        <w:pStyle w:val="Figurecaption"/>
        <w:spacing w:before="0" w:line="240" w:lineRule="auto"/>
        <w:rPr>
          <w:rFonts w:eastAsia="Calibri"/>
        </w:rPr>
      </w:pPr>
      <w:r w:rsidRPr="00AC555D">
        <w:rPr>
          <w:rFonts w:eastAsia="Calibri"/>
        </w:rPr>
        <w:t>Figure 3</w:t>
      </w:r>
      <w:r w:rsidR="00492F97">
        <w:rPr>
          <w:rFonts w:eastAsia="Calibri"/>
        </w:rPr>
        <w:t>.</w:t>
      </w:r>
      <w:r w:rsidRPr="00AC555D">
        <w:rPr>
          <w:rFonts w:eastAsia="Calibri"/>
        </w:rPr>
        <w:t xml:space="preserve"> Classification of types of openings in vernacular buildings of Bushehr port based on shape and size; Source: (Authors based on Document </w:t>
      </w:r>
      <w:r w:rsidR="00354240" w:rsidRPr="00AC555D">
        <w:rPr>
          <w:rFonts w:eastAsia="Calibri"/>
        </w:rPr>
        <w:t>Centre</w:t>
      </w:r>
      <w:r w:rsidRPr="00AC555D">
        <w:rPr>
          <w:rFonts w:eastAsia="Calibri"/>
        </w:rPr>
        <w:t xml:space="preserve"> of Bushehr)</w:t>
      </w:r>
    </w:p>
    <w:p w14:paraId="3ABD6DEF" w14:textId="77777777" w:rsidR="00315D1E" w:rsidRPr="00AC555D" w:rsidRDefault="00315D1E" w:rsidP="005D4AF3">
      <w:pPr>
        <w:pStyle w:val="Heading3"/>
        <w:spacing w:line="240" w:lineRule="auto"/>
        <w:rPr>
          <w:rFonts w:eastAsia="Calibri"/>
          <w:lang w:bidi="fa-IR"/>
        </w:rPr>
      </w:pPr>
      <w:r w:rsidRPr="00AC555D">
        <w:rPr>
          <w:rFonts w:eastAsia="Calibri"/>
          <w:lang w:bidi="fa-IR"/>
        </w:rPr>
        <w:lastRenderedPageBreak/>
        <w:t>2-1-3- Selection of Cases</w:t>
      </w:r>
    </w:p>
    <w:p w14:paraId="102F331B" w14:textId="77777777" w:rsidR="00315D1E" w:rsidRPr="00AC555D" w:rsidRDefault="00315D1E" w:rsidP="001230AF">
      <w:pPr>
        <w:pStyle w:val="Paragraph"/>
        <w:spacing w:before="0" w:line="240" w:lineRule="auto"/>
        <w:jc w:val="both"/>
        <w:rPr>
          <w:rtl/>
          <w:lang w:bidi="fa-IR"/>
        </w:rPr>
      </w:pPr>
      <w:r w:rsidRPr="00AC555D">
        <w:rPr>
          <w:lang w:bidi="fa-IR"/>
        </w:rPr>
        <w:t>The following criteria were considered for selecting the case samples:</w:t>
      </w:r>
      <w:r w:rsidR="00354240">
        <w:rPr>
          <w:lang w:bidi="fa-IR"/>
        </w:rPr>
        <w:t xml:space="preserve"> </w:t>
      </w:r>
      <w:r w:rsidRPr="00AC555D">
        <w:rPr>
          <w:lang w:bidi="fa-IR"/>
        </w:rPr>
        <w:t>1) The main historical land use of the building should be residential; 2) Since the prevailing model of Bushehr historical buildings is two-floor, the building should be two-floor; 3) The building should be a registered by Iran’s Cultural Heritage Organization to show that it has special heritage values; 4) The plan pattern of the building should be one of the most frequent patterns based on the categories of Bushehr Cultural Heritage Organization; 6) the historical pattern of the building, whether in the plan or in the facade, should have been remained intact; 7) Available sufficient evidence of the building. 8) The possibility of visiting the building to update its documents if necessary. 9) Having various sizes and being located in different parts of the historic quarter of Bushehr except the coastal strip (because the buildings located in the coastal strip have a different pattern than other parts of the historical core)</w:t>
      </w:r>
      <w:r w:rsidRPr="00AC555D">
        <w:rPr>
          <w:rtl/>
          <w:lang w:bidi="fa-IR"/>
        </w:rPr>
        <w:t>.</w:t>
      </w:r>
    </w:p>
    <w:p w14:paraId="7DC85F02" w14:textId="77777777" w:rsidR="00B84F75" w:rsidRDefault="00315D1E" w:rsidP="005D4AF3">
      <w:pPr>
        <w:pStyle w:val="Newparagraph"/>
        <w:spacing w:line="240" w:lineRule="auto"/>
        <w:rPr>
          <w:lang w:bidi="fa-IR"/>
        </w:rPr>
      </w:pPr>
      <w:r w:rsidRPr="00AC555D">
        <w:t>Finally, eight houses have been selected as the case studies</w:t>
      </w:r>
      <w:r w:rsidRPr="00AC555D">
        <w:rPr>
          <w:lang w:bidi="fa-IR"/>
        </w:rPr>
        <w:t xml:space="preserve"> (Figures 4 to 6). Physical characteristics of each case have been extracted, including window-to-wall ratio, area of each façade as well as height and weight of different openings. Data have been collected for all facades; in this paper, facades faced to courtyards called ‘interior façade’ since they face the interior open spaces. And, facades faced to the alley called ‘exterior façade’ since they face the exterior open spaces. Table 2 shows the physical characteristics of these houses. </w:t>
      </w:r>
    </w:p>
    <w:p w14:paraId="0AF1C584" w14:textId="77777777" w:rsidR="00315D1E" w:rsidRPr="00AC555D" w:rsidRDefault="00B84F75" w:rsidP="005D4AF3">
      <w:pPr>
        <w:pStyle w:val="ListParagraph"/>
        <w:spacing w:line="240" w:lineRule="auto"/>
      </w:pPr>
      <w:r w:rsidRPr="00AC555D">
        <w:rPr>
          <w:noProof/>
        </w:rPr>
        <w:drawing>
          <wp:inline distT="0" distB="0" distL="0" distR="0" wp14:anchorId="0738B447" wp14:editId="2568CD07">
            <wp:extent cx="3368040" cy="3368040"/>
            <wp:effectExtent l="0" t="0" r="381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3368388" cy="3368388"/>
                    </a:xfrm>
                    <a:prstGeom prst="rect">
                      <a:avLst/>
                    </a:prstGeom>
                    <a:noFill/>
                    <a:ln>
                      <a:noFill/>
                    </a:ln>
                    <a:extLst>
                      <a:ext uri="{53640926-AAD7-44D8-BBD7-CCE9431645EC}">
                        <a14:shadowObscured xmlns:a14="http://schemas.microsoft.com/office/drawing/2010/main"/>
                      </a:ext>
                    </a:extLst>
                  </pic:spPr>
                </pic:pic>
              </a:graphicData>
            </a:graphic>
          </wp:inline>
        </w:drawing>
      </w:r>
    </w:p>
    <w:p w14:paraId="7833211B" w14:textId="77777777" w:rsidR="00492F97" w:rsidRPr="00AC555D" w:rsidRDefault="00492F97" w:rsidP="005D4AF3">
      <w:pPr>
        <w:pStyle w:val="Figurecaption"/>
        <w:spacing w:before="0" w:line="240" w:lineRule="auto"/>
        <w:rPr>
          <w:rtl/>
          <w:lang w:bidi="fa-IR"/>
        </w:rPr>
      </w:pPr>
      <w:r w:rsidRPr="00AC555D">
        <w:rPr>
          <w:lang w:bidi="fa-IR"/>
        </w:rPr>
        <w:t>Figure 4</w:t>
      </w:r>
      <w:r>
        <w:rPr>
          <w:lang w:bidi="fa-IR"/>
        </w:rPr>
        <w:t>.</w:t>
      </w:r>
      <w:r w:rsidRPr="00AC555D">
        <w:rPr>
          <w:lang w:bidi="fa-IR"/>
        </w:rPr>
        <w:t xml:space="preserve"> Location of case studies houses in the historic city of Bushehr; Source: (Authors based on Document Centre of Bush</w:t>
      </w:r>
      <w:r>
        <w:rPr>
          <w:lang w:bidi="fa-IR"/>
        </w:rPr>
        <w:t>eh</w:t>
      </w:r>
      <w:r w:rsidRPr="00AC555D">
        <w:rPr>
          <w:lang w:bidi="fa-IR"/>
        </w:rPr>
        <w:t>r)</w:t>
      </w:r>
    </w:p>
    <w:p w14:paraId="5C8A05F0" w14:textId="77777777" w:rsidR="00492F97" w:rsidRPr="00AC555D" w:rsidRDefault="00492F97" w:rsidP="005D4AF3">
      <w:pPr>
        <w:spacing w:line="240" w:lineRule="auto"/>
        <w:jc w:val="both"/>
        <w:rPr>
          <w:rFonts w:asciiTheme="majorBidi" w:hAnsiTheme="majorBidi" w:cstheme="majorBidi"/>
          <w:sz w:val="20"/>
          <w:szCs w:val="20"/>
          <w:rtl/>
          <w:lang w:bidi="fa-IR"/>
        </w:rPr>
      </w:pPr>
    </w:p>
    <w:p w14:paraId="3612AF37" w14:textId="77777777" w:rsidR="00492F97" w:rsidRPr="00AC555D" w:rsidRDefault="00492F97" w:rsidP="005D4AF3">
      <w:pPr>
        <w:spacing w:line="240" w:lineRule="auto"/>
        <w:jc w:val="center"/>
        <w:rPr>
          <w:rFonts w:asciiTheme="majorBidi" w:hAnsiTheme="majorBidi" w:cstheme="majorBidi"/>
          <w:lang w:bidi="fa-IR"/>
        </w:rPr>
      </w:pPr>
      <w:r w:rsidRPr="00AC555D">
        <w:rPr>
          <w:rFonts w:asciiTheme="majorBidi" w:hAnsiTheme="majorBidi" w:cstheme="majorBidi"/>
          <w:noProof/>
          <w:lang w:val="en-US" w:eastAsia="en-US"/>
        </w:rPr>
        <w:lastRenderedPageBreak/>
        <w:drawing>
          <wp:inline distT="0" distB="0" distL="0" distR="0" wp14:anchorId="408E5917" wp14:editId="2FFC8F23">
            <wp:extent cx="5638800" cy="254348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lan ha koli.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98894" cy="2570591"/>
                    </a:xfrm>
                    <a:prstGeom prst="rect">
                      <a:avLst/>
                    </a:prstGeom>
                  </pic:spPr>
                </pic:pic>
              </a:graphicData>
            </a:graphic>
          </wp:inline>
        </w:drawing>
      </w:r>
    </w:p>
    <w:p w14:paraId="05D8A175" w14:textId="77777777" w:rsidR="00492F97" w:rsidRPr="00AC555D" w:rsidRDefault="00492F97" w:rsidP="005D4AF3">
      <w:pPr>
        <w:pStyle w:val="Figurecaption"/>
        <w:spacing w:after="240" w:line="240" w:lineRule="auto"/>
        <w:rPr>
          <w:lang w:bidi="fa-IR"/>
        </w:rPr>
      </w:pPr>
      <w:r w:rsidRPr="00AC555D">
        <w:rPr>
          <w:lang w:bidi="fa-IR"/>
        </w:rPr>
        <w:t>Figure 5</w:t>
      </w:r>
      <w:r>
        <w:rPr>
          <w:lang w:bidi="fa-IR"/>
        </w:rPr>
        <w:t>.</w:t>
      </w:r>
      <w:r w:rsidRPr="00AC555D">
        <w:rPr>
          <w:lang w:bidi="fa-IR"/>
        </w:rPr>
        <w:t xml:space="preserve"> Eight vernacular building in city of Bushehr; Source: (Authors based on Document Centre of Bushehr)</w:t>
      </w:r>
    </w:p>
    <w:p w14:paraId="62B6BC20" w14:textId="77777777" w:rsidR="00492F97" w:rsidRPr="00AC555D" w:rsidRDefault="00492F97" w:rsidP="005D4AF3">
      <w:pPr>
        <w:spacing w:line="240" w:lineRule="auto"/>
        <w:rPr>
          <w:rFonts w:asciiTheme="majorBidi" w:hAnsiTheme="majorBidi" w:cstheme="majorBidi"/>
          <w:sz w:val="20"/>
          <w:szCs w:val="20"/>
          <w:lang w:bidi="fa-IR"/>
        </w:rPr>
      </w:pPr>
      <w:r w:rsidRPr="00AC555D">
        <w:rPr>
          <w:rFonts w:asciiTheme="majorBidi" w:hAnsiTheme="majorBidi" w:cstheme="majorBidi"/>
          <w:noProof/>
          <w:lang w:val="en-US" w:eastAsia="en-US"/>
        </w:rPr>
        <w:drawing>
          <wp:inline distT="0" distB="0" distL="0" distR="0" wp14:anchorId="070C0C02" wp14:editId="7435577B">
            <wp:extent cx="5699760" cy="2639988"/>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amaha- khane asiyaei- dakheli va khareji.jpg"/>
                    <pic:cNvPicPr/>
                  </pic:nvPicPr>
                  <pic:blipFill rotWithShape="1">
                    <a:blip r:embed="rId21" cstate="print">
                      <a:extLst>
                        <a:ext uri="{28A0092B-C50C-407E-A947-70E740481C1C}">
                          <a14:useLocalDpi xmlns:a14="http://schemas.microsoft.com/office/drawing/2010/main" val="0"/>
                        </a:ext>
                      </a:extLst>
                    </a:blip>
                    <a:srcRect b="7365"/>
                    <a:stretch/>
                  </pic:blipFill>
                  <pic:spPr bwMode="auto">
                    <a:xfrm>
                      <a:off x="0" y="0"/>
                      <a:ext cx="5713834" cy="2646507"/>
                    </a:xfrm>
                    <a:prstGeom prst="rect">
                      <a:avLst/>
                    </a:prstGeom>
                    <a:ln>
                      <a:noFill/>
                    </a:ln>
                    <a:extLst>
                      <a:ext uri="{53640926-AAD7-44D8-BBD7-CCE9431645EC}">
                        <a14:shadowObscured xmlns:a14="http://schemas.microsoft.com/office/drawing/2010/main"/>
                      </a:ext>
                    </a:extLst>
                  </pic:spPr>
                </pic:pic>
              </a:graphicData>
            </a:graphic>
          </wp:inline>
        </w:drawing>
      </w:r>
    </w:p>
    <w:p w14:paraId="175C016D" w14:textId="77777777" w:rsidR="00492F97" w:rsidRDefault="00492F97" w:rsidP="005D4AF3">
      <w:pPr>
        <w:pStyle w:val="Figurecaption"/>
        <w:spacing w:after="240" w:line="240" w:lineRule="auto"/>
        <w:rPr>
          <w:lang w:bidi="fa-IR"/>
        </w:rPr>
      </w:pPr>
      <w:r w:rsidRPr="00AC555D">
        <w:rPr>
          <w:lang w:bidi="fa-IR"/>
        </w:rPr>
        <w:t>Figure 6</w:t>
      </w:r>
      <w:r>
        <w:rPr>
          <w:lang w:bidi="fa-IR"/>
        </w:rPr>
        <w:t>.</w:t>
      </w:r>
      <w:r w:rsidRPr="00AC555D">
        <w:rPr>
          <w:lang w:bidi="fa-IR"/>
        </w:rPr>
        <w:t xml:space="preserve"> Facades of one case study houses, </w:t>
      </w:r>
      <w:proofErr w:type="spellStart"/>
      <w:r w:rsidRPr="00AC555D">
        <w:rPr>
          <w:lang w:bidi="fa-IR"/>
        </w:rPr>
        <w:t>Asiaei</w:t>
      </w:r>
      <w:proofErr w:type="spellEnd"/>
      <w:r w:rsidRPr="00AC555D">
        <w:rPr>
          <w:lang w:bidi="fa-IR"/>
        </w:rPr>
        <w:t xml:space="preserve"> house. (Left) Exterior Facades, (Right) Interior Facades; Source: (Authors based on Document Centre of Bushehr)</w:t>
      </w:r>
    </w:p>
    <w:p w14:paraId="3FAF785B" w14:textId="77777777" w:rsidR="00E223AA" w:rsidRDefault="00E223AA" w:rsidP="005D4AF3">
      <w:pPr>
        <w:pStyle w:val="Tabletitle"/>
        <w:spacing w:line="240" w:lineRule="auto"/>
        <w:rPr>
          <w:lang w:bidi="fa-IR"/>
        </w:rPr>
      </w:pPr>
    </w:p>
    <w:p w14:paraId="49A91905" w14:textId="77777777" w:rsidR="00E223AA" w:rsidRDefault="00E223AA" w:rsidP="005D4AF3">
      <w:pPr>
        <w:pStyle w:val="Tabletitle"/>
        <w:spacing w:line="240" w:lineRule="auto"/>
        <w:rPr>
          <w:lang w:bidi="fa-IR"/>
        </w:rPr>
      </w:pPr>
    </w:p>
    <w:p w14:paraId="7731A61C" w14:textId="77777777" w:rsidR="00E223AA" w:rsidRDefault="00E223AA" w:rsidP="005D4AF3">
      <w:pPr>
        <w:pStyle w:val="Tabletitle"/>
        <w:spacing w:line="240" w:lineRule="auto"/>
        <w:rPr>
          <w:lang w:bidi="fa-IR"/>
        </w:rPr>
      </w:pPr>
    </w:p>
    <w:p w14:paraId="46BE8372" w14:textId="77777777" w:rsidR="00E223AA" w:rsidRDefault="00E223AA" w:rsidP="005D4AF3">
      <w:pPr>
        <w:pStyle w:val="Tabletitle"/>
        <w:spacing w:line="240" w:lineRule="auto"/>
        <w:rPr>
          <w:lang w:bidi="fa-IR"/>
        </w:rPr>
      </w:pPr>
    </w:p>
    <w:p w14:paraId="15C58F3F" w14:textId="77777777" w:rsidR="00492F97" w:rsidRPr="00AC555D" w:rsidRDefault="00492F97" w:rsidP="005D4AF3">
      <w:pPr>
        <w:pStyle w:val="Tabletitle"/>
        <w:spacing w:line="240" w:lineRule="auto"/>
        <w:rPr>
          <w:lang w:bidi="fa-IR"/>
        </w:rPr>
      </w:pPr>
      <w:r w:rsidRPr="00AC555D">
        <w:rPr>
          <w:lang w:bidi="fa-IR"/>
        </w:rPr>
        <w:t>Table 2</w:t>
      </w:r>
      <w:r>
        <w:rPr>
          <w:lang w:bidi="fa-IR"/>
        </w:rPr>
        <w:t>.</w:t>
      </w:r>
      <w:r w:rsidRPr="00AC555D">
        <w:rPr>
          <w:lang w:bidi="fa-IR"/>
        </w:rPr>
        <w:t xml:space="preserve"> Physical characteristics of eight selected vernacular houses of the city of Bushehr</w:t>
      </w:r>
    </w:p>
    <w:tbl>
      <w:tblPr>
        <w:tblStyle w:val="PlainTable2"/>
        <w:tblW w:w="7923" w:type="dxa"/>
        <w:jc w:val="center"/>
        <w:tblLayout w:type="fixed"/>
        <w:tblLook w:val="04A0" w:firstRow="1" w:lastRow="0" w:firstColumn="1" w:lastColumn="0" w:noHBand="0" w:noVBand="1"/>
      </w:tblPr>
      <w:tblGrid>
        <w:gridCol w:w="462"/>
        <w:gridCol w:w="1380"/>
        <w:gridCol w:w="678"/>
        <w:gridCol w:w="779"/>
        <w:gridCol w:w="931"/>
        <w:gridCol w:w="827"/>
        <w:gridCol w:w="973"/>
        <w:gridCol w:w="1045"/>
        <w:gridCol w:w="848"/>
      </w:tblGrid>
      <w:tr w:rsidR="00492F97" w:rsidRPr="00AC555D" w14:paraId="640275F8" w14:textId="77777777" w:rsidTr="00E223AA">
        <w:trPr>
          <w:cnfStyle w:val="100000000000" w:firstRow="1" w:lastRow="0" w:firstColumn="0" w:lastColumn="0" w:oddVBand="0" w:evenVBand="0" w:oddHBand="0" w:evenHBand="0" w:firstRowFirstColumn="0" w:firstRowLastColumn="0" w:lastRowFirstColumn="0" w:lastRowLastColumn="0"/>
          <w:cantSplit/>
          <w:trHeight w:val="2046"/>
          <w:jc w:val="center"/>
        </w:trPr>
        <w:tc>
          <w:tcPr>
            <w:cnfStyle w:val="001000000000" w:firstRow="0" w:lastRow="0" w:firstColumn="1" w:lastColumn="0" w:oddVBand="0" w:evenVBand="0" w:oddHBand="0" w:evenHBand="0" w:firstRowFirstColumn="0" w:firstRowLastColumn="0" w:lastRowFirstColumn="0" w:lastRowLastColumn="0"/>
            <w:tcW w:w="462" w:type="dxa"/>
            <w:tcBorders>
              <w:top w:val="single" w:sz="4" w:space="0" w:color="7F7F7F" w:themeColor="text1" w:themeTint="80"/>
              <w:bottom w:val="single" w:sz="12" w:space="0" w:color="7F7F7F" w:themeColor="text1" w:themeTint="80"/>
            </w:tcBorders>
            <w:textDirection w:val="btLr"/>
            <w:vAlign w:val="center"/>
            <w:hideMark/>
          </w:tcPr>
          <w:p w14:paraId="57152DC4" w14:textId="77777777" w:rsidR="00492F97" w:rsidRPr="005D0E19" w:rsidRDefault="00492F97" w:rsidP="005D4AF3">
            <w:pPr>
              <w:spacing w:line="240" w:lineRule="auto"/>
              <w:ind w:left="113" w:right="113"/>
              <w:jc w:val="center"/>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lastRenderedPageBreak/>
              <w:t>No.</w:t>
            </w:r>
          </w:p>
        </w:tc>
        <w:tc>
          <w:tcPr>
            <w:tcW w:w="1380" w:type="dxa"/>
            <w:tcBorders>
              <w:top w:val="single" w:sz="4" w:space="0" w:color="7F7F7F" w:themeColor="text1" w:themeTint="80"/>
              <w:bottom w:val="single" w:sz="12" w:space="0" w:color="7F7F7F" w:themeColor="text1" w:themeTint="80"/>
            </w:tcBorders>
            <w:textDirection w:val="btLr"/>
            <w:vAlign w:val="center"/>
            <w:hideMark/>
          </w:tcPr>
          <w:p w14:paraId="628995C9" w14:textId="77777777" w:rsidR="00492F97" w:rsidRPr="005D0E19" w:rsidRDefault="00492F97" w:rsidP="005D4AF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Building Orientation</w:t>
            </w:r>
          </w:p>
        </w:tc>
        <w:tc>
          <w:tcPr>
            <w:tcW w:w="678" w:type="dxa"/>
            <w:tcBorders>
              <w:top w:val="single" w:sz="4" w:space="0" w:color="7F7F7F" w:themeColor="text1" w:themeTint="80"/>
              <w:bottom w:val="single" w:sz="12" w:space="0" w:color="7F7F7F" w:themeColor="text1" w:themeTint="80"/>
            </w:tcBorders>
            <w:textDirection w:val="btLr"/>
            <w:vAlign w:val="center"/>
            <w:hideMark/>
          </w:tcPr>
          <w:p w14:paraId="53443B33" w14:textId="77777777" w:rsidR="00492F97" w:rsidRPr="005D0E19" w:rsidRDefault="00492F97" w:rsidP="005D4AF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Number of Floors</w:t>
            </w:r>
          </w:p>
        </w:tc>
        <w:tc>
          <w:tcPr>
            <w:tcW w:w="779" w:type="dxa"/>
            <w:tcBorders>
              <w:top w:val="single" w:sz="4" w:space="0" w:color="7F7F7F" w:themeColor="text1" w:themeTint="80"/>
              <w:bottom w:val="single" w:sz="12" w:space="0" w:color="7F7F7F" w:themeColor="text1" w:themeTint="80"/>
            </w:tcBorders>
            <w:textDirection w:val="btLr"/>
            <w:vAlign w:val="center"/>
            <w:hideMark/>
          </w:tcPr>
          <w:p w14:paraId="7BA0050A" w14:textId="77777777" w:rsidR="00492F97" w:rsidRPr="005D0E19" w:rsidRDefault="00492F97" w:rsidP="005D4AF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Number of Exterior Façade</w:t>
            </w:r>
          </w:p>
        </w:tc>
        <w:tc>
          <w:tcPr>
            <w:tcW w:w="931" w:type="dxa"/>
            <w:tcBorders>
              <w:top w:val="single" w:sz="4" w:space="0" w:color="7F7F7F" w:themeColor="text1" w:themeTint="80"/>
              <w:bottom w:val="single" w:sz="12" w:space="0" w:color="7F7F7F" w:themeColor="text1" w:themeTint="80"/>
            </w:tcBorders>
            <w:textDirection w:val="btLr"/>
            <w:vAlign w:val="center"/>
            <w:hideMark/>
          </w:tcPr>
          <w:p w14:paraId="44EE57F4" w14:textId="77777777" w:rsidR="00492F97" w:rsidRPr="005D0E19" w:rsidRDefault="00492F97" w:rsidP="005D4AF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Number of Interior Façade</w:t>
            </w:r>
          </w:p>
        </w:tc>
        <w:tc>
          <w:tcPr>
            <w:tcW w:w="827" w:type="dxa"/>
            <w:tcBorders>
              <w:top w:val="single" w:sz="4" w:space="0" w:color="7F7F7F" w:themeColor="text1" w:themeTint="80"/>
              <w:bottom w:val="single" w:sz="12" w:space="0" w:color="7F7F7F" w:themeColor="text1" w:themeTint="80"/>
            </w:tcBorders>
            <w:textDirection w:val="btLr"/>
            <w:vAlign w:val="center"/>
          </w:tcPr>
          <w:p w14:paraId="06B10748" w14:textId="77777777" w:rsidR="00492F97" w:rsidRPr="005D0E19" w:rsidRDefault="00492F97" w:rsidP="005D4AF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2"/>
                <w:szCs w:val="22"/>
              </w:rPr>
            </w:pPr>
            <w:r w:rsidRPr="005D0E19">
              <w:rPr>
                <w:rFonts w:asciiTheme="majorBidi" w:eastAsia="Times New Roman" w:hAnsiTheme="majorBidi" w:cstheme="majorBidi"/>
                <w:sz w:val="22"/>
                <w:szCs w:val="22"/>
              </w:rPr>
              <w:t>Exterior Façade Surface Area (m</w:t>
            </w:r>
            <w:r w:rsidRPr="005D0E19">
              <w:rPr>
                <w:rFonts w:asciiTheme="majorBidi" w:eastAsia="Times New Roman" w:hAnsiTheme="majorBidi" w:cstheme="majorBidi"/>
                <w:sz w:val="22"/>
                <w:szCs w:val="22"/>
                <w:vertAlign w:val="superscript"/>
              </w:rPr>
              <w:t>2</w:t>
            </w:r>
            <w:r w:rsidRPr="005D0E19">
              <w:rPr>
                <w:rFonts w:asciiTheme="majorBidi" w:eastAsia="Times New Roman" w:hAnsiTheme="majorBidi" w:cstheme="majorBidi"/>
                <w:sz w:val="22"/>
                <w:szCs w:val="22"/>
              </w:rPr>
              <w:t>)</w:t>
            </w:r>
          </w:p>
        </w:tc>
        <w:tc>
          <w:tcPr>
            <w:tcW w:w="973" w:type="dxa"/>
            <w:tcBorders>
              <w:top w:val="single" w:sz="4" w:space="0" w:color="7F7F7F" w:themeColor="text1" w:themeTint="80"/>
              <w:bottom w:val="single" w:sz="12" w:space="0" w:color="7F7F7F" w:themeColor="text1" w:themeTint="80"/>
            </w:tcBorders>
            <w:textDirection w:val="btLr"/>
            <w:vAlign w:val="center"/>
          </w:tcPr>
          <w:p w14:paraId="50710E40" w14:textId="77777777" w:rsidR="00492F97" w:rsidRPr="005D0E19" w:rsidRDefault="00492F97" w:rsidP="005D4AF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b w:val="0"/>
                <w:bCs w:val="0"/>
                <w:sz w:val="22"/>
                <w:szCs w:val="22"/>
              </w:rPr>
            </w:pPr>
            <w:r w:rsidRPr="005D0E19">
              <w:rPr>
                <w:rFonts w:asciiTheme="majorBidi" w:eastAsia="Times New Roman" w:hAnsiTheme="majorBidi" w:cstheme="majorBidi"/>
                <w:sz w:val="22"/>
                <w:szCs w:val="22"/>
              </w:rPr>
              <w:t>Interior Façade Surface Area (m</w:t>
            </w:r>
            <w:r w:rsidRPr="005D0E19">
              <w:rPr>
                <w:rFonts w:asciiTheme="majorBidi" w:eastAsia="Times New Roman" w:hAnsiTheme="majorBidi" w:cstheme="majorBidi"/>
                <w:sz w:val="22"/>
                <w:szCs w:val="22"/>
                <w:vertAlign w:val="superscript"/>
              </w:rPr>
              <w:t>2</w:t>
            </w:r>
            <w:r w:rsidRPr="005D0E19">
              <w:rPr>
                <w:rFonts w:asciiTheme="majorBidi" w:eastAsia="Times New Roman" w:hAnsiTheme="majorBidi" w:cstheme="majorBidi"/>
                <w:sz w:val="22"/>
                <w:szCs w:val="22"/>
              </w:rPr>
              <w:t>)</w:t>
            </w:r>
          </w:p>
        </w:tc>
        <w:tc>
          <w:tcPr>
            <w:tcW w:w="1045" w:type="dxa"/>
            <w:tcBorders>
              <w:top w:val="single" w:sz="4" w:space="0" w:color="7F7F7F" w:themeColor="text1" w:themeTint="80"/>
              <w:bottom w:val="single" w:sz="12" w:space="0" w:color="7F7F7F" w:themeColor="text1" w:themeTint="80"/>
            </w:tcBorders>
            <w:textDirection w:val="btLr"/>
            <w:vAlign w:val="center"/>
          </w:tcPr>
          <w:p w14:paraId="1C3C96D4" w14:textId="77777777" w:rsidR="00492F97" w:rsidRPr="005D0E19" w:rsidRDefault="00492F97" w:rsidP="005D4AF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Exterior Opening Surface Area (m</w:t>
            </w:r>
            <w:r w:rsidRPr="005D0E19">
              <w:rPr>
                <w:rFonts w:asciiTheme="majorBidi" w:eastAsia="Times New Roman" w:hAnsiTheme="majorBidi" w:cstheme="majorBidi"/>
                <w:sz w:val="22"/>
                <w:szCs w:val="22"/>
                <w:vertAlign w:val="superscript"/>
              </w:rPr>
              <w:t>2</w:t>
            </w:r>
            <w:r w:rsidRPr="005D0E19">
              <w:rPr>
                <w:rFonts w:asciiTheme="majorBidi" w:eastAsia="Times New Roman" w:hAnsiTheme="majorBidi" w:cstheme="majorBidi"/>
                <w:sz w:val="22"/>
                <w:szCs w:val="22"/>
              </w:rPr>
              <w:t>)</w:t>
            </w:r>
          </w:p>
        </w:tc>
        <w:tc>
          <w:tcPr>
            <w:tcW w:w="848" w:type="dxa"/>
            <w:tcBorders>
              <w:top w:val="single" w:sz="4" w:space="0" w:color="7F7F7F" w:themeColor="text1" w:themeTint="80"/>
              <w:bottom w:val="single" w:sz="12" w:space="0" w:color="7F7F7F" w:themeColor="text1" w:themeTint="80"/>
            </w:tcBorders>
            <w:textDirection w:val="btLr"/>
          </w:tcPr>
          <w:p w14:paraId="5B72F3DE" w14:textId="77777777" w:rsidR="00492F97" w:rsidRPr="005D0E19" w:rsidRDefault="00492F97" w:rsidP="005D4AF3">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Interior Opening Surface Area (m</w:t>
            </w:r>
            <w:r w:rsidRPr="005D0E19">
              <w:rPr>
                <w:rFonts w:asciiTheme="majorBidi" w:eastAsia="Times New Roman" w:hAnsiTheme="majorBidi" w:cstheme="majorBidi"/>
                <w:sz w:val="22"/>
                <w:szCs w:val="22"/>
                <w:vertAlign w:val="superscript"/>
              </w:rPr>
              <w:t>2</w:t>
            </w:r>
            <w:r w:rsidRPr="005D0E19">
              <w:rPr>
                <w:rFonts w:asciiTheme="majorBidi" w:eastAsia="Times New Roman" w:hAnsiTheme="majorBidi" w:cstheme="majorBidi"/>
                <w:sz w:val="22"/>
                <w:szCs w:val="22"/>
              </w:rPr>
              <w:t>)</w:t>
            </w:r>
          </w:p>
        </w:tc>
      </w:tr>
      <w:tr w:rsidR="00492F97" w:rsidRPr="00AC555D" w14:paraId="25E1678C" w14:textId="77777777" w:rsidTr="00E223AA">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462" w:type="dxa"/>
            <w:tcBorders>
              <w:top w:val="single" w:sz="12" w:space="0" w:color="7F7F7F" w:themeColor="text1" w:themeTint="80"/>
            </w:tcBorders>
            <w:noWrap/>
            <w:vAlign w:val="center"/>
            <w:hideMark/>
          </w:tcPr>
          <w:p w14:paraId="4D74A1A1" w14:textId="77777777" w:rsidR="00492F97" w:rsidRPr="005D0E19" w:rsidRDefault="00492F97" w:rsidP="005D4AF3">
            <w:pPr>
              <w:spacing w:line="240" w:lineRule="auto"/>
              <w:jc w:val="center"/>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1</w:t>
            </w:r>
          </w:p>
        </w:tc>
        <w:tc>
          <w:tcPr>
            <w:tcW w:w="1380" w:type="dxa"/>
            <w:tcBorders>
              <w:top w:val="single" w:sz="12" w:space="0" w:color="7F7F7F" w:themeColor="text1" w:themeTint="80"/>
            </w:tcBorders>
            <w:noWrap/>
            <w:vAlign w:val="center"/>
            <w:hideMark/>
          </w:tcPr>
          <w:p w14:paraId="0E6984F8"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North-South</w:t>
            </w:r>
          </w:p>
        </w:tc>
        <w:tc>
          <w:tcPr>
            <w:tcW w:w="678" w:type="dxa"/>
            <w:tcBorders>
              <w:top w:val="single" w:sz="12" w:space="0" w:color="7F7F7F" w:themeColor="text1" w:themeTint="80"/>
            </w:tcBorders>
            <w:noWrap/>
            <w:vAlign w:val="center"/>
            <w:hideMark/>
          </w:tcPr>
          <w:p w14:paraId="011ECBA8"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2</w:t>
            </w:r>
          </w:p>
        </w:tc>
        <w:tc>
          <w:tcPr>
            <w:tcW w:w="779" w:type="dxa"/>
            <w:tcBorders>
              <w:top w:val="single" w:sz="12" w:space="0" w:color="7F7F7F" w:themeColor="text1" w:themeTint="80"/>
            </w:tcBorders>
            <w:noWrap/>
            <w:vAlign w:val="center"/>
            <w:hideMark/>
          </w:tcPr>
          <w:p w14:paraId="157789EE"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4</w:t>
            </w:r>
          </w:p>
        </w:tc>
        <w:tc>
          <w:tcPr>
            <w:tcW w:w="931" w:type="dxa"/>
            <w:tcBorders>
              <w:top w:val="single" w:sz="12" w:space="0" w:color="7F7F7F" w:themeColor="text1" w:themeTint="80"/>
            </w:tcBorders>
            <w:noWrap/>
            <w:vAlign w:val="center"/>
            <w:hideMark/>
          </w:tcPr>
          <w:p w14:paraId="25F33526"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3</w:t>
            </w:r>
          </w:p>
        </w:tc>
        <w:tc>
          <w:tcPr>
            <w:tcW w:w="827" w:type="dxa"/>
            <w:tcBorders>
              <w:top w:val="single" w:sz="12" w:space="0" w:color="7F7F7F" w:themeColor="text1" w:themeTint="80"/>
            </w:tcBorders>
            <w:vAlign w:val="center"/>
          </w:tcPr>
          <w:p w14:paraId="7E4AAEEE"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678.68</w:t>
            </w:r>
          </w:p>
        </w:tc>
        <w:tc>
          <w:tcPr>
            <w:tcW w:w="973" w:type="dxa"/>
            <w:tcBorders>
              <w:top w:val="single" w:sz="12" w:space="0" w:color="7F7F7F" w:themeColor="text1" w:themeTint="80"/>
            </w:tcBorders>
            <w:vAlign w:val="center"/>
          </w:tcPr>
          <w:p w14:paraId="1225EAE5"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271.65</w:t>
            </w:r>
          </w:p>
        </w:tc>
        <w:tc>
          <w:tcPr>
            <w:tcW w:w="1045" w:type="dxa"/>
            <w:tcBorders>
              <w:top w:val="single" w:sz="12" w:space="0" w:color="7F7F7F" w:themeColor="text1" w:themeTint="80"/>
            </w:tcBorders>
            <w:vAlign w:val="center"/>
          </w:tcPr>
          <w:p w14:paraId="53B109D0"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139.63</w:t>
            </w:r>
          </w:p>
        </w:tc>
        <w:tc>
          <w:tcPr>
            <w:tcW w:w="848" w:type="dxa"/>
            <w:tcBorders>
              <w:top w:val="single" w:sz="12" w:space="0" w:color="7F7F7F" w:themeColor="text1" w:themeTint="80"/>
            </w:tcBorders>
          </w:tcPr>
          <w:p w14:paraId="49D25A5C"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55.75</w:t>
            </w:r>
          </w:p>
        </w:tc>
      </w:tr>
      <w:tr w:rsidR="00492F97" w:rsidRPr="00AC555D" w14:paraId="2BB6B1D1" w14:textId="77777777" w:rsidTr="00E223AA">
        <w:trPr>
          <w:trHeight w:val="379"/>
          <w:jc w:val="center"/>
        </w:trPr>
        <w:tc>
          <w:tcPr>
            <w:cnfStyle w:val="001000000000" w:firstRow="0" w:lastRow="0" w:firstColumn="1" w:lastColumn="0" w:oddVBand="0" w:evenVBand="0" w:oddHBand="0" w:evenHBand="0" w:firstRowFirstColumn="0" w:firstRowLastColumn="0" w:lastRowFirstColumn="0" w:lastRowLastColumn="0"/>
            <w:tcW w:w="462" w:type="dxa"/>
            <w:noWrap/>
            <w:vAlign w:val="center"/>
            <w:hideMark/>
          </w:tcPr>
          <w:p w14:paraId="534E1D75" w14:textId="77777777" w:rsidR="00492F97" w:rsidRPr="005D0E19" w:rsidRDefault="00492F97" w:rsidP="005D4AF3">
            <w:pPr>
              <w:spacing w:line="240" w:lineRule="auto"/>
              <w:jc w:val="center"/>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2</w:t>
            </w:r>
          </w:p>
        </w:tc>
        <w:tc>
          <w:tcPr>
            <w:tcW w:w="1380" w:type="dxa"/>
            <w:noWrap/>
            <w:vAlign w:val="center"/>
            <w:hideMark/>
          </w:tcPr>
          <w:p w14:paraId="76CCE2CC"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North-South</w:t>
            </w:r>
          </w:p>
        </w:tc>
        <w:tc>
          <w:tcPr>
            <w:tcW w:w="678" w:type="dxa"/>
            <w:noWrap/>
            <w:vAlign w:val="center"/>
            <w:hideMark/>
          </w:tcPr>
          <w:p w14:paraId="2D25AF63"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2</w:t>
            </w:r>
          </w:p>
        </w:tc>
        <w:tc>
          <w:tcPr>
            <w:tcW w:w="779" w:type="dxa"/>
            <w:noWrap/>
            <w:vAlign w:val="center"/>
            <w:hideMark/>
          </w:tcPr>
          <w:p w14:paraId="19C6256F"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3</w:t>
            </w:r>
          </w:p>
        </w:tc>
        <w:tc>
          <w:tcPr>
            <w:tcW w:w="931" w:type="dxa"/>
            <w:noWrap/>
            <w:vAlign w:val="center"/>
            <w:hideMark/>
          </w:tcPr>
          <w:p w14:paraId="6196DD34"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4</w:t>
            </w:r>
          </w:p>
        </w:tc>
        <w:tc>
          <w:tcPr>
            <w:tcW w:w="827" w:type="dxa"/>
            <w:vAlign w:val="center"/>
          </w:tcPr>
          <w:p w14:paraId="73B0F179"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597.67</w:t>
            </w:r>
          </w:p>
        </w:tc>
        <w:tc>
          <w:tcPr>
            <w:tcW w:w="973" w:type="dxa"/>
            <w:vAlign w:val="center"/>
          </w:tcPr>
          <w:p w14:paraId="662CAA23"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135.86</w:t>
            </w:r>
          </w:p>
        </w:tc>
        <w:tc>
          <w:tcPr>
            <w:tcW w:w="1045" w:type="dxa"/>
            <w:vAlign w:val="center"/>
          </w:tcPr>
          <w:p w14:paraId="5A87F23B"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67.24</w:t>
            </w:r>
          </w:p>
        </w:tc>
        <w:tc>
          <w:tcPr>
            <w:tcW w:w="848" w:type="dxa"/>
          </w:tcPr>
          <w:p w14:paraId="2C64A264"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70.01</w:t>
            </w:r>
          </w:p>
        </w:tc>
      </w:tr>
      <w:tr w:rsidR="00492F97" w:rsidRPr="00AC555D" w14:paraId="68BC039B" w14:textId="77777777" w:rsidTr="00E223AA">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462" w:type="dxa"/>
            <w:noWrap/>
            <w:vAlign w:val="center"/>
            <w:hideMark/>
          </w:tcPr>
          <w:p w14:paraId="1AD07073" w14:textId="77777777" w:rsidR="00492F97" w:rsidRPr="005D0E19" w:rsidRDefault="00492F97" w:rsidP="005D4AF3">
            <w:pPr>
              <w:spacing w:line="240" w:lineRule="auto"/>
              <w:jc w:val="center"/>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3</w:t>
            </w:r>
          </w:p>
        </w:tc>
        <w:tc>
          <w:tcPr>
            <w:tcW w:w="1380" w:type="dxa"/>
            <w:noWrap/>
            <w:vAlign w:val="center"/>
            <w:hideMark/>
          </w:tcPr>
          <w:p w14:paraId="4976B73B"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North-South</w:t>
            </w:r>
          </w:p>
        </w:tc>
        <w:tc>
          <w:tcPr>
            <w:tcW w:w="678" w:type="dxa"/>
            <w:noWrap/>
            <w:vAlign w:val="center"/>
            <w:hideMark/>
          </w:tcPr>
          <w:p w14:paraId="6A6028E6"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2</w:t>
            </w:r>
          </w:p>
        </w:tc>
        <w:tc>
          <w:tcPr>
            <w:tcW w:w="779" w:type="dxa"/>
            <w:noWrap/>
            <w:vAlign w:val="center"/>
            <w:hideMark/>
          </w:tcPr>
          <w:p w14:paraId="060DF0ED"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2</w:t>
            </w:r>
          </w:p>
        </w:tc>
        <w:tc>
          <w:tcPr>
            <w:tcW w:w="931" w:type="dxa"/>
            <w:noWrap/>
            <w:vAlign w:val="center"/>
            <w:hideMark/>
          </w:tcPr>
          <w:p w14:paraId="5FE060C1"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4</w:t>
            </w:r>
          </w:p>
        </w:tc>
        <w:tc>
          <w:tcPr>
            <w:tcW w:w="827" w:type="dxa"/>
            <w:vAlign w:val="center"/>
          </w:tcPr>
          <w:p w14:paraId="3DECAFD8"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410.97</w:t>
            </w:r>
          </w:p>
        </w:tc>
        <w:tc>
          <w:tcPr>
            <w:tcW w:w="973" w:type="dxa"/>
            <w:vAlign w:val="center"/>
          </w:tcPr>
          <w:p w14:paraId="3C22C23E"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493.10</w:t>
            </w:r>
          </w:p>
        </w:tc>
        <w:tc>
          <w:tcPr>
            <w:tcW w:w="1045" w:type="dxa"/>
            <w:vAlign w:val="center"/>
          </w:tcPr>
          <w:p w14:paraId="1C829706"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87.21</w:t>
            </w:r>
          </w:p>
        </w:tc>
        <w:tc>
          <w:tcPr>
            <w:tcW w:w="848" w:type="dxa"/>
          </w:tcPr>
          <w:p w14:paraId="58E87421"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108.62</w:t>
            </w:r>
          </w:p>
        </w:tc>
      </w:tr>
      <w:tr w:rsidR="00492F97" w:rsidRPr="00AC555D" w14:paraId="1532AE6A" w14:textId="77777777" w:rsidTr="00E223AA">
        <w:trPr>
          <w:trHeight w:val="449"/>
          <w:jc w:val="center"/>
        </w:trPr>
        <w:tc>
          <w:tcPr>
            <w:cnfStyle w:val="001000000000" w:firstRow="0" w:lastRow="0" w:firstColumn="1" w:lastColumn="0" w:oddVBand="0" w:evenVBand="0" w:oddHBand="0" w:evenHBand="0" w:firstRowFirstColumn="0" w:firstRowLastColumn="0" w:lastRowFirstColumn="0" w:lastRowLastColumn="0"/>
            <w:tcW w:w="462" w:type="dxa"/>
            <w:noWrap/>
            <w:vAlign w:val="center"/>
            <w:hideMark/>
          </w:tcPr>
          <w:p w14:paraId="0FE3478C" w14:textId="77777777" w:rsidR="00492F97" w:rsidRPr="005D0E19" w:rsidRDefault="00492F97" w:rsidP="005D4AF3">
            <w:pPr>
              <w:spacing w:line="240" w:lineRule="auto"/>
              <w:jc w:val="center"/>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4</w:t>
            </w:r>
          </w:p>
        </w:tc>
        <w:tc>
          <w:tcPr>
            <w:tcW w:w="1380" w:type="dxa"/>
            <w:noWrap/>
            <w:vAlign w:val="center"/>
            <w:hideMark/>
          </w:tcPr>
          <w:p w14:paraId="1D3C9177"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North-South</w:t>
            </w:r>
          </w:p>
        </w:tc>
        <w:tc>
          <w:tcPr>
            <w:tcW w:w="678" w:type="dxa"/>
            <w:noWrap/>
            <w:vAlign w:val="center"/>
            <w:hideMark/>
          </w:tcPr>
          <w:p w14:paraId="37A54046"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2</w:t>
            </w:r>
          </w:p>
        </w:tc>
        <w:tc>
          <w:tcPr>
            <w:tcW w:w="779" w:type="dxa"/>
            <w:noWrap/>
            <w:vAlign w:val="center"/>
            <w:hideMark/>
          </w:tcPr>
          <w:p w14:paraId="599F8031"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4</w:t>
            </w:r>
          </w:p>
        </w:tc>
        <w:tc>
          <w:tcPr>
            <w:tcW w:w="931" w:type="dxa"/>
            <w:noWrap/>
            <w:vAlign w:val="center"/>
            <w:hideMark/>
          </w:tcPr>
          <w:p w14:paraId="5705AB92"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4</w:t>
            </w:r>
          </w:p>
        </w:tc>
        <w:tc>
          <w:tcPr>
            <w:tcW w:w="827" w:type="dxa"/>
            <w:vAlign w:val="center"/>
          </w:tcPr>
          <w:p w14:paraId="0F93DCBB"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395.55</w:t>
            </w:r>
          </w:p>
        </w:tc>
        <w:tc>
          <w:tcPr>
            <w:tcW w:w="973" w:type="dxa"/>
            <w:vAlign w:val="center"/>
          </w:tcPr>
          <w:p w14:paraId="3687997F"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386.77</w:t>
            </w:r>
          </w:p>
        </w:tc>
        <w:tc>
          <w:tcPr>
            <w:tcW w:w="1045" w:type="dxa"/>
            <w:vAlign w:val="center"/>
          </w:tcPr>
          <w:p w14:paraId="0B187362"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96.53</w:t>
            </w:r>
          </w:p>
        </w:tc>
        <w:tc>
          <w:tcPr>
            <w:tcW w:w="848" w:type="dxa"/>
          </w:tcPr>
          <w:p w14:paraId="440F2CB3"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114.79</w:t>
            </w:r>
          </w:p>
        </w:tc>
      </w:tr>
      <w:tr w:rsidR="00492F97" w:rsidRPr="00AC555D" w14:paraId="6F5D0258" w14:textId="77777777" w:rsidTr="00E223AA">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462" w:type="dxa"/>
            <w:noWrap/>
            <w:vAlign w:val="center"/>
            <w:hideMark/>
          </w:tcPr>
          <w:p w14:paraId="5459D4C0" w14:textId="77777777" w:rsidR="00492F97" w:rsidRPr="005D0E19" w:rsidRDefault="00492F97" w:rsidP="005D4AF3">
            <w:pPr>
              <w:spacing w:line="240" w:lineRule="auto"/>
              <w:jc w:val="center"/>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5</w:t>
            </w:r>
          </w:p>
        </w:tc>
        <w:tc>
          <w:tcPr>
            <w:tcW w:w="1380" w:type="dxa"/>
            <w:noWrap/>
            <w:vAlign w:val="center"/>
            <w:hideMark/>
          </w:tcPr>
          <w:p w14:paraId="1543A517"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North-South</w:t>
            </w:r>
          </w:p>
        </w:tc>
        <w:tc>
          <w:tcPr>
            <w:tcW w:w="678" w:type="dxa"/>
            <w:noWrap/>
            <w:vAlign w:val="center"/>
            <w:hideMark/>
          </w:tcPr>
          <w:p w14:paraId="5F2126F0"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2</w:t>
            </w:r>
          </w:p>
        </w:tc>
        <w:tc>
          <w:tcPr>
            <w:tcW w:w="779" w:type="dxa"/>
            <w:noWrap/>
            <w:vAlign w:val="center"/>
            <w:hideMark/>
          </w:tcPr>
          <w:p w14:paraId="15DFBF40"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1</w:t>
            </w:r>
          </w:p>
        </w:tc>
        <w:tc>
          <w:tcPr>
            <w:tcW w:w="931" w:type="dxa"/>
            <w:noWrap/>
            <w:vAlign w:val="center"/>
            <w:hideMark/>
          </w:tcPr>
          <w:p w14:paraId="43B8A99B"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4</w:t>
            </w:r>
          </w:p>
        </w:tc>
        <w:tc>
          <w:tcPr>
            <w:tcW w:w="827" w:type="dxa"/>
            <w:vAlign w:val="center"/>
          </w:tcPr>
          <w:p w14:paraId="1E4F715C"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105.80</w:t>
            </w:r>
          </w:p>
        </w:tc>
        <w:tc>
          <w:tcPr>
            <w:tcW w:w="973" w:type="dxa"/>
            <w:vAlign w:val="center"/>
          </w:tcPr>
          <w:p w14:paraId="68BC85ED"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165.89</w:t>
            </w:r>
          </w:p>
        </w:tc>
        <w:tc>
          <w:tcPr>
            <w:tcW w:w="1045" w:type="dxa"/>
            <w:vAlign w:val="center"/>
          </w:tcPr>
          <w:p w14:paraId="236AB515"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12.30</w:t>
            </w:r>
          </w:p>
        </w:tc>
        <w:tc>
          <w:tcPr>
            <w:tcW w:w="848" w:type="dxa"/>
          </w:tcPr>
          <w:p w14:paraId="4FB1B441"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55.50</w:t>
            </w:r>
          </w:p>
        </w:tc>
      </w:tr>
      <w:tr w:rsidR="00492F97" w:rsidRPr="00AC555D" w14:paraId="42ACD1E2" w14:textId="77777777" w:rsidTr="00E223AA">
        <w:trPr>
          <w:trHeight w:val="449"/>
          <w:jc w:val="center"/>
        </w:trPr>
        <w:tc>
          <w:tcPr>
            <w:cnfStyle w:val="001000000000" w:firstRow="0" w:lastRow="0" w:firstColumn="1" w:lastColumn="0" w:oddVBand="0" w:evenVBand="0" w:oddHBand="0" w:evenHBand="0" w:firstRowFirstColumn="0" w:firstRowLastColumn="0" w:lastRowFirstColumn="0" w:lastRowLastColumn="0"/>
            <w:tcW w:w="462" w:type="dxa"/>
            <w:noWrap/>
            <w:vAlign w:val="center"/>
            <w:hideMark/>
          </w:tcPr>
          <w:p w14:paraId="5E2FD6EA" w14:textId="77777777" w:rsidR="00492F97" w:rsidRPr="005D0E19" w:rsidRDefault="00492F97" w:rsidP="005D4AF3">
            <w:pPr>
              <w:spacing w:line="240" w:lineRule="auto"/>
              <w:jc w:val="center"/>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6</w:t>
            </w:r>
          </w:p>
        </w:tc>
        <w:tc>
          <w:tcPr>
            <w:tcW w:w="1380" w:type="dxa"/>
            <w:noWrap/>
            <w:vAlign w:val="center"/>
            <w:hideMark/>
          </w:tcPr>
          <w:p w14:paraId="6C54AD0A"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North-South</w:t>
            </w:r>
          </w:p>
        </w:tc>
        <w:tc>
          <w:tcPr>
            <w:tcW w:w="678" w:type="dxa"/>
            <w:noWrap/>
            <w:vAlign w:val="center"/>
            <w:hideMark/>
          </w:tcPr>
          <w:p w14:paraId="077F5744"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2</w:t>
            </w:r>
          </w:p>
        </w:tc>
        <w:tc>
          <w:tcPr>
            <w:tcW w:w="779" w:type="dxa"/>
            <w:noWrap/>
            <w:vAlign w:val="center"/>
            <w:hideMark/>
          </w:tcPr>
          <w:p w14:paraId="3B437E48"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1</w:t>
            </w:r>
          </w:p>
        </w:tc>
        <w:tc>
          <w:tcPr>
            <w:tcW w:w="931" w:type="dxa"/>
            <w:noWrap/>
            <w:vAlign w:val="center"/>
            <w:hideMark/>
          </w:tcPr>
          <w:p w14:paraId="27505AF0"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4</w:t>
            </w:r>
          </w:p>
        </w:tc>
        <w:tc>
          <w:tcPr>
            <w:tcW w:w="827" w:type="dxa"/>
            <w:vAlign w:val="center"/>
          </w:tcPr>
          <w:p w14:paraId="50BD674D"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138.38</w:t>
            </w:r>
          </w:p>
        </w:tc>
        <w:tc>
          <w:tcPr>
            <w:tcW w:w="973" w:type="dxa"/>
            <w:vAlign w:val="center"/>
          </w:tcPr>
          <w:p w14:paraId="0D30E512"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430.80</w:t>
            </w:r>
          </w:p>
        </w:tc>
        <w:tc>
          <w:tcPr>
            <w:tcW w:w="1045" w:type="dxa"/>
            <w:vAlign w:val="center"/>
          </w:tcPr>
          <w:p w14:paraId="27D08CD4"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64.33</w:t>
            </w:r>
          </w:p>
        </w:tc>
        <w:tc>
          <w:tcPr>
            <w:tcW w:w="848" w:type="dxa"/>
          </w:tcPr>
          <w:p w14:paraId="06B757B8"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120.39</w:t>
            </w:r>
          </w:p>
        </w:tc>
      </w:tr>
      <w:tr w:rsidR="00492F97" w:rsidRPr="00AC555D" w14:paraId="75DA9920" w14:textId="77777777" w:rsidTr="00E223AA">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462" w:type="dxa"/>
            <w:noWrap/>
            <w:vAlign w:val="center"/>
            <w:hideMark/>
          </w:tcPr>
          <w:p w14:paraId="7AFCB319" w14:textId="77777777" w:rsidR="00492F97" w:rsidRPr="005D0E19" w:rsidRDefault="00492F97" w:rsidP="005D4AF3">
            <w:pPr>
              <w:spacing w:line="240" w:lineRule="auto"/>
              <w:jc w:val="center"/>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7</w:t>
            </w:r>
          </w:p>
        </w:tc>
        <w:tc>
          <w:tcPr>
            <w:tcW w:w="1380" w:type="dxa"/>
            <w:noWrap/>
            <w:vAlign w:val="center"/>
            <w:hideMark/>
          </w:tcPr>
          <w:p w14:paraId="4B6FCAC8"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North-South</w:t>
            </w:r>
          </w:p>
        </w:tc>
        <w:tc>
          <w:tcPr>
            <w:tcW w:w="678" w:type="dxa"/>
            <w:noWrap/>
            <w:vAlign w:val="center"/>
            <w:hideMark/>
          </w:tcPr>
          <w:p w14:paraId="1AC32882"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2</w:t>
            </w:r>
          </w:p>
        </w:tc>
        <w:tc>
          <w:tcPr>
            <w:tcW w:w="779" w:type="dxa"/>
            <w:noWrap/>
            <w:vAlign w:val="center"/>
            <w:hideMark/>
          </w:tcPr>
          <w:p w14:paraId="4BF5D280"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2</w:t>
            </w:r>
          </w:p>
        </w:tc>
        <w:tc>
          <w:tcPr>
            <w:tcW w:w="931" w:type="dxa"/>
            <w:noWrap/>
            <w:vAlign w:val="center"/>
            <w:hideMark/>
          </w:tcPr>
          <w:p w14:paraId="30995915"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3</w:t>
            </w:r>
          </w:p>
        </w:tc>
        <w:tc>
          <w:tcPr>
            <w:tcW w:w="827" w:type="dxa"/>
            <w:vAlign w:val="center"/>
          </w:tcPr>
          <w:p w14:paraId="05FB59A4"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246.69</w:t>
            </w:r>
          </w:p>
        </w:tc>
        <w:tc>
          <w:tcPr>
            <w:tcW w:w="973" w:type="dxa"/>
            <w:vAlign w:val="center"/>
          </w:tcPr>
          <w:p w14:paraId="16AAA858"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201.82</w:t>
            </w:r>
          </w:p>
        </w:tc>
        <w:tc>
          <w:tcPr>
            <w:tcW w:w="1045" w:type="dxa"/>
            <w:vAlign w:val="center"/>
          </w:tcPr>
          <w:p w14:paraId="2C09018D"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36.08</w:t>
            </w:r>
          </w:p>
        </w:tc>
        <w:tc>
          <w:tcPr>
            <w:tcW w:w="848" w:type="dxa"/>
          </w:tcPr>
          <w:p w14:paraId="708D3FEF" w14:textId="77777777" w:rsidR="00492F97" w:rsidRPr="005D0E19" w:rsidRDefault="00492F97" w:rsidP="005D4A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43.56</w:t>
            </w:r>
          </w:p>
        </w:tc>
      </w:tr>
      <w:tr w:rsidR="00492F97" w:rsidRPr="00AC555D" w14:paraId="50BCDB4D" w14:textId="77777777" w:rsidTr="00E223AA">
        <w:trPr>
          <w:trHeight w:val="468"/>
          <w:jc w:val="center"/>
        </w:trPr>
        <w:tc>
          <w:tcPr>
            <w:cnfStyle w:val="001000000000" w:firstRow="0" w:lastRow="0" w:firstColumn="1" w:lastColumn="0" w:oddVBand="0" w:evenVBand="0" w:oddHBand="0" w:evenHBand="0" w:firstRowFirstColumn="0" w:firstRowLastColumn="0" w:lastRowFirstColumn="0" w:lastRowLastColumn="0"/>
            <w:tcW w:w="462" w:type="dxa"/>
            <w:noWrap/>
            <w:vAlign w:val="center"/>
            <w:hideMark/>
          </w:tcPr>
          <w:p w14:paraId="5E3150A4" w14:textId="77777777" w:rsidR="00492F97" w:rsidRPr="005D0E19" w:rsidRDefault="00492F97" w:rsidP="005D4AF3">
            <w:pPr>
              <w:spacing w:line="240" w:lineRule="auto"/>
              <w:jc w:val="center"/>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8</w:t>
            </w:r>
          </w:p>
        </w:tc>
        <w:tc>
          <w:tcPr>
            <w:tcW w:w="1380" w:type="dxa"/>
            <w:noWrap/>
            <w:vAlign w:val="center"/>
            <w:hideMark/>
          </w:tcPr>
          <w:p w14:paraId="24EF92B3"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North-South</w:t>
            </w:r>
          </w:p>
        </w:tc>
        <w:tc>
          <w:tcPr>
            <w:tcW w:w="678" w:type="dxa"/>
            <w:noWrap/>
            <w:vAlign w:val="center"/>
            <w:hideMark/>
          </w:tcPr>
          <w:p w14:paraId="15DB9ED1"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2</w:t>
            </w:r>
          </w:p>
        </w:tc>
        <w:tc>
          <w:tcPr>
            <w:tcW w:w="779" w:type="dxa"/>
            <w:noWrap/>
            <w:vAlign w:val="center"/>
            <w:hideMark/>
          </w:tcPr>
          <w:p w14:paraId="25687DD6"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4</w:t>
            </w:r>
          </w:p>
        </w:tc>
        <w:tc>
          <w:tcPr>
            <w:tcW w:w="931" w:type="dxa"/>
            <w:noWrap/>
            <w:vAlign w:val="center"/>
            <w:hideMark/>
          </w:tcPr>
          <w:p w14:paraId="34B04047"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4</w:t>
            </w:r>
          </w:p>
        </w:tc>
        <w:tc>
          <w:tcPr>
            <w:tcW w:w="827" w:type="dxa"/>
            <w:vAlign w:val="center"/>
          </w:tcPr>
          <w:p w14:paraId="689EACD9"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629.03</w:t>
            </w:r>
          </w:p>
        </w:tc>
        <w:tc>
          <w:tcPr>
            <w:tcW w:w="973" w:type="dxa"/>
            <w:vAlign w:val="center"/>
          </w:tcPr>
          <w:p w14:paraId="2A59DE7E"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312.64</w:t>
            </w:r>
          </w:p>
        </w:tc>
        <w:tc>
          <w:tcPr>
            <w:tcW w:w="1045" w:type="dxa"/>
            <w:vAlign w:val="center"/>
          </w:tcPr>
          <w:p w14:paraId="54B9638F"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117.34</w:t>
            </w:r>
          </w:p>
        </w:tc>
        <w:tc>
          <w:tcPr>
            <w:tcW w:w="848" w:type="dxa"/>
          </w:tcPr>
          <w:p w14:paraId="672D5258" w14:textId="77777777" w:rsidR="00492F97" w:rsidRPr="005D0E19" w:rsidRDefault="00492F97" w:rsidP="005D4AF3">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2"/>
                <w:szCs w:val="22"/>
              </w:rPr>
            </w:pPr>
            <w:r w:rsidRPr="005D0E19">
              <w:rPr>
                <w:rFonts w:asciiTheme="majorBidi" w:eastAsia="Times New Roman" w:hAnsiTheme="majorBidi" w:cstheme="majorBidi"/>
                <w:sz w:val="22"/>
                <w:szCs w:val="22"/>
              </w:rPr>
              <w:t>112.75</w:t>
            </w:r>
          </w:p>
        </w:tc>
      </w:tr>
    </w:tbl>
    <w:p w14:paraId="7835F0EF" w14:textId="77777777" w:rsidR="00492F97" w:rsidRPr="00AC555D" w:rsidRDefault="00492F97" w:rsidP="005D4AF3">
      <w:pPr>
        <w:spacing w:line="240" w:lineRule="auto"/>
        <w:rPr>
          <w:rFonts w:asciiTheme="majorBidi" w:hAnsiTheme="majorBidi" w:cstheme="majorBidi"/>
          <w:lang w:bidi="fa-IR"/>
        </w:rPr>
      </w:pPr>
    </w:p>
    <w:p w14:paraId="48690A78" w14:textId="77777777" w:rsidR="00492F97" w:rsidRPr="005D0E19" w:rsidRDefault="00492F97" w:rsidP="005D4AF3">
      <w:pPr>
        <w:pStyle w:val="Heading2"/>
        <w:spacing w:line="240" w:lineRule="auto"/>
      </w:pPr>
      <w:r w:rsidRPr="005D0E19">
        <w:t>2-2- Method</w:t>
      </w:r>
    </w:p>
    <w:p w14:paraId="00C36B00" w14:textId="77777777" w:rsidR="00492F97" w:rsidRPr="00AC555D" w:rsidRDefault="00492F97" w:rsidP="001230AF">
      <w:pPr>
        <w:pStyle w:val="Paragraph"/>
        <w:spacing w:before="0" w:line="240" w:lineRule="auto"/>
        <w:jc w:val="both"/>
        <w:rPr>
          <w:rtl/>
        </w:rPr>
      </w:pPr>
      <w:r w:rsidRPr="00AC555D">
        <w:rPr>
          <w:lang w:bidi="fa-IR"/>
        </w:rPr>
        <w:t>I</w:t>
      </w:r>
      <w:r w:rsidRPr="00AC555D">
        <w:t>n the present study regarding to discovering strategies of vernacular façade design in city of Bushehr, a case analysis on the following criteria were investigated</w:t>
      </w:r>
      <w:r w:rsidRPr="00AC555D">
        <w:rPr>
          <w:rtl/>
        </w:rPr>
        <w:t xml:space="preserve"> </w:t>
      </w:r>
      <w:r w:rsidRPr="00AC555D">
        <w:t>to reveal probable a) relationships between façade and opening areas and b) relationships between different opening shapes and sizes as follow:</w:t>
      </w:r>
    </w:p>
    <w:p w14:paraId="63EC8476" w14:textId="77777777" w:rsidR="00492F97" w:rsidRPr="00AC555D" w:rsidRDefault="00492F97" w:rsidP="005D4AF3">
      <w:pPr>
        <w:pStyle w:val="Paragraph"/>
        <w:spacing w:line="240" w:lineRule="auto"/>
        <w:jc w:val="both"/>
        <w:rPr>
          <w:lang w:bidi="fa-IR"/>
        </w:rPr>
      </w:pPr>
      <w:r w:rsidRPr="00AC555D">
        <w:t xml:space="preserve">A) </w:t>
      </w:r>
      <w:r w:rsidRPr="00AC555D">
        <w:rPr>
          <w:lang w:bidi="fa-IR"/>
        </w:rPr>
        <w:t>The relationship between the façade area and the openings area includes the following sixteen criteria:</w:t>
      </w:r>
    </w:p>
    <w:p w14:paraId="03A29C2E" w14:textId="77777777" w:rsidR="00492F97" w:rsidRPr="00AC555D" w:rsidRDefault="00492F97" w:rsidP="001230AF">
      <w:pPr>
        <w:pStyle w:val="Paragraph"/>
        <w:spacing w:before="0" w:line="240" w:lineRule="auto"/>
        <w:jc w:val="both"/>
        <w:rPr>
          <w:b/>
          <w:bCs/>
          <w:u w:val="single"/>
          <w:lang w:bidi="fa-IR"/>
        </w:rPr>
      </w:pPr>
      <w:r w:rsidRPr="00AC555D">
        <w:rPr>
          <w:b/>
          <w:bCs/>
          <w:u w:val="single"/>
          <w:lang w:bidi="fa-IR"/>
        </w:rPr>
        <w:t>Exterior facade criteria</w:t>
      </w:r>
    </w:p>
    <w:p w14:paraId="104E5293" w14:textId="77777777" w:rsidR="00E223AA" w:rsidRPr="00AC555D" w:rsidRDefault="00E223AA" w:rsidP="005D4AF3">
      <w:pPr>
        <w:pStyle w:val="Bulletedlist"/>
        <w:spacing w:line="240" w:lineRule="auto"/>
        <w:jc w:val="both"/>
        <w:rPr>
          <w:lang w:bidi="fa-IR"/>
        </w:rPr>
      </w:pPr>
      <w:r w:rsidRPr="00AC555D">
        <w:rPr>
          <w:lang w:bidi="fa-IR"/>
        </w:rPr>
        <w:t>Criteria 1 to 4: Relationship between the facade area and the ​​openings area in north, south, east, and west exterior facades</w:t>
      </w:r>
    </w:p>
    <w:p w14:paraId="27C29E48" w14:textId="77777777" w:rsidR="00E223AA" w:rsidRPr="00AC555D" w:rsidRDefault="00E223AA" w:rsidP="005D4AF3">
      <w:pPr>
        <w:pStyle w:val="Bulletedlist"/>
        <w:spacing w:line="240" w:lineRule="auto"/>
        <w:jc w:val="both"/>
        <w:rPr>
          <w:lang w:bidi="fa-IR"/>
        </w:rPr>
      </w:pPr>
      <w:r w:rsidRPr="00AC555D">
        <w:rPr>
          <w:lang w:bidi="fa-IR"/>
        </w:rPr>
        <w:t>Criterion 5: Ratio of ‘total area of ​​first floor exterior openings’ to ‘area of exterior first floor façade’</w:t>
      </w:r>
    </w:p>
    <w:p w14:paraId="703EF191" w14:textId="77777777" w:rsidR="00E223AA" w:rsidRPr="00AC555D" w:rsidRDefault="00E223AA" w:rsidP="005D4AF3">
      <w:pPr>
        <w:pStyle w:val="Bulletedlist"/>
        <w:spacing w:line="240" w:lineRule="auto"/>
        <w:jc w:val="both"/>
        <w:rPr>
          <w:lang w:bidi="fa-IR"/>
        </w:rPr>
      </w:pPr>
      <w:r w:rsidRPr="00AC555D">
        <w:rPr>
          <w:lang w:bidi="fa-IR"/>
        </w:rPr>
        <w:t>Criterion 6: Ratio of ‘total area of ​​the second-floor exterior openings’ to ‘area of ​​the second-floor exterior façade’</w:t>
      </w:r>
    </w:p>
    <w:p w14:paraId="39C63778" w14:textId="77777777" w:rsidR="00E223AA" w:rsidRPr="00AC555D" w:rsidRDefault="00E223AA" w:rsidP="005D4AF3">
      <w:pPr>
        <w:pStyle w:val="Bulletedlist"/>
        <w:numPr>
          <w:ilvl w:val="0"/>
          <w:numId w:val="0"/>
        </w:numPr>
        <w:spacing w:line="240" w:lineRule="auto"/>
        <w:jc w:val="both"/>
        <w:rPr>
          <w:b/>
          <w:bCs/>
          <w:u w:val="single"/>
          <w:lang w:bidi="fa-IR"/>
        </w:rPr>
      </w:pPr>
      <w:r w:rsidRPr="00AC555D">
        <w:rPr>
          <w:b/>
          <w:bCs/>
          <w:u w:val="single"/>
          <w:lang w:bidi="fa-IR"/>
        </w:rPr>
        <w:t>Interior facade criteria</w:t>
      </w:r>
    </w:p>
    <w:p w14:paraId="044AD0BD" w14:textId="77777777" w:rsidR="00E223AA" w:rsidRPr="00AC555D" w:rsidRDefault="00E223AA" w:rsidP="005D4AF3">
      <w:pPr>
        <w:pStyle w:val="Bulletedlist"/>
        <w:spacing w:line="240" w:lineRule="auto"/>
        <w:jc w:val="both"/>
        <w:rPr>
          <w:lang w:bidi="fa-IR"/>
        </w:rPr>
      </w:pPr>
      <w:r w:rsidRPr="00AC555D">
        <w:rPr>
          <w:lang w:bidi="fa-IR"/>
        </w:rPr>
        <w:t>Criteria 7 to 10: Relationship between facade area and openings area in north, south, east, and west interior facades</w:t>
      </w:r>
    </w:p>
    <w:p w14:paraId="4536837B" w14:textId="77777777" w:rsidR="00E223AA" w:rsidRPr="00AC555D" w:rsidRDefault="00E223AA" w:rsidP="005D4AF3">
      <w:pPr>
        <w:pStyle w:val="Bulletedlist"/>
        <w:spacing w:line="240" w:lineRule="auto"/>
        <w:jc w:val="both"/>
        <w:rPr>
          <w:lang w:bidi="fa-IR"/>
        </w:rPr>
      </w:pPr>
      <w:r w:rsidRPr="00AC555D">
        <w:rPr>
          <w:lang w:bidi="fa-IR"/>
        </w:rPr>
        <w:t>Criterion 11: Ratio of ‘Total area of first floor openings of interior façade’ to ‘area of the first-floor interior façade’</w:t>
      </w:r>
    </w:p>
    <w:p w14:paraId="575ECE96" w14:textId="77777777" w:rsidR="00E223AA" w:rsidRPr="00AC555D" w:rsidRDefault="00E223AA" w:rsidP="005D4AF3">
      <w:pPr>
        <w:pStyle w:val="Bulletedlist"/>
        <w:spacing w:line="240" w:lineRule="auto"/>
        <w:jc w:val="both"/>
        <w:rPr>
          <w:lang w:bidi="fa-IR"/>
        </w:rPr>
      </w:pPr>
      <w:r w:rsidRPr="00AC555D">
        <w:rPr>
          <w:lang w:bidi="fa-IR"/>
        </w:rPr>
        <w:t>Criterion 12: Ratio of ‘total area of the second-floor openings of the interior façade’ to ‘area of the first-floor interior façade’</w:t>
      </w:r>
    </w:p>
    <w:p w14:paraId="6B284694" w14:textId="77777777" w:rsidR="00E223AA" w:rsidRPr="00AC555D" w:rsidRDefault="00E223AA" w:rsidP="005D4AF3">
      <w:pPr>
        <w:spacing w:line="240" w:lineRule="auto"/>
        <w:rPr>
          <w:rFonts w:asciiTheme="majorBidi" w:hAnsiTheme="majorBidi" w:cstheme="majorBidi"/>
          <w:lang w:bidi="fa-IR"/>
        </w:rPr>
      </w:pPr>
      <w:r w:rsidRPr="00AC555D">
        <w:rPr>
          <w:rFonts w:asciiTheme="majorBidi" w:hAnsiTheme="majorBidi" w:cstheme="majorBidi"/>
          <w:b/>
          <w:bCs/>
          <w:u w:val="single"/>
          <w:lang w:bidi="fa-IR"/>
        </w:rPr>
        <w:t>Parallel faces criteria</w:t>
      </w:r>
      <w:r w:rsidRPr="00AC555D">
        <w:rPr>
          <w:rFonts w:asciiTheme="majorBidi" w:hAnsiTheme="majorBidi" w:cstheme="majorBidi"/>
          <w:b/>
          <w:bCs/>
          <w:lang w:bidi="fa-IR"/>
        </w:rPr>
        <w:t xml:space="preserve"> </w:t>
      </w:r>
      <w:r w:rsidRPr="00AC555D">
        <w:rPr>
          <w:rFonts w:asciiTheme="majorBidi" w:hAnsiTheme="majorBidi" w:cstheme="majorBidi"/>
          <w:lang w:bidi="fa-IR"/>
        </w:rPr>
        <w:tab/>
      </w:r>
    </w:p>
    <w:p w14:paraId="03287FCD" w14:textId="77777777" w:rsidR="00E223AA" w:rsidRPr="00AC555D" w:rsidRDefault="00E223AA" w:rsidP="005D4AF3">
      <w:pPr>
        <w:pStyle w:val="Bulletedlist"/>
        <w:spacing w:line="240" w:lineRule="auto"/>
        <w:jc w:val="both"/>
        <w:rPr>
          <w:lang w:bidi="fa-IR"/>
        </w:rPr>
      </w:pPr>
      <w:r w:rsidRPr="00AC555D">
        <w:rPr>
          <w:lang w:bidi="fa-IR"/>
        </w:rPr>
        <w:lastRenderedPageBreak/>
        <w:t>Criteria 13 to 16: Ratio of ‘total area of north exterior openings to north exterior facade area’ to ‘ratio of total area of north interior façade openings to the area of north interior façade area’ and similar to south, east and west facades</w:t>
      </w:r>
    </w:p>
    <w:p w14:paraId="43BB7B78" w14:textId="77777777" w:rsidR="00E223AA" w:rsidRPr="00AC555D" w:rsidRDefault="00E223AA" w:rsidP="005D4AF3">
      <w:pPr>
        <w:pStyle w:val="Paragraph"/>
        <w:spacing w:before="0" w:line="240" w:lineRule="auto"/>
        <w:rPr>
          <w:lang w:bidi="fa-IR"/>
        </w:rPr>
      </w:pPr>
      <w:r w:rsidRPr="00AC555D">
        <w:rPr>
          <w:lang w:bidi="fa-IR"/>
        </w:rPr>
        <w:t>B) Relationships of openings include the following two criteria:</w:t>
      </w:r>
    </w:p>
    <w:p w14:paraId="0A7C7394" w14:textId="77777777" w:rsidR="00E223AA" w:rsidRPr="00AC555D" w:rsidRDefault="00E223AA" w:rsidP="005D4AF3">
      <w:pPr>
        <w:pStyle w:val="Bulletedlist"/>
        <w:spacing w:before="0" w:line="240" w:lineRule="auto"/>
        <w:jc w:val="both"/>
        <w:rPr>
          <w:lang w:bidi="fa-IR"/>
        </w:rPr>
      </w:pPr>
      <w:r w:rsidRPr="00AC555D">
        <w:rPr>
          <w:lang w:bidi="fa-IR"/>
        </w:rPr>
        <w:t>Criterion 17: The level of using all types of openings, including rectangular, arched, and also small, medium, and large openings and also the most frequent small, medium, large openings in exterior and interior facades</w:t>
      </w:r>
    </w:p>
    <w:p w14:paraId="636ABC18" w14:textId="77777777" w:rsidR="00E223AA" w:rsidRPr="00AC555D" w:rsidRDefault="00E223AA" w:rsidP="005D4AF3">
      <w:pPr>
        <w:pStyle w:val="Bulletedlist"/>
        <w:spacing w:line="240" w:lineRule="auto"/>
        <w:jc w:val="both"/>
        <w:rPr>
          <w:lang w:bidi="fa-IR"/>
        </w:rPr>
      </w:pPr>
      <w:r w:rsidRPr="00AC555D">
        <w:rPr>
          <w:lang w:bidi="fa-IR"/>
        </w:rPr>
        <w:t>Criterion 18: Relationship between height and width of openings (average height to width ratio in rectangular and arched openings, as well as small, medium and large openings)</w:t>
      </w:r>
    </w:p>
    <w:p w14:paraId="10BEE1ED" w14:textId="77777777" w:rsidR="00E223AA" w:rsidRDefault="00E223AA" w:rsidP="005D4AF3">
      <w:pPr>
        <w:pStyle w:val="Newparagraph"/>
        <w:spacing w:line="240" w:lineRule="auto"/>
        <w:jc w:val="both"/>
        <w:rPr>
          <w:lang w:bidi="fa-IR"/>
        </w:rPr>
      </w:pPr>
      <w:r w:rsidRPr="00AC555D">
        <w:rPr>
          <w:lang w:bidi="fa-IR"/>
        </w:rPr>
        <w:t xml:space="preserve">To find an appropriate formula for obtaining the desired relationships, different statistical methods such as trying to find the distribution, finding the correlation between the desired variables, and drawing a scatter plot were used to visually observe the relationships. Finally, linear regression models were used for cases where a linear relationship between variables could be seen with a slight negligence. Also, for cases where there was no linear relationship between the variables (criteria 10, 13, 14, 15 and 16), attempts were made to use multiple regression models, but using the available data, the fit of the multiple regression model was not significant. Descriptive statistics were used to determine the use of different types of openings (criterion 17) based on available data and the percentages were reported. All the statistical </w:t>
      </w:r>
      <w:proofErr w:type="spellStart"/>
      <w:r w:rsidRPr="00AC555D">
        <w:rPr>
          <w:lang w:bidi="fa-IR"/>
        </w:rPr>
        <w:t>analyzes</w:t>
      </w:r>
      <w:proofErr w:type="spellEnd"/>
      <w:r w:rsidRPr="00AC555D">
        <w:rPr>
          <w:lang w:bidi="fa-IR"/>
        </w:rPr>
        <w:t xml:space="preserve"> performed in IBM SPSS Statistics version 16.0. Figure 7 shows the research Diagram.</w:t>
      </w:r>
    </w:p>
    <w:p w14:paraId="05EE0895" w14:textId="77777777" w:rsidR="00E223AA" w:rsidRPr="00AC555D" w:rsidRDefault="00E223AA" w:rsidP="005D4AF3">
      <w:pPr>
        <w:tabs>
          <w:tab w:val="left" w:pos="1764"/>
        </w:tabs>
        <w:spacing w:line="240" w:lineRule="auto"/>
        <w:rPr>
          <w:rFonts w:asciiTheme="majorBidi" w:hAnsiTheme="majorBidi" w:cstheme="majorBidi"/>
          <w:rtl/>
        </w:rPr>
      </w:pPr>
      <w:r w:rsidRPr="00E223AA">
        <w:rPr>
          <w:rStyle w:val="Emphasis"/>
          <w:noProof/>
          <w:lang w:val="en-US" w:eastAsia="en-US"/>
        </w:rPr>
        <w:drawing>
          <wp:inline distT="0" distB="0" distL="0" distR="0" wp14:anchorId="3D69F0B6" wp14:editId="244446AB">
            <wp:extent cx="5943600" cy="2284273"/>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earch Process 2.JPG"/>
                    <pic:cNvPicPr/>
                  </pic:nvPicPr>
                  <pic:blipFill>
                    <a:blip r:embed="rId22">
                      <a:extLst>
                        <a:ext uri="{28A0092B-C50C-407E-A947-70E740481C1C}">
                          <a14:useLocalDpi xmlns:a14="http://schemas.microsoft.com/office/drawing/2010/main" val="0"/>
                        </a:ext>
                      </a:extLst>
                    </a:blip>
                    <a:stretch>
                      <a:fillRect/>
                    </a:stretch>
                  </pic:blipFill>
                  <pic:spPr>
                    <a:xfrm>
                      <a:off x="0" y="0"/>
                      <a:ext cx="5943600" cy="2284273"/>
                    </a:xfrm>
                    <a:prstGeom prst="rect">
                      <a:avLst/>
                    </a:prstGeom>
                  </pic:spPr>
                </pic:pic>
              </a:graphicData>
            </a:graphic>
          </wp:inline>
        </w:drawing>
      </w:r>
    </w:p>
    <w:p w14:paraId="17CBFA8C" w14:textId="77777777" w:rsidR="00E223AA" w:rsidRPr="00AC555D" w:rsidRDefault="00E223AA" w:rsidP="005D4AF3">
      <w:pPr>
        <w:pStyle w:val="Figurecaption"/>
        <w:spacing w:before="0" w:line="240" w:lineRule="auto"/>
      </w:pPr>
      <w:r w:rsidRPr="00AC555D">
        <w:t>Figure 7</w:t>
      </w:r>
      <w:r>
        <w:t>.</w:t>
      </w:r>
      <w:r w:rsidRPr="00AC555D">
        <w:t xml:space="preserve"> Research Process</w:t>
      </w:r>
    </w:p>
    <w:p w14:paraId="07578C1A" w14:textId="77777777" w:rsidR="00E223AA" w:rsidRPr="005D0E19" w:rsidRDefault="00E41A8F" w:rsidP="005D4AF3">
      <w:pPr>
        <w:pStyle w:val="Heading1"/>
        <w:spacing w:line="240" w:lineRule="auto"/>
      </w:pPr>
      <w:r>
        <w:t xml:space="preserve">3- </w:t>
      </w:r>
      <w:r w:rsidRPr="005D0E19">
        <w:t>Results</w:t>
      </w:r>
      <w:r w:rsidR="00E223AA" w:rsidRPr="005D0E19">
        <w:rPr>
          <w:szCs w:val="24"/>
          <w:rtl/>
        </w:rPr>
        <w:t xml:space="preserve"> </w:t>
      </w:r>
      <w:r w:rsidR="00E223AA" w:rsidRPr="005D0E19">
        <w:t>and Discussion</w:t>
      </w:r>
    </w:p>
    <w:p w14:paraId="44A6809C" w14:textId="77777777" w:rsidR="00E223AA" w:rsidRPr="005D0E19" w:rsidRDefault="00E223AA" w:rsidP="001230AF">
      <w:pPr>
        <w:pStyle w:val="Heading2"/>
        <w:spacing w:before="0" w:after="0" w:line="240" w:lineRule="auto"/>
      </w:pPr>
      <w:r w:rsidRPr="005D0E19">
        <w:t>3-1- Exterior Façades</w:t>
      </w:r>
    </w:p>
    <w:p w14:paraId="42A0BF3B" w14:textId="77777777" w:rsidR="00E223AA" w:rsidRPr="00AC555D" w:rsidRDefault="00E223AA" w:rsidP="001230AF">
      <w:pPr>
        <w:pStyle w:val="Bulletedlist"/>
        <w:spacing w:before="0" w:after="0" w:line="240" w:lineRule="auto"/>
        <w:rPr>
          <w:lang w:bidi="fa-IR"/>
        </w:rPr>
      </w:pPr>
      <w:r w:rsidRPr="00AC555D">
        <w:rPr>
          <w:lang w:bidi="fa-IR"/>
        </w:rPr>
        <w:t>Criterion 1: North Exterior Façade</w:t>
      </w:r>
    </w:p>
    <w:p w14:paraId="2BD51D1E" w14:textId="77777777" w:rsidR="00E223AA" w:rsidRPr="00AC555D" w:rsidRDefault="00E223AA" w:rsidP="001230AF">
      <w:pPr>
        <w:pStyle w:val="Paragraph"/>
        <w:spacing w:before="0" w:line="240" w:lineRule="auto"/>
        <w:jc w:val="both"/>
        <w:rPr>
          <w:lang w:bidi="fa-IR"/>
        </w:rPr>
      </w:pPr>
      <w:r w:rsidRPr="00AC555D">
        <w:rPr>
          <w:lang w:bidi="fa-IR"/>
        </w:rPr>
        <w:t>Among the 5 houses that have a north exterior facade, the ratio of the total area of the north exterior façade openings to the area of north exterior façade is a minimum of 9%, with an average of 20% and a maximum of 28%. The result of fitting a simple linear regression model is as follows</w:t>
      </w:r>
      <w:r w:rsidRPr="00AC555D">
        <w:rPr>
          <w:rtl/>
          <w:lang w:bidi="fa-IR"/>
        </w:rPr>
        <w:t>:</w:t>
      </w:r>
    </w:p>
    <w:p w14:paraId="29CAC3D8" w14:textId="77777777" w:rsidR="00E223AA" w:rsidRPr="00AC555D" w:rsidRDefault="00E223AA" w:rsidP="005D4AF3">
      <w:pPr>
        <w:pStyle w:val="Paragraph"/>
        <w:spacing w:before="0" w:line="240" w:lineRule="auto"/>
        <w:jc w:val="center"/>
        <w:rPr>
          <w:vertAlign w:val="subscript"/>
          <w:rtl/>
          <w:lang w:bidi="fa-IR"/>
        </w:rPr>
      </w:pPr>
      <w:r w:rsidRPr="00AC555D">
        <w:rPr>
          <w:lang w:bidi="fa-IR"/>
        </w:rPr>
        <w:t>S</w:t>
      </w:r>
      <w:r w:rsidRPr="00AC555D">
        <w:rPr>
          <w:vertAlign w:val="subscript"/>
          <w:lang w:bidi="fa-IR"/>
        </w:rPr>
        <w:t xml:space="preserve"> </w:t>
      </w:r>
      <w:proofErr w:type="spellStart"/>
      <w:proofErr w:type="gramStart"/>
      <w:r w:rsidRPr="00AC555D">
        <w:rPr>
          <w:vertAlign w:val="subscript"/>
          <w:lang w:bidi="fa-IR"/>
        </w:rPr>
        <w:t>N.Ex</w:t>
      </w:r>
      <w:proofErr w:type="spellEnd"/>
      <w:proofErr w:type="gramEnd"/>
      <w:r w:rsidRPr="00AC555D">
        <w:rPr>
          <w:vertAlign w:val="subscript"/>
          <w:lang w:bidi="fa-IR"/>
        </w:rPr>
        <w:t xml:space="preserve"> </w:t>
      </w:r>
      <w:r w:rsidR="005D0E19" w:rsidRPr="00AC555D">
        <w:rPr>
          <w:vertAlign w:val="subscript"/>
          <w:lang w:bidi="fa-IR"/>
        </w:rPr>
        <w:t>Opening</w:t>
      </w:r>
      <w:r w:rsidRPr="00AC555D">
        <w:rPr>
          <w:vertAlign w:val="subscript"/>
          <w:lang w:bidi="fa-IR"/>
        </w:rPr>
        <w:t xml:space="preserve"> </w:t>
      </w:r>
      <w:r w:rsidRPr="00AC555D">
        <w:rPr>
          <w:lang w:bidi="fa-IR"/>
        </w:rPr>
        <w:t xml:space="preserve">= -34.65 + 0.42 S </w:t>
      </w:r>
      <w:proofErr w:type="spellStart"/>
      <w:r w:rsidRPr="00AC555D">
        <w:rPr>
          <w:vertAlign w:val="subscript"/>
          <w:lang w:bidi="fa-IR"/>
        </w:rPr>
        <w:t>N.Ex</w:t>
      </w:r>
      <w:proofErr w:type="spellEnd"/>
      <w:r w:rsidRPr="00AC555D">
        <w:rPr>
          <w:vertAlign w:val="subscript"/>
          <w:lang w:bidi="fa-IR"/>
        </w:rPr>
        <w:t xml:space="preserve"> Facade</w:t>
      </w:r>
    </w:p>
    <w:p w14:paraId="62C7F4EE" w14:textId="77777777" w:rsidR="00E223AA" w:rsidRPr="00AC555D" w:rsidRDefault="00E223AA" w:rsidP="005D4AF3">
      <w:pPr>
        <w:pStyle w:val="Paragraph"/>
        <w:spacing w:line="240" w:lineRule="auto"/>
        <w:rPr>
          <w:rtl/>
          <w:lang w:bidi="fa-IR"/>
        </w:rPr>
      </w:pPr>
      <w:r w:rsidRPr="00AC555D">
        <w:rPr>
          <w:lang w:bidi="fa-IR"/>
        </w:rPr>
        <w:t xml:space="preserve">It means that, for example, for every 10 square meters of increase in the area of the north exterior facade, the area of openings of that facade increases by 4.2 square meters. The value of the coefficient of determination or R2 for this linear equation is 0.73, </w:t>
      </w:r>
      <w:r w:rsidRPr="00AC555D">
        <w:rPr>
          <w:lang w:bidi="fa-IR"/>
        </w:rPr>
        <w:lastRenderedPageBreak/>
        <w:t>which is an acceptable value</w:t>
      </w:r>
      <w:r w:rsidRPr="00AC555D">
        <w:rPr>
          <w:rtl/>
          <w:lang w:bidi="fa-IR"/>
        </w:rPr>
        <w:t>.</w:t>
      </w:r>
    </w:p>
    <w:p w14:paraId="2C0C48E5" w14:textId="77777777" w:rsidR="00E223AA" w:rsidRPr="00AC555D" w:rsidRDefault="00E223AA" w:rsidP="005D4AF3">
      <w:pPr>
        <w:pStyle w:val="Bulletedlist"/>
        <w:spacing w:line="240" w:lineRule="auto"/>
        <w:rPr>
          <w:rtl/>
          <w:lang w:bidi="fa-IR"/>
        </w:rPr>
      </w:pPr>
      <w:r w:rsidRPr="00AC555D">
        <w:rPr>
          <w:lang w:bidi="fa-IR"/>
        </w:rPr>
        <w:t>Criterion 2: South Exterior Façade</w:t>
      </w:r>
    </w:p>
    <w:p w14:paraId="6E554B63" w14:textId="77777777" w:rsidR="00E223AA" w:rsidRPr="00AC555D" w:rsidRDefault="00E223AA" w:rsidP="005D4AF3">
      <w:pPr>
        <w:pStyle w:val="Paragraph"/>
        <w:spacing w:line="240" w:lineRule="auto"/>
        <w:jc w:val="both"/>
        <w:rPr>
          <w:lang w:bidi="fa-IR"/>
        </w:rPr>
      </w:pPr>
      <w:r w:rsidRPr="00AC555D">
        <w:rPr>
          <w:lang w:bidi="fa-IR"/>
        </w:rPr>
        <w:t>The ratio of the area of the openings to the area of the south exterior facade in 6 houses with a south facade is a minimum of about 13%, with an average of 19% and a maximum of 27%. The result of fitting a simple linear regression model is as follows</w:t>
      </w:r>
      <w:r w:rsidRPr="00AC555D">
        <w:rPr>
          <w:rtl/>
          <w:lang w:bidi="fa-IR"/>
        </w:rPr>
        <w:t>:</w:t>
      </w:r>
    </w:p>
    <w:p w14:paraId="5939F8C5" w14:textId="77777777" w:rsidR="00E223AA" w:rsidRPr="00AC555D" w:rsidRDefault="00E223AA" w:rsidP="005D4AF3">
      <w:pPr>
        <w:pStyle w:val="Paragraph"/>
        <w:spacing w:before="0" w:line="240" w:lineRule="auto"/>
        <w:jc w:val="center"/>
        <w:rPr>
          <w:lang w:bidi="fa-IR"/>
        </w:rPr>
      </w:pPr>
      <w:r w:rsidRPr="00AC555D">
        <w:rPr>
          <w:lang w:bidi="fa-IR"/>
        </w:rPr>
        <w:t>S</w:t>
      </w:r>
      <w:r w:rsidRPr="00AC555D">
        <w:rPr>
          <w:vertAlign w:val="subscript"/>
          <w:lang w:bidi="fa-IR"/>
        </w:rPr>
        <w:t xml:space="preserve"> </w:t>
      </w:r>
      <w:proofErr w:type="spellStart"/>
      <w:proofErr w:type="gramStart"/>
      <w:r w:rsidRPr="00AC555D">
        <w:rPr>
          <w:vertAlign w:val="subscript"/>
          <w:lang w:bidi="fa-IR"/>
        </w:rPr>
        <w:t>S.Ex</w:t>
      </w:r>
      <w:proofErr w:type="spellEnd"/>
      <w:proofErr w:type="gramEnd"/>
      <w:r w:rsidRPr="00AC555D">
        <w:rPr>
          <w:vertAlign w:val="subscript"/>
          <w:lang w:bidi="fa-IR"/>
        </w:rPr>
        <w:t xml:space="preserve"> Opening </w:t>
      </w:r>
      <w:r w:rsidRPr="00AC555D">
        <w:rPr>
          <w:lang w:bidi="fa-IR"/>
        </w:rPr>
        <w:t>= 3.71 + 0.18 S</w:t>
      </w:r>
      <w:r w:rsidRPr="00AC555D">
        <w:rPr>
          <w:vertAlign w:val="subscript"/>
          <w:lang w:bidi="fa-IR"/>
        </w:rPr>
        <w:t xml:space="preserve"> </w:t>
      </w:r>
      <w:proofErr w:type="spellStart"/>
      <w:r w:rsidRPr="00AC555D">
        <w:rPr>
          <w:vertAlign w:val="subscript"/>
          <w:lang w:bidi="fa-IR"/>
        </w:rPr>
        <w:t>S.Ex</w:t>
      </w:r>
      <w:proofErr w:type="spellEnd"/>
      <w:r w:rsidRPr="00AC555D">
        <w:rPr>
          <w:vertAlign w:val="subscript"/>
          <w:lang w:bidi="fa-IR"/>
        </w:rPr>
        <w:t xml:space="preserve"> Façade</w:t>
      </w:r>
    </w:p>
    <w:p w14:paraId="2009754F" w14:textId="77777777" w:rsidR="00E223AA" w:rsidRPr="00AC555D" w:rsidRDefault="00E223AA" w:rsidP="005D4AF3">
      <w:pPr>
        <w:pStyle w:val="Newparagraph"/>
        <w:spacing w:line="240" w:lineRule="auto"/>
        <w:jc w:val="both"/>
        <w:rPr>
          <w:rtl/>
          <w:lang w:bidi="fa-IR"/>
        </w:rPr>
      </w:pPr>
      <w:r w:rsidRPr="00AC555D">
        <w:rPr>
          <w:lang w:bidi="fa-IR"/>
        </w:rPr>
        <w:t>It means that, for example, for every 10 square meters of increase in the area of the south exterior facade, the area of openings of that facade increases by 1.8 square meters. The value of the coefficient of determination or R2 for this linear equation is 0.82, which is an acceptable value</w:t>
      </w:r>
      <w:r w:rsidRPr="00AC555D">
        <w:rPr>
          <w:rtl/>
          <w:lang w:bidi="fa-IR"/>
        </w:rPr>
        <w:t>.</w:t>
      </w:r>
    </w:p>
    <w:p w14:paraId="25E62613" w14:textId="77777777" w:rsidR="00E223AA" w:rsidRPr="00AC555D" w:rsidRDefault="00E223AA" w:rsidP="005D4AF3">
      <w:pPr>
        <w:pStyle w:val="Bulletedlist"/>
        <w:spacing w:line="240" w:lineRule="auto"/>
        <w:rPr>
          <w:lang w:bidi="fa-IR"/>
        </w:rPr>
      </w:pPr>
      <w:r w:rsidRPr="00AC555D">
        <w:rPr>
          <w:lang w:bidi="fa-IR"/>
        </w:rPr>
        <w:t>Criterion 3: East Exterior Façade</w:t>
      </w:r>
    </w:p>
    <w:p w14:paraId="094F8098" w14:textId="77777777" w:rsidR="00E223AA" w:rsidRPr="00AC555D" w:rsidRDefault="00E223AA" w:rsidP="005D4AF3">
      <w:pPr>
        <w:pStyle w:val="Paragraph"/>
        <w:spacing w:line="240" w:lineRule="auto"/>
        <w:jc w:val="both"/>
        <w:rPr>
          <w:rtl/>
          <w:lang w:bidi="fa-IR"/>
        </w:rPr>
      </w:pPr>
      <w:r w:rsidRPr="00AC555D">
        <w:rPr>
          <w:lang w:bidi="fa-IR"/>
        </w:rPr>
        <w:t>The ratio of the area of the openings to the area of the exterior east facade in 6 houses with an east facade is a minimum of 12%, with an average of about 19% and a maximum of about 27%. The result of fitting a simple linear regression model is as follows</w:t>
      </w:r>
      <w:r w:rsidRPr="00AC555D">
        <w:rPr>
          <w:rtl/>
          <w:lang w:bidi="fa-IR"/>
        </w:rPr>
        <w:t>:</w:t>
      </w:r>
    </w:p>
    <w:p w14:paraId="4A050AF4" w14:textId="77777777" w:rsidR="00E223AA" w:rsidRPr="00AC555D" w:rsidRDefault="00E223AA" w:rsidP="005D4AF3">
      <w:pPr>
        <w:pStyle w:val="Paragraph"/>
        <w:spacing w:before="0" w:line="240" w:lineRule="auto"/>
        <w:jc w:val="center"/>
        <w:rPr>
          <w:vertAlign w:val="subscript"/>
          <w:rtl/>
          <w:lang w:bidi="fa-IR"/>
        </w:rPr>
      </w:pPr>
      <w:r w:rsidRPr="00AC555D">
        <w:rPr>
          <w:lang w:bidi="fa-IR"/>
        </w:rPr>
        <w:t>S</w:t>
      </w:r>
      <w:r w:rsidRPr="00AC555D">
        <w:rPr>
          <w:vertAlign w:val="subscript"/>
          <w:lang w:bidi="fa-IR"/>
        </w:rPr>
        <w:t xml:space="preserve"> </w:t>
      </w:r>
      <w:proofErr w:type="spellStart"/>
      <w:proofErr w:type="gramStart"/>
      <w:r w:rsidRPr="00AC555D">
        <w:rPr>
          <w:vertAlign w:val="subscript"/>
          <w:lang w:bidi="fa-IR"/>
        </w:rPr>
        <w:t>E.Ex</w:t>
      </w:r>
      <w:proofErr w:type="spellEnd"/>
      <w:proofErr w:type="gramEnd"/>
      <w:r w:rsidRPr="00AC555D">
        <w:rPr>
          <w:vertAlign w:val="subscript"/>
          <w:lang w:bidi="fa-IR"/>
        </w:rPr>
        <w:t xml:space="preserve"> Opening </w:t>
      </w:r>
      <w:r w:rsidRPr="00AC555D">
        <w:rPr>
          <w:lang w:bidi="fa-IR"/>
        </w:rPr>
        <w:t>= 3.71 + 0.18 S</w:t>
      </w:r>
      <w:r w:rsidRPr="00AC555D">
        <w:rPr>
          <w:vertAlign w:val="subscript"/>
          <w:lang w:bidi="fa-IR"/>
        </w:rPr>
        <w:t xml:space="preserve"> </w:t>
      </w:r>
      <w:proofErr w:type="spellStart"/>
      <w:r w:rsidRPr="00AC555D">
        <w:rPr>
          <w:vertAlign w:val="subscript"/>
          <w:lang w:bidi="fa-IR"/>
        </w:rPr>
        <w:t>E.Ex</w:t>
      </w:r>
      <w:proofErr w:type="spellEnd"/>
      <w:r w:rsidRPr="00AC555D">
        <w:rPr>
          <w:vertAlign w:val="subscript"/>
          <w:lang w:bidi="fa-IR"/>
        </w:rPr>
        <w:t xml:space="preserve"> Façade</w:t>
      </w:r>
    </w:p>
    <w:p w14:paraId="3E821446" w14:textId="77777777" w:rsidR="00E223AA" w:rsidRPr="00AC555D" w:rsidRDefault="00E223AA" w:rsidP="005D4AF3">
      <w:pPr>
        <w:pStyle w:val="Newparagraph"/>
        <w:spacing w:line="240" w:lineRule="auto"/>
        <w:jc w:val="both"/>
        <w:rPr>
          <w:rtl/>
          <w:lang w:bidi="fa-IR"/>
        </w:rPr>
      </w:pPr>
      <w:r w:rsidRPr="00AC555D">
        <w:rPr>
          <w:lang w:bidi="fa-IR"/>
        </w:rPr>
        <w:t>It means that, for example, for every 10 square meters of increase in the area of the west exterior facade, the area of openings of that facade increases by 1.8 square meters. The value of the coefficient of determination or R2 for this linear equation is 0.81, which is an acceptable value</w:t>
      </w:r>
      <w:r w:rsidRPr="00AC555D">
        <w:rPr>
          <w:rtl/>
          <w:lang w:bidi="fa-IR"/>
        </w:rPr>
        <w:t>.</w:t>
      </w:r>
    </w:p>
    <w:p w14:paraId="1F508EE8" w14:textId="77777777" w:rsidR="00E223AA" w:rsidRPr="00AC555D" w:rsidRDefault="00E223AA" w:rsidP="005D4AF3">
      <w:pPr>
        <w:pStyle w:val="Bulletedlist"/>
        <w:spacing w:line="240" w:lineRule="auto"/>
        <w:rPr>
          <w:lang w:bidi="fa-IR"/>
        </w:rPr>
      </w:pPr>
      <w:r w:rsidRPr="00AC555D">
        <w:rPr>
          <w:lang w:bidi="fa-IR"/>
        </w:rPr>
        <w:t>Criterion 4: West Exterior Façade</w:t>
      </w:r>
    </w:p>
    <w:p w14:paraId="70872D13" w14:textId="77777777" w:rsidR="00E223AA" w:rsidRPr="00AC555D" w:rsidRDefault="00E223AA" w:rsidP="005D4AF3">
      <w:pPr>
        <w:pStyle w:val="Paragraph"/>
        <w:spacing w:line="240" w:lineRule="auto"/>
        <w:jc w:val="both"/>
        <w:rPr>
          <w:lang w:bidi="fa-IR"/>
        </w:rPr>
      </w:pPr>
      <w:r w:rsidRPr="00AC555D">
        <w:rPr>
          <w:lang w:bidi="fa-IR"/>
        </w:rPr>
        <w:t>The ratio of the area of the openings to the area of the west exterior facade in 5 houses with a west facade is a minimum of about 5%, with an average of about 17% and a maximum of about 29%. The result of fitting a simple linear regression model is as follows</w:t>
      </w:r>
      <w:r w:rsidRPr="00AC555D">
        <w:rPr>
          <w:rtl/>
          <w:lang w:bidi="fa-IR"/>
        </w:rPr>
        <w:t>:</w:t>
      </w:r>
    </w:p>
    <w:p w14:paraId="0CD92718" w14:textId="77777777" w:rsidR="00E223AA" w:rsidRPr="00AC555D" w:rsidRDefault="00E223AA" w:rsidP="005D4AF3">
      <w:pPr>
        <w:pStyle w:val="Paragraph"/>
        <w:spacing w:before="0" w:line="240" w:lineRule="auto"/>
        <w:jc w:val="center"/>
        <w:rPr>
          <w:lang w:bidi="fa-IR"/>
        </w:rPr>
      </w:pPr>
      <w:r w:rsidRPr="00AC555D">
        <w:rPr>
          <w:lang w:bidi="fa-IR"/>
        </w:rPr>
        <w:t>S</w:t>
      </w:r>
      <w:r w:rsidRPr="00AC555D">
        <w:rPr>
          <w:vertAlign w:val="subscript"/>
          <w:lang w:bidi="fa-IR"/>
        </w:rPr>
        <w:t xml:space="preserve"> </w:t>
      </w:r>
      <w:proofErr w:type="spellStart"/>
      <w:proofErr w:type="gramStart"/>
      <w:r w:rsidRPr="00AC555D">
        <w:rPr>
          <w:vertAlign w:val="subscript"/>
          <w:lang w:bidi="fa-IR"/>
        </w:rPr>
        <w:t>W.Ex</w:t>
      </w:r>
      <w:proofErr w:type="spellEnd"/>
      <w:proofErr w:type="gramEnd"/>
      <w:r w:rsidRPr="00AC555D">
        <w:rPr>
          <w:vertAlign w:val="subscript"/>
          <w:lang w:bidi="fa-IR"/>
        </w:rPr>
        <w:t xml:space="preserve"> Opening </w:t>
      </w:r>
      <w:r w:rsidRPr="00AC555D">
        <w:rPr>
          <w:lang w:bidi="fa-IR"/>
        </w:rPr>
        <w:t>= 9.11 + 0.13 S</w:t>
      </w:r>
      <w:r w:rsidRPr="00AC555D">
        <w:rPr>
          <w:vertAlign w:val="subscript"/>
          <w:lang w:bidi="fa-IR"/>
        </w:rPr>
        <w:t xml:space="preserve"> </w:t>
      </w:r>
      <w:proofErr w:type="spellStart"/>
      <w:r w:rsidRPr="00AC555D">
        <w:rPr>
          <w:vertAlign w:val="subscript"/>
          <w:lang w:bidi="fa-IR"/>
        </w:rPr>
        <w:t>W.Ex</w:t>
      </w:r>
      <w:proofErr w:type="spellEnd"/>
      <w:r w:rsidRPr="00AC555D">
        <w:rPr>
          <w:vertAlign w:val="subscript"/>
          <w:lang w:bidi="fa-IR"/>
        </w:rPr>
        <w:t xml:space="preserve"> Façade</w:t>
      </w:r>
    </w:p>
    <w:p w14:paraId="01BD7A7F" w14:textId="77777777" w:rsidR="00E223AA" w:rsidRPr="00AC555D" w:rsidRDefault="00E223AA" w:rsidP="005D4AF3">
      <w:pPr>
        <w:pStyle w:val="Newparagraph"/>
        <w:spacing w:line="240" w:lineRule="auto"/>
        <w:jc w:val="both"/>
        <w:rPr>
          <w:rtl/>
          <w:lang w:bidi="fa-IR"/>
        </w:rPr>
      </w:pPr>
      <w:r w:rsidRPr="00AC555D">
        <w:rPr>
          <w:lang w:bidi="fa-IR"/>
        </w:rPr>
        <w:t>It means that, for example, for every 10 square meters of increase in the area of the west exterior facade, the area of openings of that facade increases by 1.3 square meters. The value of the coefficient of determination or R</w:t>
      </w:r>
      <w:r w:rsidRPr="00AC555D">
        <w:rPr>
          <w:vertAlign w:val="superscript"/>
          <w:lang w:bidi="fa-IR"/>
        </w:rPr>
        <w:t>2</w:t>
      </w:r>
      <w:r w:rsidRPr="00AC555D">
        <w:rPr>
          <w:lang w:bidi="fa-IR"/>
        </w:rPr>
        <w:t xml:space="preserve"> for this linear equation is 0.71, which is an acceptable value</w:t>
      </w:r>
      <w:r w:rsidRPr="00AC555D">
        <w:rPr>
          <w:rtl/>
          <w:lang w:bidi="fa-IR"/>
        </w:rPr>
        <w:t>.</w:t>
      </w:r>
    </w:p>
    <w:p w14:paraId="5D110525" w14:textId="77777777" w:rsidR="00E223AA" w:rsidRPr="00AC555D" w:rsidRDefault="00E223AA" w:rsidP="005D4AF3">
      <w:pPr>
        <w:pStyle w:val="Bulletedlist"/>
        <w:spacing w:line="240" w:lineRule="auto"/>
        <w:rPr>
          <w:lang w:bidi="fa-IR"/>
        </w:rPr>
      </w:pPr>
      <w:r w:rsidRPr="00AC555D">
        <w:rPr>
          <w:lang w:bidi="fa-IR"/>
        </w:rPr>
        <w:t>Criterion 5: First Floor of Exterior Façade</w:t>
      </w:r>
    </w:p>
    <w:p w14:paraId="70FF4052" w14:textId="77777777" w:rsidR="00E223AA" w:rsidRPr="00AC555D" w:rsidRDefault="00E223AA" w:rsidP="005D4AF3">
      <w:pPr>
        <w:pStyle w:val="Paragraph"/>
        <w:spacing w:after="240" w:line="240" w:lineRule="auto"/>
        <w:jc w:val="both"/>
        <w:rPr>
          <w:rtl/>
          <w:lang w:bidi="fa-IR"/>
        </w:rPr>
      </w:pPr>
      <w:r w:rsidRPr="00AC555D">
        <w:rPr>
          <w:lang w:bidi="fa-IR"/>
        </w:rPr>
        <w:t>The ratio of "total area of first floor of exterior openings" to "area of first floor exterior facade" was examined. The results show that among the 8 houses that have a first-floor exterior facade, the ratio of the total area of the first-floor openings to the area of first floor exterior facade is a minimum of about 4%, with an average of about 11% and a maximum of about 20%. The result of fitting a simple linear regression model is as follows</w:t>
      </w:r>
      <w:r w:rsidRPr="00AC555D">
        <w:rPr>
          <w:rtl/>
          <w:lang w:bidi="fa-IR"/>
        </w:rPr>
        <w:t>:</w:t>
      </w:r>
    </w:p>
    <w:p w14:paraId="0B537F81" w14:textId="77777777" w:rsidR="00E223AA" w:rsidRPr="00AC555D" w:rsidRDefault="00E223AA" w:rsidP="005D4AF3">
      <w:pPr>
        <w:pStyle w:val="Paragraph"/>
        <w:spacing w:before="0" w:line="240" w:lineRule="auto"/>
        <w:jc w:val="center"/>
        <w:rPr>
          <w:rtl/>
          <w:lang w:bidi="fa-IR"/>
        </w:rPr>
      </w:pPr>
      <w:r w:rsidRPr="00AC555D">
        <w:rPr>
          <w:lang w:bidi="fa-IR"/>
        </w:rPr>
        <w:t>S</w:t>
      </w:r>
      <w:r w:rsidRPr="00AC555D">
        <w:rPr>
          <w:vertAlign w:val="subscript"/>
          <w:lang w:bidi="fa-IR"/>
        </w:rPr>
        <w:t xml:space="preserve"> </w:t>
      </w:r>
      <w:r w:rsidR="005D0E19" w:rsidRPr="00AC555D">
        <w:rPr>
          <w:vertAlign w:val="subscript"/>
          <w:lang w:bidi="fa-IR"/>
        </w:rPr>
        <w:t>First</w:t>
      </w:r>
      <w:r w:rsidRPr="00AC555D">
        <w:rPr>
          <w:vertAlign w:val="subscript"/>
          <w:lang w:bidi="fa-IR"/>
        </w:rPr>
        <w:t xml:space="preserve"> Floor Ex Opening </w:t>
      </w:r>
      <w:r w:rsidRPr="00AC555D">
        <w:rPr>
          <w:lang w:bidi="fa-IR"/>
        </w:rPr>
        <w:t>= -0.28 + 0.12 S</w:t>
      </w:r>
      <w:r w:rsidRPr="00AC555D">
        <w:t xml:space="preserve"> </w:t>
      </w:r>
      <w:r w:rsidRPr="00AC555D">
        <w:rPr>
          <w:vertAlign w:val="subscript"/>
          <w:lang w:bidi="fa-IR"/>
        </w:rPr>
        <w:t>First Floor Ex Façade</w:t>
      </w:r>
    </w:p>
    <w:p w14:paraId="1D4F3921" w14:textId="77777777" w:rsidR="00E223AA" w:rsidRPr="00AC555D" w:rsidRDefault="00E223AA" w:rsidP="005D4AF3">
      <w:pPr>
        <w:pStyle w:val="Newparagraph"/>
        <w:spacing w:line="240" w:lineRule="auto"/>
        <w:jc w:val="both"/>
        <w:rPr>
          <w:rtl/>
          <w:lang w:bidi="fa-IR"/>
        </w:rPr>
      </w:pPr>
      <w:r w:rsidRPr="00AC555D">
        <w:rPr>
          <w:lang w:bidi="fa-IR"/>
        </w:rPr>
        <w:t>It means that, for example, for every 10 square meters of increase in the area of the first-floor exterior facade, the total area of the openings of that facade increases by about 1.2 square meters. The value of the coefficient of determination or R2 for this linear equation is 0.69, which is an acceptable value (Figure 8).</w:t>
      </w:r>
    </w:p>
    <w:p w14:paraId="034F627C" w14:textId="77777777" w:rsidR="00E223AA" w:rsidRPr="005D0E19" w:rsidRDefault="00E223AA" w:rsidP="005D4AF3">
      <w:pPr>
        <w:pStyle w:val="Bulletedlist"/>
        <w:spacing w:line="240" w:lineRule="auto"/>
      </w:pPr>
      <w:r w:rsidRPr="005D0E19">
        <w:lastRenderedPageBreak/>
        <w:t>Criterion 6: Second Floor of Exterior Façade</w:t>
      </w:r>
    </w:p>
    <w:p w14:paraId="1781EB11" w14:textId="77777777" w:rsidR="00E223AA" w:rsidRPr="00AC555D" w:rsidRDefault="00E223AA" w:rsidP="005D4AF3">
      <w:pPr>
        <w:pStyle w:val="Paragraph"/>
        <w:spacing w:line="240" w:lineRule="auto"/>
        <w:rPr>
          <w:lang w:bidi="fa-IR"/>
        </w:rPr>
      </w:pPr>
      <w:r w:rsidRPr="00AC555D">
        <w:rPr>
          <w:lang w:bidi="fa-IR"/>
        </w:rPr>
        <w:t>The ratio of "total area of the second-floor exterior openings" to "area of the second-floor exterior facade" was examined. The results show that among the 8 houses that have a second-floor exterior, the ratio of the total area of the second-floor openings to the area of second floor exterior façade is a minimum of about 16%, with an average of about 27% and a maximum of about 49%. The result of fitting a simple linear regression model is as follows</w:t>
      </w:r>
      <w:r w:rsidRPr="00AC555D">
        <w:rPr>
          <w:rtl/>
          <w:lang w:bidi="fa-IR"/>
        </w:rPr>
        <w:t>:</w:t>
      </w:r>
    </w:p>
    <w:p w14:paraId="6E23B19C" w14:textId="77777777" w:rsidR="00E223AA" w:rsidRPr="00AC555D" w:rsidRDefault="00E223AA" w:rsidP="005D4AF3">
      <w:pPr>
        <w:pStyle w:val="Paragraph"/>
        <w:spacing w:before="0" w:line="240" w:lineRule="auto"/>
        <w:jc w:val="center"/>
        <w:rPr>
          <w:rFonts w:asciiTheme="majorBidi" w:hAnsiTheme="majorBidi" w:cstheme="majorBidi"/>
          <w:lang w:bidi="fa-IR"/>
        </w:rPr>
      </w:pPr>
      <w:r w:rsidRPr="00AC555D">
        <w:rPr>
          <w:rFonts w:asciiTheme="majorBidi" w:hAnsiTheme="majorBidi" w:cstheme="majorBidi"/>
          <w:lang w:bidi="fa-IR"/>
        </w:rPr>
        <w:t xml:space="preserve">S </w:t>
      </w:r>
      <w:r w:rsidRPr="00AC555D">
        <w:rPr>
          <w:rFonts w:asciiTheme="majorBidi" w:hAnsiTheme="majorBidi" w:cstheme="majorBidi"/>
          <w:vertAlign w:val="subscript"/>
          <w:lang w:bidi="fa-IR"/>
        </w:rPr>
        <w:t xml:space="preserve">Second Floor Ex Opening </w:t>
      </w:r>
      <w:r w:rsidRPr="00AC555D">
        <w:rPr>
          <w:rFonts w:asciiTheme="majorBidi" w:hAnsiTheme="majorBidi" w:cstheme="majorBidi"/>
          <w:lang w:bidi="fa-IR"/>
        </w:rPr>
        <w:t xml:space="preserve">= 7.56 + 0.23 S </w:t>
      </w:r>
      <w:r w:rsidRPr="00AC555D">
        <w:rPr>
          <w:rFonts w:asciiTheme="majorBidi" w:hAnsiTheme="majorBidi" w:cstheme="majorBidi"/>
          <w:vertAlign w:val="subscript"/>
          <w:lang w:bidi="fa-IR"/>
        </w:rPr>
        <w:t>Second Floor Ex Façade</w:t>
      </w:r>
    </w:p>
    <w:p w14:paraId="6A61949F" w14:textId="77777777" w:rsidR="005D0E19" w:rsidRDefault="00E223AA" w:rsidP="005D4AF3">
      <w:pPr>
        <w:pStyle w:val="Newparagraph"/>
        <w:spacing w:line="240" w:lineRule="auto"/>
        <w:rPr>
          <w:rtl/>
          <w:lang w:bidi="fa-IR"/>
        </w:rPr>
      </w:pPr>
      <w:r w:rsidRPr="00AC555D">
        <w:rPr>
          <w:lang w:bidi="fa-IR"/>
        </w:rPr>
        <w:t>It means that, for example, for every 10 square meters of increase in the area of the second-floor exterior facade, the total area of the openings of that facade increases by about 2.3 square meters. The value of the coefficient of determination or R2 for this linear equation is 0.61, which is an acceptable value (Figure 9).</w:t>
      </w:r>
    </w:p>
    <w:p w14:paraId="3C8F87C8" w14:textId="77777777" w:rsidR="005D0E19" w:rsidRPr="00AC555D" w:rsidRDefault="005D0E19" w:rsidP="005D4AF3">
      <w:pPr>
        <w:pStyle w:val="ListParagraph"/>
        <w:spacing w:line="240" w:lineRule="auto"/>
        <w:ind w:left="0"/>
        <w:rPr>
          <w:rtl/>
          <w:lang w:bidi="fa-IR"/>
        </w:rPr>
      </w:pPr>
      <w:r>
        <w:rPr>
          <w:lang w:bidi="fa-IR"/>
        </w:rPr>
        <w:tab/>
      </w:r>
      <w:r w:rsidRPr="00AC555D">
        <w:rPr>
          <w:rFonts w:asciiTheme="majorBidi" w:hAnsiTheme="majorBidi" w:cstheme="majorBidi"/>
          <w:noProof/>
          <w:sz w:val="24"/>
          <w:szCs w:val="24"/>
        </w:rPr>
        <w:drawing>
          <wp:inline distT="0" distB="0" distL="0" distR="0" wp14:anchorId="6A57CBB6" wp14:editId="452EEACB">
            <wp:extent cx="2286662" cy="22110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324654" cy="2247807"/>
                    </a:xfrm>
                    <a:prstGeom prst="rect">
                      <a:avLst/>
                    </a:prstGeom>
                    <a:ln>
                      <a:noFill/>
                    </a:ln>
                    <a:extLst>
                      <a:ext uri="{53640926-AAD7-44D8-BBD7-CCE9431645EC}">
                        <a14:shadowObscured xmlns:a14="http://schemas.microsoft.com/office/drawing/2010/main"/>
                      </a:ext>
                    </a:extLst>
                  </pic:spPr>
                </pic:pic>
              </a:graphicData>
            </a:graphic>
          </wp:inline>
        </w:drawing>
      </w:r>
      <w:r w:rsidRPr="00AC555D">
        <w:rPr>
          <w:rFonts w:asciiTheme="majorBidi" w:hAnsiTheme="majorBidi" w:cstheme="majorBidi"/>
          <w:noProof/>
          <w:sz w:val="24"/>
          <w:szCs w:val="24"/>
        </w:rPr>
        <w:drawing>
          <wp:inline distT="0" distB="0" distL="0" distR="0" wp14:anchorId="33F25A3E" wp14:editId="737CD6F6">
            <wp:extent cx="2590800" cy="225924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2440" t="6867" r="2662"/>
                    <a:stretch/>
                  </pic:blipFill>
                  <pic:spPr bwMode="auto">
                    <a:xfrm>
                      <a:off x="0" y="0"/>
                      <a:ext cx="2651993" cy="2312607"/>
                    </a:xfrm>
                    <a:prstGeom prst="rect">
                      <a:avLst/>
                    </a:prstGeom>
                    <a:ln>
                      <a:noFill/>
                    </a:ln>
                    <a:extLst>
                      <a:ext uri="{53640926-AAD7-44D8-BBD7-CCE9431645EC}">
                        <a14:shadowObscured xmlns:a14="http://schemas.microsoft.com/office/drawing/2010/main"/>
                      </a:ext>
                    </a:extLst>
                  </pic:spPr>
                </pic:pic>
              </a:graphicData>
            </a:graphic>
          </wp:inline>
        </w:drawing>
      </w:r>
    </w:p>
    <w:p w14:paraId="6958CC56" w14:textId="77777777" w:rsidR="00E223AA" w:rsidRPr="00AC555D" w:rsidRDefault="00E223AA" w:rsidP="005D4AF3">
      <w:pPr>
        <w:pStyle w:val="Figurecaption"/>
        <w:spacing w:line="240" w:lineRule="auto"/>
        <w:rPr>
          <w:lang w:bidi="fa-IR"/>
        </w:rPr>
      </w:pPr>
      <w:r w:rsidRPr="00AC555D">
        <w:rPr>
          <w:lang w:bidi="fa-IR"/>
        </w:rPr>
        <w:t>Figure 8 (left)</w:t>
      </w:r>
      <w:r w:rsidR="005D0E19">
        <w:rPr>
          <w:lang w:bidi="fa-IR"/>
        </w:rPr>
        <w:t>.</w:t>
      </w:r>
      <w:r w:rsidRPr="00AC555D">
        <w:rPr>
          <w:lang w:bidi="fa-IR"/>
        </w:rPr>
        <w:t xml:space="preserve"> The ratio of “total area of the first-floor openings of the exterior façade” to "area of the first-floor exterior façade”</w:t>
      </w:r>
    </w:p>
    <w:p w14:paraId="0EA3E06D" w14:textId="77777777" w:rsidR="00E223AA" w:rsidRPr="00AC555D" w:rsidRDefault="00E223AA" w:rsidP="005D4AF3">
      <w:pPr>
        <w:pStyle w:val="Figurecaption"/>
        <w:spacing w:before="0" w:after="240" w:line="240" w:lineRule="auto"/>
        <w:rPr>
          <w:lang w:bidi="fa-IR"/>
        </w:rPr>
      </w:pPr>
      <w:r w:rsidRPr="00AC555D">
        <w:rPr>
          <w:lang w:bidi="fa-IR"/>
        </w:rPr>
        <w:t>Figure 9 (right)</w:t>
      </w:r>
      <w:r w:rsidR="005D0E19">
        <w:rPr>
          <w:lang w:bidi="fa-IR"/>
        </w:rPr>
        <w:t>.</w:t>
      </w:r>
      <w:r w:rsidRPr="00AC555D">
        <w:rPr>
          <w:lang w:bidi="fa-IR"/>
        </w:rPr>
        <w:t xml:space="preserve"> The ratio of "total area of openings the second-floor exterior façade” to "area of the second-floor exterior façade” </w:t>
      </w:r>
    </w:p>
    <w:p w14:paraId="3FE57FA1" w14:textId="77777777" w:rsidR="00E223AA" w:rsidRPr="00AC555D" w:rsidRDefault="00E223AA" w:rsidP="005D4AF3">
      <w:pPr>
        <w:pStyle w:val="Newparagraph"/>
        <w:spacing w:line="240" w:lineRule="auto"/>
        <w:rPr>
          <w:rtl/>
          <w:lang w:bidi="fa-IR"/>
        </w:rPr>
      </w:pPr>
      <w:r w:rsidRPr="00AC555D">
        <w:rPr>
          <w:lang w:bidi="fa-IR"/>
        </w:rPr>
        <w:t>Despite the above results, no formula was obtained to show the variation of the openings area to the total exterior façade area ratio for each floor.</w:t>
      </w:r>
      <w:r w:rsidRPr="00AC555D">
        <w:rPr>
          <w:rtl/>
          <w:lang w:bidi="fa-IR"/>
        </w:rPr>
        <w:t xml:space="preserve"> </w:t>
      </w:r>
    </w:p>
    <w:p w14:paraId="625E08A5" w14:textId="77777777" w:rsidR="00E223AA" w:rsidRPr="005D0E19" w:rsidRDefault="00E223AA" w:rsidP="005D4AF3">
      <w:pPr>
        <w:pStyle w:val="Heading2"/>
        <w:spacing w:line="240" w:lineRule="auto"/>
        <w:rPr>
          <w:rtl/>
        </w:rPr>
      </w:pPr>
      <w:r w:rsidRPr="005D0E19">
        <w:t>3-2- Interior Façades</w:t>
      </w:r>
    </w:p>
    <w:p w14:paraId="4C7E94E2" w14:textId="77777777" w:rsidR="00E223AA" w:rsidRPr="00AC555D" w:rsidRDefault="00E223AA" w:rsidP="005D4AF3">
      <w:pPr>
        <w:pStyle w:val="Bulletedlist"/>
        <w:spacing w:line="240" w:lineRule="auto"/>
        <w:rPr>
          <w:lang w:bidi="fa-IR"/>
        </w:rPr>
      </w:pPr>
      <w:r w:rsidRPr="00AC555D">
        <w:rPr>
          <w:lang w:bidi="fa-IR"/>
        </w:rPr>
        <w:t>Criterion 7: North Interior Façade</w:t>
      </w:r>
    </w:p>
    <w:p w14:paraId="2F226E01" w14:textId="77777777" w:rsidR="00E223AA" w:rsidRPr="00AC555D" w:rsidRDefault="00E223AA" w:rsidP="005D4AF3">
      <w:pPr>
        <w:pStyle w:val="Paragraph"/>
        <w:spacing w:line="240" w:lineRule="auto"/>
        <w:jc w:val="both"/>
        <w:rPr>
          <w:lang w:bidi="fa-IR"/>
        </w:rPr>
      </w:pPr>
      <w:r w:rsidRPr="00AC555D">
        <w:rPr>
          <w:lang w:bidi="fa-IR"/>
        </w:rPr>
        <w:t>The ratio of "total area of north interior openings" to "area of north interior facade" was examined. The study shows that among the 8 houses that have a north interior facade, the ratio of the total area of the north interior facade openings to the north interior facade area is a minimum of about 19%, with an average of about 26% and a maximum of 34%. Also, to examine the relationship between these two variables, the results of fitting a simple linear regression model can be used</w:t>
      </w:r>
      <w:r w:rsidRPr="00AC555D">
        <w:rPr>
          <w:rtl/>
          <w:lang w:bidi="fa-IR"/>
        </w:rPr>
        <w:t>:</w:t>
      </w:r>
    </w:p>
    <w:p w14:paraId="56E2F647" w14:textId="77777777" w:rsidR="00E223AA" w:rsidRPr="00AC555D" w:rsidRDefault="00E223AA" w:rsidP="005D4AF3">
      <w:pPr>
        <w:pStyle w:val="Paragraph"/>
        <w:spacing w:line="240" w:lineRule="auto"/>
        <w:jc w:val="center"/>
        <w:rPr>
          <w:lang w:bidi="fa-IR"/>
        </w:rPr>
      </w:pPr>
      <w:r w:rsidRPr="00AC555D">
        <w:rPr>
          <w:lang w:bidi="fa-IR"/>
        </w:rPr>
        <w:t xml:space="preserve">S </w:t>
      </w:r>
      <w:proofErr w:type="spellStart"/>
      <w:proofErr w:type="gramStart"/>
      <w:r w:rsidRPr="00AC555D">
        <w:rPr>
          <w:vertAlign w:val="subscript"/>
          <w:lang w:bidi="fa-IR"/>
        </w:rPr>
        <w:t>N.In</w:t>
      </w:r>
      <w:proofErr w:type="spellEnd"/>
      <w:proofErr w:type="gramEnd"/>
      <w:r w:rsidRPr="00AC555D">
        <w:rPr>
          <w:vertAlign w:val="subscript"/>
          <w:lang w:bidi="fa-IR"/>
        </w:rPr>
        <w:t xml:space="preserve"> Opening </w:t>
      </w:r>
      <w:r w:rsidRPr="00AC555D">
        <w:rPr>
          <w:lang w:bidi="fa-IR"/>
        </w:rPr>
        <w:t>= 2.26 + 0.22 S</w:t>
      </w:r>
      <w:r w:rsidRPr="00AC555D">
        <w:t xml:space="preserve"> </w:t>
      </w:r>
      <w:proofErr w:type="spellStart"/>
      <w:r w:rsidRPr="00AC555D">
        <w:rPr>
          <w:vertAlign w:val="subscript"/>
          <w:lang w:bidi="fa-IR"/>
        </w:rPr>
        <w:t>N.In</w:t>
      </w:r>
      <w:proofErr w:type="spellEnd"/>
      <w:r w:rsidRPr="00AC555D">
        <w:rPr>
          <w:vertAlign w:val="subscript"/>
          <w:lang w:bidi="fa-IR"/>
        </w:rPr>
        <w:t xml:space="preserve"> Facade</w:t>
      </w:r>
    </w:p>
    <w:p w14:paraId="5C0EDA6F" w14:textId="77777777" w:rsidR="00E223AA" w:rsidRPr="00AC555D" w:rsidRDefault="00E223AA" w:rsidP="005D4AF3">
      <w:pPr>
        <w:pStyle w:val="Newparagraph"/>
        <w:spacing w:line="240" w:lineRule="auto"/>
        <w:jc w:val="both"/>
        <w:rPr>
          <w:rtl/>
          <w:lang w:bidi="fa-IR"/>
        </w:rPr>
      </w:pPr>
      <w:r w:rsidRPr="00AC555D">
        <w:rPr>
          <w:lang w:bidi="fa-IR"/>
        </w:rPr>
        <w:t xml:space="preserve">It means that, for example, for every 10 square meters of increase in the area of the north interior facade, the total area of the openings of that facade increases by about </w:t>
      </w:r>
      <w:r w:rsidRPr="00AC555D">
        <w:rPr>
          <w:lang w:bidi="fa-IR"/>
        </w:rPr>
        <w:lastRenderedPageBreak/>
        <w:t>2.2 square meters. The value of the coefficient of determination or R2 for this linear equation is 0.7, which is an acceptable value</w:t>
      </w:r>
      <w:r w:rsidRPr="00AC555D">
        <w:rPr>
          <w:rtl/>
          <w:lang w:bidi="fa-IR"/>
        </w:rPr>
        <w:t>.</w:t>
      </w:r>
    </w:p>
    <w:p w14:paraId="40DEA998" w14:textId="77777777" w:rsidR="00E223AA" w:rsidRPr="00AC555D" w:rsidRDefault="00E223AA" w:rsidP="005D4AF3">
      <w:pPr>
        <w:pStyle w:val="Bulletedlist"/>
        <w:spacing w:line="240" w:lineRule="auto"/>
        <w:rPr>
          <w:lang w:bidi="fa-IR"/>
        </w:rPr>
      </w:pPr>
      <w:r w:rsidRPr="00AC555D">
        <w:rPr>
          <w:lang w:bidi="fa-IR"/>
        </w:rPr>
        <w:t>Criterion 8: South Interior Façade</w:t>
      </w:r>
    </w:p>
    <w:p w14:paraId="391CFAD2" w14:textId="77777777" w:rsidR="00E223AA" w:rsidRPr="00AC555D" w:rsidRDefault="00E223AA" w:rsidP="005D4AF3">
      <w:pPr>
        <w:pStyle w:val="Paragraph"/>
        <w:spacing w:line="240" w:lineRule="auto"/>
        <w:jc w:val="both"/>
        <w:rPr>
          <w:rtl/>
          <w:lang w:bidi="fa-IR"/>
        </w:rPr>
      </w:pPr>
      <w:r w:rsidRPr="00AC555D">
        <w:rPr>
          <w:lang w:bidi="fa-IR"/>
        </w:rPr>
        <w:t>The ratio of "total area of south interior openings" to "area of south interior facade" was examined. Among the 6 houses that have a south interior facade, the ratio of the total area of the south interior facade openings to the area of south interior facade is a minimum of 22%, with an average of 27% and a maximum of 35%. Also, to examine the relationship between these two variables, the results of fitting a simple linear regression model can be used</w:t>
      </w:r>
      <w:r w:rsidRPr="00AC555D">
        <w:rPr>
          <w:rtl/>
          <w:lang w:bidi="fa-IR"/>
        </w:rPr>
        <w:t>:</w:t>
      </w:r>
    </w:p>
    <w:p w14:paraId="27CF1286" w14:textId="77777777" w:rsidR="00E223AA" w:rsidRPr="00AC555D" w:rsidRDefault="00E223AA" w:rsidP="005D4AF3">
      <w:pPr>
        <w:pStyle w:val="Paragraph"/>
        <w:spacing w:line="240" w:lineRule="auto"/>
        <w:jc w:val="center"/>
        <w:rPr>
          <w:rtl/>
          <w:lang w:bidi="fa-IR"/>
        </w:rPr>
      </w:pPr>
      <w:r w:rsidRPr="00AC555D">
        <w:rPr>
          <w:lang w:bidi="fa-IR"/>
        </w:rPr>
        <w:t xml:space="preserve">S </w:t>
      </w:r>
      <w:proofErr w:type="spellStart"/>
      <w:proofErr w:type="gramStart"/>
      <w:r w:rsidRPr="00AC555D">
        <w:rPr>
          <w:vertAlign w:val="subscript"/>
          <w:lang w:bidi="fa-IR"/>
        </w:rPr>
        <w:t>S.In</w:t>
      </w:r>
      <w:proofErr w:type="spellEnd"/>
      <w:proofErr w:type="gramEnd"/>
      <w:r w:rsidRPr="00AC555D">
        <w:rPr>
          <w:vertAlign w:val="subscript"/>
          <w:lang w:bidi="fa-IR"/>
        </w:rPr>
        <w:t xml:space="preserve"> Opening </w:t>
      </w:r>
      <w:r w:rsidRPr="00AC555D">
        <w:rPr>
          <w:lang w:bidi="fa-IR"/>
        </w:rPr>
        <w:t xml:space="preserve">= 4.04 + 0.23 S </w:t>
      </w:r>
      <w:proofErr w:type="spellStart"/>
      <w:r w:rsidRPr="00AC555D">
        <w:rPr>
          <w:vertAlign w:val="subscript"/>
          <w:lang w:bidi="fa-IR"/>
        </w:rPr>
        <w:t>S.In</w:t>
      </w:r>
      <w:proofErr w:type="spellEnd"/>
      <w:r w:rsidRPr="00AC555D">
        <w:rPr>
          <w:vertAlign w:val="subscript"/>
          <w:lang w:bidi="fa-IR"/>
        </w:rPr>
        <w:t xml:space="preserve"> Facade</w:t>
      </w:r>
    </w:p>
    <w:p w14:paraId="4E06560D" w14:textId="77777777" w:rsidR="00E223AA" w:rsidRPr="00AC555D" w:rsidRDefault="00E223AA" w:rsidP="005D4AF3">
      <w:pPr>
        <w:pStyle w:val="Newparagraph"/>
        <w:spacing w:line="240" w:lineRule="auto"/>
        <w:jc w:val="both"/>
        <w:rPr>
          <w:rtl/>
          <w:lang w:bidi="fa-IR"/>
        </w:rPr>
      </w:pPr>
      <w:r w:rsidRPr="00AC555D">
        <w:rPr>
          <w:lang w:bidi="fa-IR"/>
        </w:rPr>
        <w:t>It means that, for example, for every 10 square meters of increase in the area of the south exterior facade, the total area of the openings of that facade increases by about 2.3 square meters. The value of the coefficient of determination or R2 for this linear equation is 0.66, which is an acceptable value</w:t>
      </w:r>
      <w:r w:rsidRPr="00AC555D">
        <w:rPr>
          <w:rtl/>
          <w:lang w:bidi="fa-IR"/>
        </w:rPr>
        <w:t>.</w:t>
      </w:r>
    </w:p>
    <w:p w14:paraId="6420137A" w14:textId="77777777" w:rsidR="00E223AA" w:rsidRPr="00AC555D" w:rsidRDefault="00E223AA" w:rsidP="005D4AF3">
      <w:pPr>
        <w:pStyle w:val="Bulletedlist"/>
        <w:spacing w:line="240" w:lineRule="auto"/>
        <w:rPr>
          <w:rtl/>
          <w:lang w:bidi="fa-IR"/>
        </w:rPr>
      </w:pPr>
      <w:r w:rsidRPr="00AC555D">
        <w:rPr>
          <w:lang w:bidi="fa-IR"/>
        </w:rPr>
        <w:t>Criterion 9: East Interior Façade</w:t>
      </w:r>
    </w:p>
    <w:p w14:paraId="3D981898" w14:textId="77777777" w:rsidR="00E223AA" w:rsidRPr="00AC555D" w:rsidRDefault="00E223AA" w:rsidP="005D4AF3">
      <w:pPr>
        <w:pStyle w:val="Paragraph"/>
        <w:spacing w:line="240" w:lineRule="auto"/>
        <w:jc w:val="both"/>
        <w:rPr>
          <w:lang w:bidi="fa-IR"/>
        </w:rPr>
      </w:pPr>
      <w:r w:rsidRPr="00AC555D">
        <w:rPr>
          <w:lang w:bidi="fa-IR"/>
        </w:rPr>
        <w:t>The ratio of ‘total area of east interior openings’ to ‘area of east interior façade’ was examined. Among the 8 houses that have an east interior facade, the ratio of the total area of the east interior facade openings to the east interior facade area is a minimum of about 18%, with an average of about 27% and a maximum of about 41%. Also, to examine the relationship between these two variables, the results of fitting a simple linear regression model can be used</w:t>
      </w:r>
      <w:r w:rsidRPr="00AC555D">
        <w:rPr>
          <w:rtl/>
          <w:lang w:bidi="fa-IR"/>
        </w:rPr>
        <w:t>:</w:t>
      </w:r>
    </w:p>
    <w:p w14:paraId="0EF460EE" w14:textId="77777777" w:rsidR="00E223AA" w:rsidRPr="00AC555D" w:rsidRDefault="00E223AA" w:rsidP="005D4AF3">
      <w:pPr>
        <w:pStyle w:val="Paragraph"/>
        <w:spacing w:before="0" w:line="240" w:lineRule="auto"/>
        <w:jc w:val="center"/>
        <w:rPr>
          <w:lang w:bidi="fa-IR"/>
        </w:rPr>
      </w:pPr>
      <w:r w:rsidRPr="00AC555D">
        <w:rPr>
          <w:lang w:bidi="fa-IR"/>
        </w:rPr>
        <w:t xml:space="preserve">S </w:t>
      </w:r>
      <w:proofErr w:type="spellStart"/>
      <w:proofErr w:type="gramStart"/>
      <w:r w:rsidRPr="00AC555D">
        <w:rPr>
          <w:vertAlign w:val="subscript"/>
          <w:lang w:bidi="fa-IR"/>
        </w:rPr>
        <w:t>E.In</w:t>
      </w:r>
      <w:proofErr w:type="spellEnd"/>
      <w:proofErr w:type="gramEnd"/>
      <w:r w:rsidRPr="00AC555D">
        <w:rPr>
          <w:vertAlign w:val="subscript"/>
          <w:lang w:bidi="fa-IR"/>
        </w:rPr>
        <w:t xml:space="preserve"> Opening </w:t>
      </w:r>
      <w:r w:rsidRPr="00AC555D">
        <w:rPr>
          <w:lang w:bidi="fa-IR"/>
        </w:rPr>
        <w:t>=</w:t>
      </w:r>
      <w:r w:rsidRPr="00AC555D">
        <w:t xml:space="preserve"> 0.96</w:t>
      </w:r>
      <w:r w:rsidRPr="00AC555D">
        <w:rPr>
          <w:rtl/>
          <w:lang w:bidi="fa-IR"/>
        </w:rPr>
        <w:t xml:space="preserve"> </w:t>
      </w:r>
      <w:r w:rsidRPr="00AC555D">
        <w:rPr>
          <w:lang w:bidi="fa-IR"/>
        </w:rPr>
        <w:t>+ 0.25</w:t>
      </w:r>
      <w:r w:rsidRPr="00AC555D">
        <w:rPr>
          <w:rtl/>
          <w:lang w:bidi="fa-IR"/>
        </w:rPr>
        <w:t xml:space="preserve"> </w:t>
      </w:r>
      <w:r w:rsidRPr="00AC555D">
        <w:rPr>
          <w:lang w:bidi="fa-IR"/>
        </w:rPr>
        <w:t>S</w:t>
      </w:r>
      <w:r w:rsidRPr="00AC555D">
        <w:rPr>
          <w:vertAlign w:val="subscript"/>
          <w:lang w:bidi="fa-IR"/>
        </w:rPr>
        <w:t xml:space="preserve"> </w:t>
      </w:r>
      <w:proofErr w:type="spellStart"/>
      <w:r w:rsidRPr="00AC555D">
        <w:rPr>
          <w:vertAlign w:val="subscript"/>
          <w:lang w:bidi="fa-IR"/>
        </w:rPr>
        <w:t>E.In</w:t>
      </w:r>
      <w:proofErr w:type="spellEnd"/>
      <w:r w:rsidRPr="00AC555D">
        <w:rPr>
          <w:vertAlign w:val="subscript"/>
          <w:lang w:bidi="fa-IR"/>
        </w:rPr>
        <w:t xml:space="preserve"> Facade</w:t>
      </w:r>
    </w:p>
    <w:p w14:paraId="5037388B" w14:textId="77777777" w:rsidR="00E223AA" w:rsidRPr="00AC555D" w:rsidRDefault="00E223AA" w:rsidP="005D4AF3">
      <w:pPr>
        <w:pStyle w:val="Newparagraph"/>
        <w:spacing w:line="240" w:lineRule="auto"/>
        <w:jc w:val="both"/>
        <w:rPr>
          <w:rtl/>
          <w:lang w:bidi="fa-IR"/>
        </w:rPr>
      </w:pPr>
      <w:r w:rsidRPr="00AC555D">
        <w:rPr>
          <w:lang w:bidi="fa-IR"/>
        </w:rPr>
        <w:t>It means that, for example, for every 10 square meters of increase in the west interior façade, the total area of the openings in that façade increases by about 2.5. The value of the coefficient of determination or R2 for this linear equation is 0.61, which is an acceptable value</w:t>
      </w:r>
      <w:r w:rsidRPr="00AC555D">
        <w:rPr>
          <w:rtl/>
          <w:lang w:bidi="fa-IR"/>
        </w:rPr>
        <w:t>.</w:t>
      </w:r>
    </w:p>
    <w:p w14:paraId="7180FB2B" w14:textId="77777777" w:rsidR="00E223AA" w:rsidRPr="00AC555D" w:rsidRDefault="00E223AA" w:rsidP="005D4AF3">
      <w:pPr>
        <w:pStyle w:val="Bulletedlist"/>
        <w:spacing w:line="240" w:lineRule="auto"/>
        <w:rPr>
          <w:lang w:bidi="fa-IR"/>
        </w:rPr>
      </w:pPr>
      <w:r w:rsidRPr="00AC555D">
        <w:rPr>
          <w:lang w:bidi="fa-IR"/>
        </w:rPr>
        <w:t>Criterion 10: West Interior Façade</w:t>
      </w:r>
    </w:p>
    <w:p w14:paraId="7C30962E" w14:textId="77777777" w:rsidR="00E223AA" w:rsidRPr="00AC555D" w:rsidRDefault="00E223AA" w:rsidP="005D4AF3">
      <w:pPr>
        <w:pStyle w:val="Paragraph"/>
        <w:spacing w:line="240" w:lineRule="auto"/>
        <w:jc w:val="both"/>
        <w:rPr>
          <w:rtl/>
          <w:lang w:bidi="fa-IR"/>
        </w:rPr>
      </w:pPr>
      <w:r w:rsidRPr="00AC555D">
        <w:rPr>
          <w:lang w:bidi="fa-IR"/>
        </w:rPr>
        <w:t>The same examinations were performed to obtain the ratio of ‘total area of west interior facade openings’ to "area of west interior facade", but no specific pattern was obtained between the variables</w:t>
      </w:r>
      <w:r w:rsidRPr="00AC555D">
        <w:rPr>
          <w:rtl/>
          <w:lang w:bidi="fa-IR"/>
        </w:rPr>
        <w:t>.</w:t>
      </w:r>
    </w:p>
    <w:p w14:paraId="6EFE62C3" w14:textId="77777777" w:rsidR="00E223AA" w:rsidRPr="00AC555D" w:rsidRDefault="00E223AA" w:rsidP="005D4AF3">
      <w:pPr>
        <w:pStyle w:val="Bulletedlist"/>
        <w:spacing w:line="240" w:lineRule="auto"/>
        <w:rPr>
          <w:lang w:bidi="fa-IR"/>
        </w:rPr>
      </w:pPr>
      <w:r w:rsidRPr="00AC555D">
        <w:rPr>
          <w:lang w:bidi="fa-IR"/>
        </w:rPr>
        <w:t>Criterion 11: First Floor of Interior Façade</w:t>
      </w:r>
    </w:p>
    <w:p w14:paraId="301FBD04" w14:textId="77777777" w:rsidR="00E223AA" w:rsidRPr="00AC555D" w:rsidRDefault="00E223AA" w:rsidP="005D4AF3">
      <w:pPr>
        <w:pStyle w:val="Paragraph"/>
        <w:spacing w:line="240" w:lineRule="auto"/>
        <w:jc w:val="both"/>
        <w:rPr>
          <w:rtl/>
          <w:lang w:bidi="fa-IR"/>
        </w:rPr>
      </w:pPr>
      <w:r w:rsidRPr="00AC555D">
        <w:rPr>
          <w:lang w:bidi="fa-IR"/>
        </w:rPr>
        <w:t>The ratio of ‘total area of the first-floor interior façade openings’ to ‘area of the first-floor interior façade’ was examined. The results show that among the 8 houses that have a first-floor interior facade, the ratio of the total area of the first-floor interior facade openings to the area of the first-floor interior facade is a minimum of about 19%, with an average of about 26% and at a maximum of about 41%. The result of fitting a simple linear regression model is as follows</w:t>
      </w:r>
      <w:r w:rsidRPr="00AC555D">
        <w:rPr>
          <w:rtl/>
          <w:lang w:bidi="fa-IR"/>
        </w:rPr>
        <w:t>:</w:t>
      </w:r>
    </w:p>
    <w:p w14:paraId="4CA304C4" w14:textId="77777777" w:rsidR="00E223AA" w:rsidRPr="00AC555D" w:rsidRDefault="00E223AA" w:rsidP="005D4AF3">
      <w:pPr>
        <w:pStyle w:val="Paragraph"/>
        <w:spacing w:before="0" w:line="240" w:lineRule="auto"/>
        <w:jc w:val="center"/>
        <w:rPr>
          <w:rtl/>
          <w:lang w:bidi="fa-IR"/>
        </w:rPr>
      </w:pPr>
      <w:r w:rsidRPr="00AC555D">
        <w:rPr>
          <w:lang w:bidi="fa-IR"/>
        </w:rPr>
        <w:t xml:space="preserve">S </w:t>
      </w:r>
      <w:r w:rsidRPr="00AC555D">
        <w:rPr>
          <w:vertAlign w:val="subscript"/>
          <w:lang w:bidi="fa-IR"/>
        </w:rPr>
        <w:t xml:space="preserve">First Floor </w:t>
      </w:r>
      <w:proofErr w:type="gramStart"/>
      <w:r w:rsidRPr="00AC555D">
        <w:rPr>
          <w:vertAlign w:val="subscript"/>
          <w:lang w:bidi="fa-IR"/>
        </w:rPr>
        <w:t>In</w:t>
      </w:r>
      <w:proofErr w:type="gramEnd"/>
      <w:r w:rsidRPr="00AC555D">
        <w:rPr>
          <w:vertAlign w:val="subscript"/>
          <w:lang w:bidi="fa-IR"/>
        </w:rPr>
        <w:t xml:space="preserve"> Opening </w:t>
      </w:r>
      <w:r w:rsidRPr="00AC555D">
        <w:rPr>
          <w:lang w:bidi="fa-IR"/>
        </w:rPr>
        <w:t xml:space="preserve">= 6.86 + 0.22 S </w:t>
      </w:r>
      <w:r w:rsidRPr="00AC555D">
        <w:rPr>
          <w:vertAlign w:val="subscript"/>
          <w:lang w:bidi="fa-IR"/>
        </w:rPr>
        <w:t>First Floor In Façade</w:t>
      </w:r>
    </w:p>
    <w:p w14:paraId="24FAA387" w14:textId="77777777" w:rsidR="00E223AA" w:rsidRPr="00AC555D" w:rsidRDefault="00E223AA" w:rsidP="005D4AF3">
      <w:pPr>
        <w:pStyle w:val="Newparagraph"/>
        <w:spacing w:line="240" w:lineRule="auto"/>
        <w:jc w:val="both"/>
        <w:rPr>
          <w:rtl/>
          <w:lang w:bidi="fa-IR"/>
        </w:rPr>
      </w:pPr>
      <w:r w:rsidRPr="00AC555D">
        <w:rPr>
          <w:lang w:bidi="fa-IR"/>
        </w:rPr>
        <w:t>It means that, for example, for every 10 square meters of increase in the area of the first-floor interior facade, the total area of the openings of that facade increases by about 2.2 square meters. The value of the coefficient of determination or R2 for this linear equation is 0.63 which is an acceptable value (Figure 10).</w:t>
      </w:r>
    </w:p>
    <w:p w14:paraId="3E604118" w14:textId="77777777" w:rsidR="00E223AA" w:rsidRPr="00AC555D" w:rsidRDefault="00E223AA" w:rsidP="005D4AF3">
      <w:pPr>
        <w:pStyle w:val="Bulletedlist"/>
        <w:spacing w:line="240" w:lineRule="auto"/>
        <w:rPr>
          <w:lang w:bidi="fa-IR"/>
        </w:rPr>
      </w:pPr>
      <w:r w:rsidRPr="00AC555D">
        <w:rPr>
          <w:lang w:bidi="fa-IR"/>
        </w:rPr>
        <w:lastRenderedPageBreak/>
        <w:t>Criterion 12: Second Floor of Interior Façade</w:t>
      </w:r>
    </w:p>
    <w:p w14:paraId="0DAE0166" w14:textId="77777777" w:rsidR="00E223AA" w:rsidRPr="00AC555D" w:rsidRDefault="00E223AA" w:rsidP="005D4AF3">
      <w:pPr>
        <w:pStyle w:val="Paragraph"/>
        <w:spacing w:line="240" w:lineRule="auto"/>
        <w:jc w:val="both"/>
        <w:rPr>
          <w:rtl/>
          <w:lang w:bidi="fa-IR"/>
        </w:rPr>
      </w:pPr>
      <w:r w:rsidRPr="00AC555D">
        <w:rPr>
          <w:lang w:bidi="fa-IR"/>
        </w:rPr>
        <w:t>The ratio of ‘total area of openings of the second-floor interior façade’ to ‘area of the second-floor interior façade’ was examined. The results show that among the 8 houses that have a second-floor interior facade, the ratio of the total area of the second-floor openings to the second-floor interior façade is a minimum of about 19%, with an average of about 29% and a maximum of about 49%. The result of fitting a simple linear regression model is as follows</w:t>
      </w:r>
      <w:r w:rsidRPr="00AC555D">
        <w:rPr>
          <w:rtl/>
          <w:lang w:bidi="fa-IR"/>
        </w:rPr>
        <w:t>:</w:t>
      </w:r>
    </w:p>
    <w:p w14:paraId="67786B10" w14:textId="77777777" w:rsidR="00E223AA" w:rsidRPr="00AC555D" w:rsidRDefault="00E223AA" w:rsidP="005D4AF3">
      <w:pPr>
        <w:pStyle w:val="Paragraph"/>
        <w:spacing w:line="240" w:lineRule="auto"/>
        <w:jc w:val="center"/>
        <w:rPr>
          <w:rtl/>
          <w:lang w:bidi="fa-IR"/>
        </w:rPr>
      </w:pPr>
      <w:r w:rsidRPr="00AC555D">
        <w:rPr>
          <w:lang w:bidi="fa-IR"/>
        </w:rPr>
        <w:t>S</w:t>
      </w:r>
      <w:r w:rsidRPr="00AC555D">
        <w:rPr>
          <w:vertAlign w:val="subscript"/>
          <w:lang w:bidi="fa-IR"/>
        </w:rPr>
        <w:t xml:space="preserve"> Second Floor </w:t>
      </w:r>
      <w:proofErr w:type="gramStart"/>
      <w:r w:rsidRPr="00AC555D">
        <w:rPr>
          <w:vertAlign w:val="subscript"/>
          <w:lang w:bidi="fa-IR"/>
        </w:rPr>
        <w:t>In</w:t>
      </w:r>
      <w:proofErr w:type="gramEnd"/>
      <w:r w:rsidRPr="00AC555D">
        <w:rPr>
          <w:vertAlign w:val="subscript"/>
          <w:lang w:bidi="fa-IR"/>
        </w:rPr>
        <w:t xml:space="preserve"> Opening</w:t>
      </w:r>
      <w:r w:rsidRPr="00AC555D">
        <w:rPr>
          <w:lang w:bidi="fa-IR"/>
        </w:rPr>
        <w:t xml:space="preserve"> = 13.93 + 0.17 S </w:t>
      </w:r>
      <w:r w:rsidRPr="00AC555D">
        <w:rPr>
          <w:vertAlign w:val="subscript"/>
          <w:lang w:bidi="fa-IR"/>
        </w:rPr>
        <w:t>Second Floor In Façade</w:t>
      </w:r>
    </w:p>
    <w:p w14:paraId="11B029D2" w14:textId="77777777" w:rsidR="00E223AA" w:rsidRPr="00AC555D" w:rsidRDefault="00E223AA" w:rsidP="005D4AF3">
      <w:pPr>
        <w:pStyle w:val="Newparagraph"/>
        <w:spacing w:line="240" w:lineRule="auto"/>
        <w:jc w:val="both"/>
        <w:rPr>
          <w:rtl/>
          <w:lang w:bidi="fa-IR"/>
        </w:rPr>
      </w:pPr>
      <w:r w:rsidRPr="00AC555D">
        <w:rPr>
          <w:lang w:bidi="fa-IR"/>
        </w:rPr>
        <w:t>It means that, for example, for every 10 square meters increase in the area of the first-floor interior facade, the total area of the openings of that facade increases by about 1.7 square meters. The value of the coefficient of determination or R2 for this linear equation is 0.64, which is an acceptable value (Figure 11).</w:t>
      </w:r>
    </w:p>
    <w:p w14:paraId="2E410B12" w14:textId="77777777" w:rsidR="00E223AA" w:rsidRPr="00AC555D" w:rsidRDefault="00E223AA" w:rsidP="005D4AF3">
      <w:pPr>
        <w:pStyle w:val="ListParagraph"/>
        <w:spacing w:line="240" w:lineRule="auto"/>
        <w:rPr>
          <w:rtl/>
          <w:lang w:bidi="fa-IR"/>
        </w:rPr>
      </w:pPr>
      <w:r w:rsidRPr="00AC555D">
        <w:rPr>
          <w:noProof/>
        </w:rPr>
        <w:drawing>
          <wp:inline distT="0" distB="0" distL="0" distR="0" wp14:anchorId="174F7E6D" wp14:editId="5FB1D42B">
            <wp:extent cx="2447334" cy="23831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878" b="1786"/>
                    <a:stretch/>
                  </pic:blipFill>
                  <pic:spPr bwMode="auto">
                    <a:xfrm>
                      <a:off x="0" y="0"/>
                      <a:ext cx="2479105" cy="2414092"/>
                    </a:xfrm>
                    <a:prstGeom prst="rect">
                      <a:avLst/>
                    </a:prstGeom>
                    <a:ln>
                      <a:noFill/>
                    </a:ln>
                    <a:extLst>
                      <a:ext uri="{53640926-AAD7-44D8-BBD7-CCE9431645EC}">
                        <a14:shadowObscured xmlns:a14="http://schemas.microsoft.com/office/drawing/2010/main"/>
                      </a:ext>
                    </a:extLst>
                  </pic:spPr>
                </pic:pic>
              </a:graphicData>
            </a:graphic>
          </wp:inline>
        </w:drawing>
      </w:r>
      <w:r w:rsidRPr="00AB161B">
        <w:rPr>
          <w:noProof/>
        </w:rPr>
        <w:drawing>
          <wp:inline distT="0" distB="0" distL="0" distR="0" wp14:anchorId="442554C8" wp14:editId="67324A5B">
            <wp:extent cx="2392680" cy="236571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14873" cy="2387653"/>
                    </a:xfrm>
                    <a:prstGeom prst="rect">
                      <a:avLst/>
                    </a:prstGeom>
                    <a:ln>
                      <a:noFill/>
                    </a:ln>
                  </pic:spPr>
                </pic:pic>
              </a:graphicData>
            </a:graphic>
          </wp:inline>
        </w:drawing>
      </w:r>
    </w:p>
    <w:p w14:paraId="10528AB5" w14:textId="77777777" w:rsidR="00E223AA" w:rsidRPr="00AC555D" w:rsidRDefault="00E223AA" w:rsidP="005D4AF3">
      <w:pPr>
        <w:pStyle w:val="Figurecaption"/>
        <w:spacing w:line="240" w:lineRule="auto"/>
        <w:rPr>
          <w:lang w:bidi="fa-IR"/>
        </w:rPr>
      </w:pPr>
      <w:r w:rsidRPr="00AC555D">
        <w:rPr>
          <w:lang w:bidi="fa-IR"/>
        </w:rPr>
        <w:t>Figure 10 (left)</w:t>
      </w:r>
      <w:r w:rsidR="00AB161B">
        <w:rPr>
          <w:lang w:bidi="fa-IR"/>
        </w:rPr>
        <w:t>.</w:t>
      </w:r>
      <w:r w:rsidRPr="00AC555D">
        <w:rPr>
          <w:lang w:bidi="fa-IR"/>
        </w:rPr>
        <w:t xml:space="preserve"> The ratio of "total area of the first-floor openings of the interior facade" to "area of the first-floor interior facade"</w:t>
      </w:r>
    </w:p>
    <w:p w14:paraId="499FFB13" w14:textId="77777777" w:rsidR="00E223AA" w:rsidRPr="00AC555D" w:rsidRDefault="00AB161B" w:rsidP="005D4AF3">
      <w:pPr>
        <w:pStyle w:val="Figurecaption"/>
        <w:spacing w:before="0" w:line="240" w:lineRule="auto"/>
        <w:rPr>
          <w:lang w:bidi="fa-IR"/>
        </w:rPr>
      </w:pPr>
      <w:r>
        <w:rPr>
          <w:lang w:bidi="fa-IR"/>
        </w:rPr>
        <w:t xml:space="preserve">Figure 11 (right). </w:t>
      </w:r>
      <w:r w:rsidR="00E223AA" w:rsidRPr="00AC555D">
        <w:rPr>
          <w:lang w:bidi="fa-IR"/>
        </w:rPr>
        <w:t>The ratio of "total area of the second-floor openings of the interior facade" to "area of the second-floor interior facade"</w:t>
      </w:r>
    </w:p>
    <w:p w14:paraId="196FE005" w14:textId="77777777" w:rsidR="00E223AA" w:rsidRPr="00AC555D" w:rsidRDefault="00E223AA" w:rsidP="005D4AF3">
      <w:pPr>
        <w:pStyle w:val="Newparagraph"/>
        <w:spacing w:line="240" w:lineRule="auto"/>
        <w:jc w:val="both"/>
        <w:rPr>
          <w:lang w:bidi="fa-IR"/>
        </w:rPr>
      </w:pPr>
      <w:r w:rsidRPr="00AC555D">
        <w:rPr>
          <w:lang w:bidi="fa-IR"/>
        </w:rPr>
        <w:t xml:space="preserve">Despite the above results, no formula was obtained to show the variation of the openings area to the total interior façade area ratio for each floor. </w:t>
      </w:r>
    </w:p>
    <w:p w14:paraId="73F1EAAB" w14:textId="77777777" w:rsidR="00E223AA" w:rsidRPr="00AB161B" w:rsidRDefault="00E223AA" w:rsidP="005D4AF3">
      <w:pPr>
        <w:pStyle w:val="Heading2"/>
        <w:spacing w:line="240" w:lineRule="auto"/>
      </w:pPr>
      <w:r w:rsidRPr="00AB161B">
        <w:t>3-3- Parallel Façades</w:t>
      </w:r>
    </w:p>
    <w:p w14:paraId="22C48D92" w14:textId="77777777" w:rsidR="00E223AA" w:rsidRPr="00AC555D" w:rsidRDefault="00E223AA" w:rsidP="001230AF">
      <w:pPr>
        <w:pStyle w:val="Paragraph"/>
        <w:spacing w:before="0" w:line="240" w:lineRule="auto"/>
        <w:jc w:val="both"/>
        <w:rPr>
          <w:rtl/>
          <w:lang w:bidi="fa-IR"/>
        </w:rPr>
      </w:pPr>
      <w:r w:rsidRPr="00AC555D">
        <w:rPr>
          <w:lang w:bidi="fa-IR"/>
        </w:rPr>
        <w:t>The ratio of "total area of north exterior façade openings to the area of north exterior facade " to ratio of “total area of openings of north interior facade to area of north interior facade" was examined but no valid result was obtained. The same work was done for three other directions, but no special pattern was found for them. Therefore, criteria 13 to 16 in Bushehr vernacular architecture were not met</w:t>
      </w:r>
      <w:r w:rsidRPr="00AC555D">
        <w:rPr>
          <w:rtl/>
          <w:lang w:bidi="fa-IR"/>
        </w:rPr>
        <w:t>.</w:t>
      </w:r>
    </w:p>
    <w:p w14:paraId="6977DFCC" w14:textId="77777777" w:rsidR="00E223AA" w:rsidRPr="00AB161B" w:rsidRDefault="00E223AA" w:rsidP="005D4AF3">
      <w:pPr>
        <w:pStyle w:val="Heading2"/>
        <w:spacing w:line="240" w:lineRule="auto"/>
        <w:rPr>
          <w:rtl/>
        </w:rPr>
      </w:pPr>
      <w:r w:rsidRPr="00AB161B">
        <w:t>3-4- Openings</w:t>
      </w:r>
    </w:p>
    <w:p w14:paraId="36D17312" w14:textId="77777777" w:rsidR="00E223AA" w:rsidRPr="00AC555D" w:rsidRDefault="00E223AA" w:rsidP="005D4AF3">
      <w:pPr>
        <w:pStyle w:val="Bulletedlist"/>
        <w:spacing w:line="240" w:lineRule="auto"/>
        <w:rPr>
          <w:lang w:bidi="fa-IR"/>
        </w:rPr>
      </w:pPr>
      <w:r w:rsidRPr="00AC555D">
        <w:rPr>
          <w:lang w:bidi="fa-IR"/>
        </w:rPr>
        <w:t>Criterion 17: Usage Rate of Different Shapes and Size of Openings</w:t>
      </w:r>
    </w:p>
    <w:p w14:paraId="1C384AD7" w14:textId="77777777" w:rsidR="00E223AA" w:rsidRDefault="00E223AA" w:rsidP="005D4AF3">
      <w:pPr>
        <w:pStyle w:val="Paragraph"/>
        <w:spacing w:line="240" w:lineRule="auto"/>
        <w:jc w:val="both"/>
        <w:rPr>
          <w:lang w:bidi="fa-IR"/>
        </w:rPr>
      </w:pPr>
      <w:r w:rsidRPr="00AC555D">
        <w:rPr>
          <w:lang w:bidi="fa-IR"/>
        </w:rPr>
        <w:t xml:space="preserve">Descriptive statistics show that in total 55% of the openings are rectangular and 45% are arched. In terms of size, 65% of the openings used are medium, 30% are small and only 5% are large. Figure 12 shows to what extent each category of opening is arched or </w:t>
      </w:r>
      <w:r w:rsidR="00AB161B" w:rsidRPr="00AC555D">
        <w:rPr>
          <w:rFonts w:asciiTheme="majorBidi" w:hAnsiTheme="majorBidi" w:cstheme="majorBidi"/>
          <w:noProof/>
          <w:rtl/>
          <w:lang w:val="en-US" w:eastAsia="en-US"/>
        </w:rPr>
        <w:lastRenderedPageBreak/>
        <w:drawing>
          <wp:anchor distT="0" distB="0" distL="114300" distR="114300" simplePos="0" relativeHeight="251659264" behindDoc="0" locked="0" layoutInCell="1" allowOverlap="1" wp14:anchorId="0F5B6CC3" wp14:editId="4168374D">
            <wp:simplePos x="0" y="0"/>
            <wp:positionH relativeFrom="column">
              <wp:posOffset>504825</wp:posOffset>
            </wp:positionH>
            <wp:positionV relativeFrom="paragraph">
              <wp:posOffset>349250</wp:posOffset>
            </wp:positionV>
            <wp:extent cx="4297680" cy="2964180"/>
            <wp:effectExtent l="0" t="0" r="7620" b="7620"/>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Pr="00AC555D">
        <w:rPr>
          <w:lang w:bidi="fa-IR"/>
        </w:rPr>
        <w:t>rectangular.</w:t>
      </w:r>
    </w:p>
    <w:p w14:paraId="369BD0A7" w14:textId="77777777" w:rsidR="00E223AA" w:rsidRDefault="00E223AA" w:rsidP="005D4AF3">
      <w:pPr>
        <w:pStyle w:val="Figurecaption"/>
        <w:spacing w:before="0" w:line="240" w:lineRule="auto"/>
        <w:rPr>
          <w:lang w:bidi="fa-IR"/>
        </w:rPr>
      </w:pPr>
      <w:r w:rsidRPr="00AC555D">
        <w:rPr>
          <w:rtl/>
          <w:lang w:bidi="fa-IR"/>
        </w:rPr>
        <w:br w:type="textWrapping" w:clear="all"/>
      </w:r>
      <w:r w:rsidRPr="00AC555D">
        <w:rPr>
          <w:lang w:bidi="fa-IR"/>
        </w:rPr>
        <w:t>Figure 12</w:t>
      </w:r>
      <w:r w:rsidR="00AB161B">
        <w:rPr>
          <w:lang w:bidi="fa-IR"/>
        </w:rPr>
        <w:t>.</w:t>
      </w:r>
      <w:r w:rsidRPr="00AC555D">
        <w:rPr>
          <w:lang w:bidi="fa-IR"/>
        </w:rPr>
        <w:t xml:space="preserve"> The use of arched and rectangular openings by opening size in vernacular residential architecture in Bushe</w:t>
      </w:r>
      <w:r w:rsidR="00AB161B">
        <w:rPr>
          <w:lang w:bidi="fa-IR"/>
        </w:rPr>
        <w:t>h</w:t>
      </w:r>
      <w:r w:rsidRPr="00AC555D">
        <w:rPr>
          <w:lang w:bidi="fa-IR"/>
        </w:rPr>
        <w:t xml:space="preserve">r historic </w:t>
      </w:r>
      <w:r w:rsidR="00AB161B" w:rsidRPr="00AC555D">
        <w:rPr>
          <w:lang w:bidi="fa-IR"/>
        </w:rPr>
        <w:t>neighbourhoods</w:t>
      </w:r>
      <w:r w:rsidRPr="00AC555D">
        <w:rPr>
          <w:lang w:bidi="fa-IR"/>
        </w:rPr>
        <w:t xml:space="preserve"> except the coastal strip</w:t>
      </w:r>
    </w:p>
    <w:p w14:paraId="12A07980" w14:textId="77777777" w:rsidR="00E223AA" w:rsidRPr="00AC555D" w:rsidRDefault="00E223AA" w:rsidP="005D4AF3">
      <w:pPr>
        <w:pStyle w:val="Newparagraph"/>
        <w:spacing w:before="240" w:line="240" w:lineRule="auto"/>
        <w:jc w:val="both"/>
        <w:rPr>
          <w:lang w:bidi="fa-IR"/>
        </w:rPr>
      </w:pPr>
      <w:r w:rsidRPr="00AC555D">
        <w:rPr>
          <w:lang w:bidi="fa-IR"/>
        </w:rPr>
        <w:t>Results of this study on different sizes of opening show that in the exterior facade, among 101 small openings, openings with length and height of 1.1 and 0.68, respectively, with 14 frequencies and openings with length and height of 1 and 0.7, respectively with 17 frequencies had the highest frequency. Among 220 medium openings, openings with length and height of 1 and 2.5, respectively, with 42 frequencies had the highest frequency. Among 18 large openings, openings with length and height of 2 and 3.5, respectively, with 3 frequencies had the highest frequency and openings with length and height of 2.6 and 3.2, respectively, with 3 frequencies had the highest frequency</w:t>
      </w:r>
      <w:r w:rsidRPr="00AC555D">
        <w:rPr>
          <w:rtl/>
          <w:lang w:bidi="fa-IR"/>
        </w:rPr>
        <w:t>.</w:t>
      </w:r>
    </w:p>
    <w:p w14:paraId="3161ED61" w14:textId="77777777" w:rsidR="00E223AA" w:rsidRPr="00AC555D" w:rsidRDefault="00E223AA" w:rsidP="005D4AF3">
      <w:pPr>
        <w:pStyle w:val="Newparagraph"/>
        <w:spacing w:line="240" w:lineRule="auto"/>
        <w:jc w:val="both"/>
        <w:rPr>
          <w:rtl/>
          <w:lang w:bidi="fa-IR"/>
        </w:rPr>
      </w:pPr>
      <w:r w:rsidRPr="00AC555D">
        <w:rPr>
          <w:lang w:bidi="fa-IR"/>
        </w:rPr>
        <w:t>In the interior facade, among the 68 small openings, the openings with length and height of 0.83 and 0.48, respectively, with 19 repetitions, had the highest frequency, and the openings with length and height of 1 and 0.7, respectively with 17 frequencies had the highest frequency. Among 260 medium openings, openings with length and height of 1 and 2.6, respectively, with 75 frequencies had the highest frequency, and openings with length and height of 0.74 and 2.39, respectively, with 20 frequencies had the highest frequency. Among 30 openings, large openings with length and height of 1.5 and 2.6, respectively, with 21 frequencies had the highest frequency. Table 3 shows the most frequent small, medium, large openings in exterior and interior façade.</w:t>
      </w:r>
    </w:p>
    <w:p w14:paraId="14DC7FD4" w14:textId="77777777" w:rsidR="00AB161B" w:rsidRPr="00AC555D" w:rsidRDefault="00E41A8F" w:rsidP="005D4AF3">
      <w:pPr>
        <w:pStyle w:val="Tabletitle"/>
        <w:bidi/>
        <w:spacing w:line="240" w:lineRule="auto"/>
        <w:jc w:val="right"/>
        <w:rPr>
          <w:rtl/>
          <w:lang w:bidi="fa-IR"/>
        </w:rPr>
      </w:pPr>
      <w:r>
        <w:rPr>
          <w:lang w:bidi="fa-IR"/>
        </w:rPr>
        <w:t xml:space="preserve">Table 3. </w:t>
      </w:r>
      <w:r w:rsidR="00AB161B" w:rsidRPr="00AC555D">
        <w:rPr>
          <w:lang w:bidi="fa-IR"/>
        </w:rPr>
        <w:t>The most frequently used types of small, medium, large openings in exterior and interior facades</w:t>
      </w:r>
    </w:p>
    <w:tbl>
      <w:tblPr>
        <w:tblStyle w:val="PlainTable1"/>
        <w:bidiVisual/>
        <w:tblW w:w="8700" w:type="dxa"/>
        <w:jc w:val="center"/>
        <w:tblLook w:val="04A0" w:firstRow="1" w:lastRow="0" w:firstColumn="1" w:lastColumn="0" w:noHBand="0" w:noVBand="1"/>
      </w:tblPr>
      <w:tblGrid>
        <w:gridCol w:w="2003"/>
        <w:gridCol w:w="1865"/>
        <w:gridCol w:w="1221"/>
        <w:gridCol w:w="1370"/>
        <w:gridCol w:w="1205"/>
        <w:gridCol w:w="1036"/>
      </w:tblGrid>
      <w:tr w:rsidR="00AB161B" w:rsidRPr="00AC555D" w14:paraId="07F8ED9C" w14:textId="77777777" w:rsidTr="00AB161B">
        <w:trPr>
          <w:cnfStyle w:val="100000000000" w:firstRow="1" w:lastRow="0" w:firstColumn="0" w:lastColumn="0" w:oddVBand="0" w:evenVBand="0" w:oddHBand="0" w:evenHBand="0" w:firstRowFirstColumn="0" w:firstRowLastColumn="0" w:lastRowFirstColumn="0" w:lastRowLastColumn="0"/>
          <w:trHeight w:val="714"/>
          <w:jc w:val="center"/>
        </w:trPr>
        <w:tc>
          <w:tcPr>
            <w:cnfStyle w:val="001000000000" w:firstRow="0" w:lastRow="0" w:firstColumn="1" w:lastColumn="0" w:oddVBand="0" w:evenVBand="0" w:oddHBand="0" w:evenHBand="0" w:firstRowFirstColumn="0" w:firstRowLastColumn="0" w:lastRowFirstColumn="0" w:lastRowLastColumn="0"/>
            <w:tcW w:w="2003" w:type="dxa"/>
            <w:vAlign w:val="center"/>
          </w:tcPr>
          <w:p w14:paraId="6A209678" w14:textId="77777777" w:rsidR="00AB161B" w:rsidRPr="00AB161B" w:rsidRDefault="00AB161B" w:rsidP="005D4AF3">
            <w:pPr>
              <w:bidi/>
              <w:spacing w:line="240" w:lineRule="auto"/>
              <w:jc w:val="center"/>
              <w:rPr>
                <w:rFonts w:asciiTheme="majorBidi" w:hAnsiTheme="majorBidi" w:cstheme="majorBidi"/>
                <w:sz w:val="22"/>
                <w:szCs w:val="22"/>
                <w:lang w:bidi="fa-IR"/>
              </w:rPr>
            </w:pPr>
            <w:r w:rsidRPr="00AB161B">
              <w:rPr>
                <w:rFonts w:asciiTheme="majorBidi" w:hAnsiTheme="majorBidi" w:cstheme="majorBidi"/>
                <w:sz w:val="22"/>
                <w:szCs w:val="22"/>
                <w:lang w:bidi="fa-IR"/>
              </w:rPr>
              <w:t>Figure</w:t>
            </w:r>
          </w:p>
        </w:tc>
        <w:tc>
          <w:tcPr>
            <w:tcW w:w="1865" w:type="dxa"/>
            <w:vAlign w:val="center"/>
          </w:tcPr>
          <w:p w14:paraId="7F396B1B" w14:textId="77777777" w:rsidR="00AB161B" w:rsidRPr="00AB161B" w:rsidRDefault="00AB161B" w:rsidP="005D4AF3">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r w:rsidRPr="00AB161B">
              <w:rPr>
                <w:rFonts w:asciiTheme="majorBidi" w:hAnsiTheme="majorBidi" w:cstheme="majorBidi"/>
                <w:sz w:val="22"/>
                <w:szCs w:val="22"/>
                <w:lang w:bidi="fa-IR"/>
              </w:rPr>
              <w:t>Number of Repetition</w:t>
            </w:r>
          </w:p>
        </w:tc>
        <w:tc>
          <w:tcPr>
            <w:tcW w:w="1221" w:type="dxa"/>
            <w:vAlign w:val="center"/>
          </w:tcPr>
          <w:p w14:paraId="58CEF221" w14:textId="77777777" w:rsidR="00AB161B" w:rsidRPr="00AB161B" w:rsidRDefault="00AB161B" w:rsidP="005D4AF3">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H</w:t>
            </w:r>
          </w:p>
        </w:tc>
        <w:tc>
          <w:tcPr>
            <w:tcW w:w="1370" w:type="dxa"/>
            <w:vAlign w:val="center"/>
          </w:tcPr>
          <w:p w14:paraId="162BB7A1" w14:textId="77777777" w:rsidR="00AB161B" w:rsidRPr="00AB161B" w:rsidRDefault="00AB161B" w:rsidP="005D4AF3">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WD</w:t>
            </w:r>
          </w:p>
        </w:tc>
        <w:tc>
          <w:tcPr>
            <w:tcW w:w="1205" w:type="dxa"/>
            <w:vAlign w:val="center"/>
          </w:tcPr>
          <w:p w14:paraId="26305496" w14:textId="77777777" w:rsidR="00AB161B" w:rsidRPr="00AB161B" w:rsidRDefault="00AB161B" w:rsidP="005D4AF3">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Opening Size</w:t>
            </w:r>
          </w:p>
        </w:tc>
        <w:tc>
          <w:tcPr>
            <w:tcW w:w="1036" w:type="dxa"/>
            <w:vAlign w:val="center"/>
          </w:tcPr>
          <w:p w14:paraId="2729C1B4" w14:textId="77777777" w:rsidR="00AB161B" w:rsidRPr="00AB161B" w:rsidRDefault="00AB161B" w:rsidP="005D4AF3">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Façade</w:t>
            </w:r>
          </w:p>
        </w:tc>
      </w:tr>
      <w:tr w:rsidR="00AB161B" w:rsidRPr="00AC555D" w14:paraId="2E1B21AD" w14:textId="77777777" w:rsidTr="00E41A8F">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2003" w:type="dxa"/>
            <w:shd w:val="clear" w:color="auto" w:fill="FFFFFF" w:themeFill="background1"/>
            <w:vAlign w:val="center"/>
          </w:tcPr>
          <w:p w14:paraId="73C03DA1" w14:textId="77777777" w:rsidR="00AB161B" w:rsidRPr="00AB161B" w:rsidRDefault="00AB161B" w:rsidP="005D4AF3">
            <w:pPr>
              <w:bidi/>
              <w:spacing w:line="240" w:lineRule="auto"/>
              <w:jc w:val="center"/>
              <w:rPr>
                <w:rFonts w:asciiTheme="majorBidi" w:hAnsiTheme="majorBidi" w:cstheme="majorBidi"/>
                <w:b w:val="0"/>
                <w:bCs w:val="0"/>
                <w:sz w:val="22"/>
                <w:szCs w:val="22"/>
                <w:lang w:bidi="fa-IR"/>
              </w:rPr>
            </w:pPr>
            <w:r w:rsidRPr="00AB161B">
              <w:rPr>
                <w:rFonts w:asciiTheme="majorBidi" w:hAnsiTheme="majorBidi" w:cstheme="majorBidi"/>
                <w:noProof/>
                <w:sz w:val="22"/>
                <w:szCs w:val="22"/>
              </w:rPr>
              <w:drawing>
                <wp:inline distT="0" distB="0" distL="0" distR="0" wp14:anchorId="561E633B" wp14:editId="66D1BB9A">
                  <wp:extent cx="489777" cy="350520"/>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mall Exterior 0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2253" cy="359449"/>
                          </a:xfrm>
                          <a:prstGeom prst="rect">
                            <a:avLst/>
                          </a:prstGeom>
                        </pic:spPr>
                      </pic:pic>
                    </a:graphicData>
                  </a:graphic>
                </wp:inline>
              </w:drawing>
            </w:r>
          </w:p>
        </w:tc>
        <w:tc>
          <w:tcPr>
            <w:tcW w:w="1865" w:type="dxa"/>
            <w:vAlign w:val="center"/>
          </w:tcPr>
          <w:p w14:paraId="31094007"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tl/>
                <w:lang w:bidi="fa-IR"/>
              </w:rPr>
            </w:pPr>
            <w:r w:rsidRPr="00AB161B">
              <w:rPr>
                <w:rFonts w:asciiTheme="majorBidi" w:hAnsiTheme="majorBidi" w:cstheme="majorBidi"/>
                <w:b/>
                <w:bCs/>
                <w:sz w:val="22"/>
                <w:szCs w:val="22"/>
                <w:lang w:bidi="fa-IR"/>
              </w:rPr>
              <w:t>16</w:t>
            </w:r>
          </w:p>
        </w:tc>
        <w:tc>
          <w:tcPr>
            <w:tcW w:w="1221" w:type="dxa"/>
            <w:vAlign w:val="center"/>
          </w:tcPr>
          <w:p w14:paraId="4AEA0DCE"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0.68</w:t>
            </w:r>
          </w:p>
        </w:tc>
        <w:tc>
          <w:tcPr>
            <w:tcW w:w="1370" w:type="dxa"/>
            <w:vAlign w:val="center"/>
          </w:tcPr>
          <w:p w14:paraId="102079B2"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AB161B">
              <w:rPr>
                <w:rFonts w:asciiTheme="majorBidi" w:hAnsiTheme="majorBidi" w:cstheme="majorBidi"/>
                <w:sz w:val="22"/>
                <w:szCs w:val="22"/>
                <w:lang w:bidi="fa-IR"/>
              </w:rPr>
              <w:t>1.1</w:t>
            </w:r>
          </w:p>
        </w:tc>
        <w:tc>
          <w:tcPr>
            <w:tcW w:w="1205" w:type="dxa"/>
            <w:vMerge w:val="restart"/>
            <w:shd w:val="clear" w:color="auto" w:fill="FFFFFF" w:themeFill="background1"/>
            <w:vAlign w:val="center"/>
          </w:tcPr>
          <w:p w14:paraId="48E95DAE"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AB161B">
              <w:rPr>
                <w:rFonts w:asciiTheme="majorBidi" w:hAnsiTheme="majorBidi" w:cstheme="majorBidi"/>
                <w:sz w:val="22"/>
                <w:szCs w:val="22"/>
                <w:lang w:bidi="fa-IR"/>
              </w:rPr>
              <w:t>Small</w:t>
            </w:r>
          </w:p>
        </w:tc>
        <w:tc>
          <w:tcPr>
            <w:tcW w:w="1036" w:type="dxa"/>
            <w:vMerge w:val="restart"/>
            <w:vAlign w:val="center"/>
          </w:tcPr>
          <w:p w14:paraId="3BBBC902"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lang w:bidi="fa-IR"/>
              </w:rPr>
            </w:pPr>
            <w:r w:rsidRPr="00AB161B">
              <w:rPr>
                <w:rFonts w:asciiTheme="majorBidi" w:hAnsiTheme="majorBidi" w:cstheme="majorBidi"/>
                <w:b/>
                <w:bCs/>
                <w:sz w:val="22"/>
                <w:szCs w:val="22"/>
                <w:lang w:bidi="fa-IR"/>
              </w:rPr>
              <w:t>Exterior</w:t>
            </w:r>
          </w:p>
        </w:tc>
      </w:tr>
      <w:tr w:rsidR="00AB161B" w:rsidRPr="00AC555D" w14:paraId="404DBF57" w14:textId="77777777" w:rsidTr="00E41A8F">
        <w:trPr>
          <w:trHeight w:val="489"/>
          <w:jc w:val="center"/>
        </w:trPr>
        <w:tc>
          <w:tcPr>
            <w:cnfStyle w:val="001000000000" w:firstRow="0" w:lastRow="0" w:firstColumn="1" w:lastColumn="0" w:oddVBand="0" w:evenVBand="0" w:oddHBand="0" w:evenHBand="0" w:firstRowFirstColumn="0" w:firstRowLastColumn="0" w:lastRowFirstColumn="0" w:lastRowLastColumn="0"/>
            <w:tcW w:w="2003" w:type="dxa"/>
            <w:shd w:val="clear" w:color="auto" w:fill="FFFFFF" w:themeFill="background1"/>
            <w:vAlign w:val="center"/>
          </w:tcPr>
          <w:p w14:paraId="61E7BC6B" w14:textId="77777777" w:rsidR="00AB161B" w:rsidRPr="00AB161B" w:rsidRDefault="00AB161B" w:rsidP="005D4AF3">
            <w:pPr>
              <w:bidi/>
              <w:spacing w:line="240" w:lineRule="auto"/>
              <w:jc w:val="center"/>
              <w:rPr>
                <w:rFonts w:asciiTheme="majorBidi" w:hAnsiTheme="majorBidi" w:cstheme="majorBidi"/>
                <w:b w:val="0"/>
                <w:bCs w:val="0"/>
                <w:sz w:val="22"/>
                <w:szCs w:val="22"/>
                <w:lang w:bidi="fa-IR"/>
              </w:rPr>
            </w:pPr>
            <w:r w:rsidRPr="00AB161B">
              <w:rPr>
                <w:rFonts w:asciiTheme="majorBidi" w:hAnsiTheme="majorBidi" w:cstheme="majorBidi"/>
                <w:noProof/>
                <w:sz w:val="22"/>
                <w:szCs w:val="22"/>
              </w:rPr>
              <w:drawing>
                <wp:inline distT="0" distB="0" distL="0" distR="0" wp14:anchorId="1716F5BD" wp14:editId="66DE11A0">
                  <wp:extent cx="552095" cy="411480"/>
                  <wp:effectExtent l="0" t="0" r="635"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mall Exterior 0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536" cy="427460"/>
                          </a:xfrm>
                          <a:prstGeom prst="rect">
                            <a:avLst/>
                          </a:prstGeom>
                        </pic:spPr>
                      </pic:pic>
                    </a:graphicData>
                  </a:graphic>
                </wp:inline>
              </w:drawing>
            </w:r>
          </w:p>
        </w:tc>
        <w:tc>
          <w:tcPr>
            <w:tcW w:w="1865" w:type="dxa"/>
            <w:vAlign w:val="center"/>
          </w:tcPr>
          <w:p w14:paraId="12343528" w14:textId="77777777" w:rsidR="00AB161B" w:rsidRPr="00AB161B" w:rsidRDefault="00AB161B" w:rsidP="005D4AF3">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rtl/>
                <w:lang w:bidi="fa-IR"/>
              </w:rPr>
            </w:pPr>
            <w:r w:rsidRPr="00AB161B">
              <w:rPr>
                <w:rFonts w:asciiTheme="majorBidi" w:hAnsiTheme="majorBidi" w:cstheme="majorBidi"/>
                <w:b/>
                <w:bCs/>
                <w:sz w:val="22"/>
                <w:szCs w:val="22"/>
                <w:lang w:bidi="fa-IR"/>
              </w:rPr>
              <w:t>18</w:t>
            </w:r>
          </w:p>
        </w:tc>
        <w:tc>
          <w:tcPr>
            <w:tcW w:w="1221" w:type="dxa"/>
            <w:vAlign w:val="center"/>
          </w:tcPr>
          <w:p w14:paraId="77E802AA" w14:textId="77777777" w:rsidR="00AB161B" w:rsidRPr="00AB161B" w:rsidRDefault="00AB161B" w:rsidP="005D4AF3">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0.7</w:t>
            </w:r>
          </w:p>
        </w:tc>
        <w:tc>
          <w:tcPr>
            <w:tcW w:w="1370" w:type="dxa"/>
            <w:vAlign w:val="center"/>
          </w:tcPr>
          <w:p w14:paraId="1ABB2A5F" w14:textId="77777777" w:rsidR="00AB161B" w:rsidRPr="00AB161B" w:rsidRDefault="00AB161B" w:rsidP="005D4AF3">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1</w:t>
            </w:r>
          </w:p>
        </w:tc>
        <w:tc>
          <w:tcPr>
            <w:tcW w:w="1205" w:type="dxa"/>
            <w:vMerge/>
            <w:shd w:val="clear" w:color="auto" w:fill="FFFFFF" w:themeFill="background1"/>
            <w:vAlign w:val="center"/>
          </w:tcPr>
          <w:p w14:paraId="195546AC" w14:textId="77777777" w:rsidR="00AB161B" w:rsidRPr="00AB161B" w:rsidRDefault="00AB161B" w:rsidP="005D4AF3">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p>
        </w:tc>
        <w:tc>
          <w:tcPr>
            <w:tcW w:w="1036" w:type="dxa"/>
            <w:vMerge/>
            <w:vAlign w:val="center"/>
          </w:tcPr>
          <w:p w14:paraId="7784E4E3" w14:textId="77777777" w:rsidR="00AB161B" w:rsidRPr="00AB161B" w:rsidRDefault="00AB161B" w:rsidP="005D4AF3">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lang w:bidi="fa-IR"/>
              </w:rPr>
            </w:pPr>
          </w:p>
        </w:tc>
      </w:tr>
      <w:tr w:rsidR="00AB161B" w:rsidRPr="00AC555D" w14:paraId="339656D4" w14:textId="77777777" w:rsidTr="00E41A8F">
        <w:trPr>
          <w:cnfStyle w:val="000000100000" w:firstRow="0" w:lastRow="0" w:firstColumn="0" w:lastColumn="0" w:oddVBand="0" w:evenVBand="0" w:oddHBand="1" w:evenHBand="0" w:firstRowFirstColumn="0" w:firstRowLastColumn="0" w:lastRowFirstColumn="0" w:lastRowLastColumn="0"/>
          <w:trHeight w:val="1290"/>
          <w:jc w:val="center"/>
        </w:trPr>
        <w:tc>
          <w:tcPr>
            <w:cnfStyle w:val="001000000000" w:firstRow="0" w:lastRow="0" w:firstColumn="1" w:lastColumn="0" w:oddVBand="0" w:evenVBand="0" w:oddHBand="0" w:evenHBand="0" w:firstRowFirstColumn="0" w:firstRowLastColumn="0" w:lastRowFirstColumn="0" w:lastRowLastColumn="0"/>
            <w:tcW w:w="2003" w:type="dxa"/>
            <w:shd w:val="clear" w:color="auto" w:fill="FFFFFF" w:themeFill="background1"/>
            <w:vAlign w:val="center"/>
          </w:tcPr>
          <w:p w14:paraId="01B25596" w14:textId="77777777" w:rsidR="00AB161B" w:rsidRPr="00AB161B" w:rsidRDefault="00AB161B" w:rsidP="005D4AF3">
            <w:pPr>
              <w:bidi/>
              <w:spacing w:line="240" w:lineRule="auto"/>
              <w:jc w:val="center"/>
              <w:rPr>
                <w:rFonts w:asciiTheme="majorBidi" w:hAnsiTheme="majorBidi" w:cstheme="majorBidi"/>
                <w:b w:val="0"/>
                <w:bCs w:val="0"/>
                <w:sz w:val="22"/>
                <w:szCs w:val="22"/>
                <w:lang w:bidi="fa-IR"/>
              </w:rPr>
            </w:pPr>
            <w:r w:rsidRPr="00AB161B">
              <w:rPr>
                <w:rFonts w:asciiTheme="majorBidi" w:hAnsiTheme="majorBidi" w:cstheme="majorBidi"/>
                <w:noProof/>
                <w:sz w:val="22"/>
                <w:szCs w:val="22"/>
              </w:rPr>
              <w:lastRenderedPageBreak/>
              <w:drawing>
                <wp:inline distT="0" distB="0" distL="0" distR="0" wp14:anchorId="70570947" wp14:editId="560BE70C">
                  <wp:extent cx="381496" cy="869119"/>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edium Exterior.jpg"/>
                          <pic:cNvPicPr/>
                        </pic:nvPicPr>
                        <pic:blipFill>
                          <a:blip r:embed="rId30" cstate="print">
                            <a:extLst>
                              <a:ext uri="{28A0092B-C50C-407E-A947-70E740481C1C}">
                                <a14:useLocalDpi xmlns:a14="http://schemas.microsoft.com/office/drawing/2010/main" val="0"/>
                              </a:ext>
                            </a:extLst>
                          </a:blip>
                          <a:stretch>
                            <a:fillRect/>
                          </a:stretch>
                        </pic:blipFill>
                        <pic:spPr>
                          <a:xfrm flipH="1">
                            <a:off x="0" y="0"/>
                            <a:ext cx="401251" cy="914124"/>
                          </a:xfrm>
                          <a:prstGeom prst="rect">
                            <a:avLst/>
                          </a:prstGeom>
                        </pic:spPr>
                      </pic:pic>
                    </a:graphicData>
                  </a:graphic>
                </wp:inline>
              </w:drawing>
            </w:r>
          </w:p>
        </w:tc>
        <w:tc>
          <w:tcPr>
            <w:tcW w:w="1865" w:type="dxa"/>
            <w:vAlign w:val="center"/>
          </w:tcPr>
          <w:p w14:paraId="3189FAF7"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tl/>
                <w:lang w:bidi="fa-IR"/>
              </w:rPr>
            </w:pPr>
            <w:r w:rsidRPr="00AB161B">
              <w:rPr>
                <w:rFonts w:asciiTheme="majorBidi" w:hAnsiTheme="majorBidi" w:cstheme="majorBidi"/>
                <w:b/>
                <w:bCs/>
                <w:sz w:val="22"/>
                <w:szCs w:val="22"/>
                <w:lang w:bidi="fa-IR"/>
              </w:rPr>
              <w:t>42</w:t>
            </w:r>
          </w:p>
        </w:tc>
        <w:tc>
          <w:tcPr>
            <w:tcW w:w="1221" w:type="dxa"/>
            <w:vAlign w:val="center"/>
          </w:tcPr>
          <w:p w14:paraId="156D944D"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2.5</w:t>
            </w:r>
          </w:p>
        </w:tc>
        <w:tc>
          <w:tcPr>
            <w:tcW w:w="1370" w:type="dxa"/>
            <w:vAlign w:val="center"/>
          </w:tcPr>
          <w:p w14:paraId="27DF0BCA"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1</w:t>
            </w:r>
          </w:p>
        </w:tc>
        <w:tc>
          <w:tcPr>
            <w:tcW w:w="1205" w:type="dxa"/>
            <w:shd w:val="clear" w:color="auto" w:fill="FFFFFF" w:themeFill="background1"/>
            <w:vAlign w:val="center"/>
          </w:tcPr>
          <w:p w14:paraId="32D4189A"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Medium</w:t>
            </w:r>
          </w:p>
        </w:tc>
        <w:tc>
          <w:tcPr>
            <w:tcW w:w="1036" w:type="dxa"/>
            <w:vMerge/>
            <w:vAlign w:val="center"/>
          </w:tcPr>
          <w:p w14:paraId="0DC0AC15"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lang w:bidi="fa-IR"/>
              </w:rPr>
            </w:pPr>
          </w:p>
        </w:tc>
      </w:tr>
      <w:tr w:rsidR="00AB161B" w:rsidRPr="00AC555D" w14:paraId="74FDDAA1" w14:textId="77777777" w:rsidTr="00E41A8F">
        <w:trPr>
          <w:trHeight w:val="1560"/>
          <w:jc w:val="center"/>
        </w:trPr>
        <w:tc>
          <w:tcPr>
            <w:cnfStyle w:val="001000000000" w:firstRow="0" w:lastRow="0" w:firstColumn="1" w:lastColumn="0" w:oddVBand="0" w:evenVBand="0" w:oddHBand="0" w:evenHBand="0" w:firstRowFirstColumn="0" w:firstRowLastColumn="0" w:lastRowFirstColumn="0" w:lastRowLastColumn="0"/>
            <w:tcW w:w="2003" w:type="dxa"/>
            <w:shd w:val="clear" w:color="auto" w:fill="FFFFFF" w:themeFill="background1"/>
            <w:vAlign w:val="center"/>
          </w:tcPr>
          <w:p w14:paraId="298DDB82" w14:textId="77777777" w:rsidR="00AB161B" w:rsidRPr="00AB161B" w:rsidRDefault="00AB161B" w:rsidP="005D4AF3">
            <w:pPr>
              <w:bidi/>
              <w:spacing w:line="240" w:lineRule="auto"/>
              <w:jc w:val="center"/>
              <w:rPr>
                <w:rFonts w:asciiTheme="majorBidi" w:hAnsiTheme="majorBidi" w:cstheme="majorBidi"/>
                <w:b w:val="0"/>
                <w:bCs w:val="0"/>
                <w:sz w:val="22"/>
                <w:szCs w:val="22"/>
                <w:lang w:bidi="fa-IR"/>
              </w:rPr>
            </w:pPr>
            <w:r w:rsidRPr="00AB161B">
              <w:rPr>
                <w:rFonts w:asciiTheme="majorBidi" w:hAnsiTheme="majorBidi" w:cstheme="majorBidi"/>
                <w:noProof/>
                <w:sz w:val="22"/>
                <w:szCs w:val="22"/>
              </w:rPr>
              <w:drawing>
                <wp:inline distT="0" distB="0" distL="0" distR="0" wp14:anchorId="21AB93C0" wp14:editId="4E4FDECD">
                  <wp:extent cx="933945" cy="10210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arge Exterior.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45898" cy="1034149"/>
                          </a:xfrm>
                          <a:prstGeom prst="rect">
                            <a:avLst/>
                          </a:prstGeom>
                        </pic:spPr>
                      </pic:pic>
                    </a:graphicData>
                  </a:graphic>
                </wp:inline>
              </w:drawing>
            </w:r>
          </w:p>
        </w:tc>
        <w:tc>
          <w:tcPr>
            <w:tcW w:w="1865" w:type="dxa"/>
            <w:vAlign w:val="center"/>
          </w:tcPr>
          <w:p w14:paraId="422AD18F" w14:textId="77777777" w:rsidR="00AB161B" w:rsidRPr="00AB161B" w:rsidRDefault="00AB161B" w:rsidP="005D4AF3">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rtl/>
                <w:lang w:bidi="fa-IR"/>
              </w:rPr>
            </w:pPr>
            <w:r w:rsidRPr="00AB161B">
              <w:rPr>
                <w:rFonts w:asciiTheme="majorBidi" w:hAnsiTheme="majorBidi" w:cstheme="majorBidi"/>
                <w:b/>
                <w:bCs/>
                <w:sz w:val="22"/>
                <w:szCs w:val="22"/>
                <w:lang w:bidi="fa-IR"/>
              </w:rPr>
              <w:t>6</w:t>
            </w:r>
          </w:p>
        </w:tc>
        <w:tc>
          <w:tcPr>
            <w:tcW w:w="1221" w:type="dxa"/>
            <w:vAlign w:val="center"/>
          </w:tcPr>
          <w:p w14:paraId="7FB631CA" w14:textId="77777777" w:rsidR="00AB161B" w:rsidRPr="00AB161B" w:rsidRDefault="00AB161B" w:rsidP="005D4AF3">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3.2</w:t>
            </w:r>
          </w:p>
        </w:tc>
        <w:tc>
          <w:tcPr>
            <w:tcW w:w="1370" w:type="dxa"/>
            <w:vAlign w:val="center"/>
          </w:tcPr>
          <w:p w14:paraId="0BA1003B" w14:textId="77777777" w:rsidR="00AB161B" w:rsidRPr="00AB161B" w:rsidRDefault="00AB161B" w:rsidP="005D4AF3">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2.5</w:t>
            </w:r>
          </w:p>
        </w:tc>
        <w:tc>
          <w:tcPr>
            <w:tcW w:w="1205" w:type="dxa"/>
            <w:shd w:val="clear" w:color="auto" w:fill="FFFFFF" w:themeFill="background1"/>
            <w:vAlign w:val="center"/>
          </w:tcPr>
          <w:p w14:paraId="3A929600" w14:textId="77777777" w:rsidR="00AB161B" w:rsidRPr="00AB161B" w:rsidRDefault="00AB161B" w:rsidP="005D4AF3">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Large</w:t>
            </w:r>
          </w:p>
        </w:tc>
        <w:tc>
          <w:tcPr>
            <w:tcW w:w="1036" w:type="dxa"/>
            <w:vMerge/>
            <w:vAlign w:val="center"/>
          </w:tcPr>
          <w:p w14:paraId="24914B2E" w14:textId="77777777" w:rsidR="00AB161B" w:rsidRPr="00AB161B" w:rsidRDefault="00AB161B" w:rsidP="005D4AF3">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lang w:bidi="fa-IR"/>
              </w:rPr>
            </w:pPr>
          </w:p>
        </w:tc>
      </w:tr>
      <w:tr w:rsidR="00AB161B" w:rsidRPr="00AC555D" w14:paraId="0CFBB6CF" w14:textId="77777777" w:rsidTr="00AB161B">
        <w:trPr>
          <w:cnfStyle w:val="000000100000" w:firstRow="0" w:lastRow="0" w:firstColumn="0" w:lastColumn="0" w:oddVBand="0" w:evenVBand="0" w:oddHBand="1"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2003" w:type="dxa"/>
            <w:shd w:val="clear" w:color="auto" w:fill="FFFFFF" w:themeFill="background1"/>
            <w:vAlign w:val="center"/>
          </w:tcPr>
          <w:p w14:paraId="49B95829" w14:textId="77777777" w:rsidR="00AB161B" w:rsidRPr="00AB161B" w:rsidRDefault="00AB161B" w:rsidP="005D4AF3">
            <w:pPr>
              <w:bidi/>
              <w:spacing w:line="240" w:lineRule="auto"/>
              <w:jc w:val="center"/>
              <w:rPr>
                <w:rFonts w:asciiTheme="majorBidi" w:hAnsiTheme="majorBidi" w:cstheme="majorBidi"/>
                <w:b w:val="0"/>
                <w:bCs w:val="0"/>
                <w:sz w:val="22"/>
                <w:szCs w:val="22"/>
                <w:lang w:bidi="fa-IR"/>
              </w:rPr>
            </w:pPr>
            <w:r w:rsidRPr="00AB161B">
              <w:rPr>
                <w:rFonts w:asciiTheme="majorBidi" w:hAnsiTheme="majorBidi" w:cstheme="majorBidi"/>
                <w:noProof/>
                <w:sz w:val="22"/>
                <w:szCs w:val="22"/>
              </w:rPr>
              <w:drawing>
                <wp:inline distT="0" distB="0" distL="0" distR="0" wp14:anchorId="69234532" wp14:editId="0922907E">
                  <wp:extent cx="481667" cy="342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mall Interior 0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4228" cy="358961"/>
                          </a:xfrm>
                          <a:prstGeom prst="rect">
                            <a:avLst/>
                          </a:prstGeom>
                        </pic:spPr>
                      </pic:pic>
                    </a:graphicData>
                  </a:graphic>
                </wp:inline>
              </w:drawing>
            </w:r>
          </w:p>
        </w:tc>
        <w:tc>
          <w:tcPr>
            <w:tcW w:w="1865" w:type="dxa"/>
            <w:vAlign w:val="center"/>
          </w:tcPr>
          <w:p w14:paraId="6677F888"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tl/>
                <w:lang w:bidi="fa-IR"/>
              </w:rPr>
            </w:pPr>
            <w:r w:rsidRPr="00AB161B">
              <w:rPr>
                <w:rFonts w:asciiTheme="majorBidi" w:hAnsiTheme="majorBidi" w:cstheme="majorBidi"/>
                <w:b/>
                <w:bCs/>
                <w:sz w:val="22"/>
                <w:szCs w:val="22"/>
                <w:lang w:bidi="fa-IR"/>
              </w:rPr>
              <w:t>19</w:t>
            </w:r>
          </w:p>
        </w:tc>
        <w:tc>
          <w:tcPr>
            <w:tcW w:w="1221" w:type="dxa"/>
            <w:vAlign w:val="center"/>
          </w:tcPr>
          <w:p w14:paraId="238658DE"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0.48</w:t>
            </w:r>
          </w:p>
        </w:tc>
        <w:tc>
          <w:tcPr>
            <w:tcW w:w="1370" w:type="dxa"/>
            <w:vAlign w:val="center"/>
          </w:tcPr>
          <w:p w14:paraId="740BFFDB"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0.83</w:t>
            </w:r>
          </w:p>
        </w:tc>
        <w:tc>
          <w:tcPr>
            <w:tcW w:w="1205" w:type="dxa"/>
            <w:vMerge w:val="restart"/>
            <w:shd w:val="clear" w:color="auto" w:fill="FFFFFF" w:themeFill="background1"/>
            <w:vAlign w:val="center"/>
          </w:tcPr>
          <w:p w14:paraId="0B637224"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AB161B">
              <w:rPr>
                <w:rFonts w:asciiTheme="majorBidi" w:hAnsiTheme="majorBidi" w:cstheme="majorBidi"/>
                <w:sz w:val="22"/>
                <w:szCs w:val="22"/>
                <w:lang w:bidi="fa-IR"/>
              </w:rPr>
              <w:t>Small</w:t>
            </w:r>
          </w:p>
        </w:tc>
        <w:tc>
          <w:tcPr>
            <w:tcW w:w="1036" w:type="dxa"/>
            <w:vMerge w:val="restart"/>
            <w:vAlign w:val="center"/>
          </w:tcPr>
          <w:p w14:paraId="011E930B"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lang w:bidi="fa-IR"/>
              </w:rPr>
            </w:pPr>
            <w:r w:rsidRPr="00AB161B">
              <w:rPr>
                <w:rFonts w:asciiTheme="majorBidi" w:hAnsiTheme="majorBidi" w:cstheme="majorBidi"/>
                <w:b/>
                <w:bCs/>
                <w:sz w:val="22"/>
                <w:szCs w:val="22"/>
                <w:lang w:bidi="fa-IR"/>
              </w:rPr>
              <w:t>Interior</w:t>
            </w:r>
          </w:p>
        </w:tc>
      </w:tr>
      <w:tr w:rsidR="00AB161B" w:rsidRPr="00AC555D" w14:paraId="1090515D" w14:textId="77777777" w:rsidTr="00AB161B">
        <w:trPr>
          <w:trHeight w:val="360"/>
          <w:jc w:val="center"/>
        </w:trPr>
        <w:tc>
          <w:tcPr>
            <w:cnfStyle w:val="001000000000" w:firstRow="0" w:lastRow="0" w:firstColumn="1" w:lastColumn="0" w:oddVBand="0" w:evenVBand="0" w:oddHBand="0" w:evenHBand="0" w:firstRowFirstColumn="0" w:firstRowLastColumn="0" w:lastRowFirstColumn="0" w:lastRowLastColumn="0"/>
            <w:tcW w:w="2003" w:type="dxa"/>
            <w:shd w:val="clear" w:color="auto" w:fill="FFFFFF" w:themeFill="background1"/>
            <w:vAlign w:val="center"/>
          </w:tcPr>
          <w:p w14:paraId="2FA0E450" w14:textId="77777777" w:rsidR="00AB161B" w:rsidRPr="00AB161B" w:rsidRDefault="00AB161B" w:rsidP="005D4AF3">
            <w:pPr>
              <w:bidi/>
              <w:spacing w:line="240" w:lineRule="auto"/>
              <w:jc w:val="center"/>
              <w:rPr>
                <w:rFonts w:asciiTheme="majorBidi" w:hAnsiTheme="majorBidi" w:cstheme="majorBidi"/>
                <w:b w:val="0"/>
                <w:bCs w:val="0"/>
                <w:sz w:val="22"/>
                <w:szCs w:val="22"/>
                <w:lang w:bidi="fa-IR"/>
              </w:rPr>
            </w:pPr>
            <w:r w:rsidRPr="00AB161B">
              <w:rPr>
                <w:rFonts w:asciiTheme="majorBidi" w:hAnsiTheme="majorBidi" w:cstheme="majorBidi"/>
                <w:noProof/>
                <w:sz w:val="22"/>
                <w:szCs w:val="22"/>
              </w:rPr>
              <w:drawing>
                <wp:inline distT="0" distB="0" distL="0" distR="0" wp14:anchorId="0E0DF8E2" wp14:editId="4911B80A">
                  <wp:extent cx="470967" cy="335280"/>
                  <wp:effectExtent l="0" t="0" r="5715"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mall Interior 0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97707" cy="354316"/>
                          </a:xfrm>
                          <a:prstGeom prst="rect">
                            <a:avLst/>
                          </a:prstGeom>
                        </pic:spPr>
                      </pic:pic>
                    </a:graphicData>
                  </a:graphic>
                </wp:inline>
              </w:drawing>
            </w:r>
          </w:p>
        </w:tc>
        <w:tc>
          <w:tcPr>
            <w:tcW w:w="1865" w:type="dxa"/>
            <w:vAlign w:val="center"/>
          </w:tcPr>
          <w:p w14:paraId="4A63B07C" w14:textId="77777777" w:rsidR="00AB161B" w:rsidRPr="00AB161B" w:rsidRDefault="00AB161B" w:rsidP="005D4AF3">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rtl/>
                <w:lang w:bidi="fa-IR"/>
              </w:rPr>
            </w:pPr>
            <w:r w:rsidRPr="00AB161B">
              <w:rPr>
                <w:rFonts w:asciiTheme="majorBidi" w:hAnsiTheme="majorBidi" w:cstheme="majorBidi"/>
                <w:b/>
                <w:bCs/>
                <w:sz w:val="22"/>
                <w:szCs w:val="22"/>
                <w:lang w:bidi="fa-IR"/>
              </w:rPr>
              <w:t>17</w:t>
            </w:r>
          </w:p>
        </w:tc>
        <w:tc>
          <w:tcPr>
            <w:tcW w:w="1221" w:type="dxa"/>
            <w:vAlign w:val="center"/>
          </w:tcPr>
          <w:p w14:paraId="6D7657F4" w14:textId="77777777" w:rsidR="00AB161B" w:rsidRPr="00AB161B" w:rsidRDefault="00AB161B" w:rsidP="005D4AF3">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0.7</w:t>
            </w:r>
          </w:p>
        </w:tc>
        <w:tc>
          <w:tcPr>
            <w:tcW w:w="1370" w:type="dxa"/>
            <w:vAlign w:val="center"/>
          </w:tcPr>
          <w:p w14:paraId="70191822" w14:textId="77777777" w:rsidR="00AB161B" w:rsidRPr="00AB161B" w:rsidRDefault="00AB161B" w:rsidP="005D4AF3">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1</w:t>
            </w:r>
          </w:p>
        </w:tc>
        <w:tc>
          <w:tcPr>
            <w:tcW w:w="1205" w:type="dxa"/>
            <w:vMerge/>
            <w:shd w:val="clear" w:color="auto" w:fill="FFFFFF" w:themeFill="background1"/>
            <w:vAlign w:val="center"/>
          </w:tcPr>
          <w:p w14:paraId="0DBFD128" w14:textId="77777777" w:rsidR="00AB161B" w:rsidRPr="00AB161B" w:rsidRDefault="00AB161B" w:rsidP="005D4AF3">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p>
        </w:tc>
        <w:tc>
          <w:tcPr>
            <w:tcW w:w="1036" w:type="dxa"/>
            <w:vMerge/>
            <w:vAlign w:val="center"/>
          </w:tcPr>
          <w:p w14:paraId="12C7A84D" w14:textId="77777777" w:rsidR="00AB161B" w:rsidRPr="00AB161B" w:rsidRDefault="00AB161B" w:rsidP="005D4AF3">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p>
        </w:tc>
      </w:tr>
      <w:tr w:rsidR="00AB161B" w:rsidRPr="00AC555D" w14:paraId="7E73A37B" w14:textId="77777777" w:rsidTr="00E41A8F">
        <w:trPr>
          <w:cnfStyle w:val="000000100000" w:firstRow="0" w:lastRow="0" w:firstColumn="0" w:lastColumn="0" w:oddVBand="0" w:evenVBand="0" w:oddHBand="1" w:evenHBand="0" w:firstRowFirstColumn="0" w:firstRowLastColumn="0" w:lastRowFirstColumn="0" w:lastRowLastColumn="0"/>
          <w:trHeight w:val="1443"/>
          <w:jc w:val="center"/>
        </w:trPr>
        <w:tc>
          <w:tcPr>
            <w:cnfStyle w:val="001000000000" w:firstRow="0" w:lastRow="0" w:firstColumn="1" w:lastColumn="0" w:oddVBand="0" w:evenVBand="0" w:oddHBand="0" w:evenHBand="0" w:firstRowFirstColumn="0" w:firstRowLastColumn="0" w:lastRowFirstColumn="0" w:lastRowLastColumn="0"/>
            <w:tcW w:w="2003" w:type="dxa"/>
            <w:shd w:val="clear" w:color="auto" w:fill="FFFFFF" w:themeFill="background1"/>
            <w:vAlign w:val="center"/>
          </w:tcPr>
          <w:p w14:paraId="0B8E29E4" w14:textId="77777777" w:rsidR="00AB161B" w:rsidRPr="00AB161B" w:rsidRDefault="00AB161B" w:rsidP="005D4AF3">
            <w:pPr>
              <w:bidi/>
              <w:spacing w:line="240" w:lineRule="auto"/>
              <w:jc w:val="center"/>
              <w:rPr>
                <w:rFonts w:asciiTheme="majorBidi" w:hAnsiTheme="majorBidi" w:cstheme="majorBidi"/>
                <w:b w:val="0"/>
                <w:bCs w:val="0"/>
                <w:sz w:val="22"/>
                <w:szCs w:val="22"/>
                <w:lang w:bidi="fa-IR"/>
              </w:rPr>
            </w:pPr>
            <w:r w:rsidRPr="00AB161B">
              <w:rPr>
                <w:rFonts w:asciiTheme="majorBidi" w:hAnsiTheme="majorBidi" w:cstheme="majorBidi"/>
                <w:noProof/>
                <w:sz w:val="22"/>
                <w:szCs w:val="22"/>
              </w:rPr>
              <w:drawing>
                <wp:inline distT="0" distB="0" distL="0" distR="0" wp14:anchorId="47CE2B7A" wp14:editId="4B66CAF9">
                  <wp:extent cx="581890" cy="872836"/>
                  <wp:effectExtent l="0" t="0" r="889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edium Interior 0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87606" cy="881410"/>
                          </a:xfrm>
                          <a:prstGeom prst="rect">
                            <a:avLst/>
                          </a:prstGeom>
                        </pic:spPr>
                      </pic:pic>
                    </a:graphicData>
                  </a:graphic>
                </wp:inline>
              </w:drawing>
            </w:r>
          </w:p>
        </w:tc>
        <w:tc>
          <w:tcPr>
            <w:tcW w:w="1865" w:type="dxa"/>
            <w:vAlign w:val="center"/>
          </w:tcPr>
          <w:p w14:paraId="67E9BFC8"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tl/>
                <w:lang w:bidi="fa-IR"/>
              </w:rPr>
            </w:pPr>
            <w:r w:rsidRPr="00AB161B">
              <w:rPr>
                <w:rFonts w:asciiTheme="majorBidi" w:hAnsiTheme="majorBidi" w:cstheme="majorBidi"/>
                <w:b/>
                <w:bCs/>
                <w:sz w:val="22"/>
                <w:szCs w:val="22"/>
                <w:lang w:bidi="fa-IR"/>
              </w:rPr>
              <w:t>75</w:t>
            </w:r>
          </w:p>
        </w:tc>
        <w:tc>
          <w:tcPr>
            <w:tcW w:w="1221" w:type="dxa"/>
            <w:vAlign w:val="center"/>
          </w:tcPr>
          <w:p w14:paraId="0D6F3F17"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2.6</w:t>
            </w:r>
          </w:p>
        </w:tc>
        <w:tc>
          <w:tcPr>
            <w:tcW w:w="1370" w:type="dxa"/>
            <w:vAlign w:val="center"/>
          </w:tcPr>
          <w:p w14:paraId="7FD40A40"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1</w:t>
            </w:r>
          </w:p>
        </w:tc>
        <w:tc>
          <w:tcPr>
            <w:tcW w:w="1205" w:type="dxa"/>
            <w:vMerge w:val="restart"/>
            <w:shd w:val="clear" w:color="auto" w:fill="FFFFFF" w:themeFill="background1"/>
            <w:vAlign w:val="center"/>
          </w:tcPr>
          <w:p w14:paraId="049A4299"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AB161B">
              <w:rPr>
                <w:rFonts w:asciiTheme="majorBidi" w:hAnsiTheme="majorBidi" w:cstheme="majorBidi"/>
                <w:sz w:val="22"/>
                <w:szCs w:val="22"/>
                <w:lang w:bidi="fa-IR"/>
              </w:rPr>
              <w:t>Medium</w:t>
            </w:r>
          </w:p>
        </w:tc>
        <w:tc>
          <w:tcPr>
            <w:tcW w:w="1036" w:type="dxa"/>
            <w:vMerge/>
            <w:vAlign w:val="center"/>
          </w:tcPr>
          <w:p w14:paraId="2CF9991C"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p>
        </w:tc>
      </w:tr>
      <w:tr w:rsidR="00AB161B" w:rsidRPr="00AC555D" w14:paraId="5A07DD05" w14:textId="77777777" w:rsidTr="00AB161B">
        <w:trPr>
          <w:trHeight w:val="1672"/>
          <w:jc w:val="center"/>
        </w:trPr>
        <w:tc>
          <w:tcPr>
            <w:cnfStyle w:val="001000000000" w:firstRow="0" w:lastRow="0" w:firstColumn="1" w:lastColumn="0" w:oddVBand="0" w:evenVBand="0" w:oddHBand="0" w:evenHBand="0" w:firstRowFirstColumn="0" w:firstRowLastColumn="0" w:lastRowFirstColumn="0" w:lastRowLastColumn="0"/>
            <w:tcW w:w="2003" w:type="dxa"/>
            <w:shd w:val="clear" w:color="auto" w:fill="FFFFFF" w:themeFill="background1"/>
            <w:vAlign w:val="center"/>
          </w:tcPr>
          <w:p w14:paraId="35539D7F" w14:textId="77777777" w:rsidR="00AB161B" w:rsidRPr="00AB161B" w:rsidRDefault="00AB161B" w:rsidP="005D4AF3">
            <w:pPr>
              <w:bidi/>
              <w:spacing w:line="240" w:lineRule="auto"/>
              <w:jc w:val="center"/>
              <w:rPr>
                <w:rFonts w:asciiTheme="majorBidi" w:hAnsiTheme="majorBidi" w:cstheme="majorBidi"/>
                <w:b w:val="0"/>
                <w:bCs w:val="0"/>
                <w:sz w:val="22"/>
                <w:szCs w:val="22"/>
                <w:lang w:bidi="fa-IR"/>
              </w:rPr>
            </w:pPr>
            <w:r w:rsidRPr="00AB161B">
              <w:rPr>
                <w:rFonts w:asciiTheme="majorBidi" w:hAnsiTheme="majorBidi" w:cstheme="majorBidi"/>
                <w:noProof/>
                <w:sz w:val="22"/>
                <w:szCs w:val="22"/>
              </w:rPr>
              <w:drawing>
                <wp:inline distT="0" distB="0" distL="0" distR="0" wp14:anchorId="4185A2A0" wp14:editId="3EBCAABE">
                  <wp:extent cx="680720" cy="1021080"/>
                  <wp:effectExtent l="0" t="0" r="508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edium Interior 02.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90692" cy="1036038"/>
                          </a:xfrm>
                          <a:prstGeom prst="rect">
                            <a:avLst/>
                          </a:prstGeom>
                        </pic:spPr>
                      </pic:pic>
                    </a:graphicData>
                  </a:graphic>
                </wp:inline>
              </w:drawing>
            </w:r>
          </w:p>
        </w:tc>
        <w:tc>
          <w:tcPr>
            <w:tcW w:w="1865" w:type="dxa"/>
            <w:vAlign w:val="center"/>
          </w:tcPr>
          <w:p w14:paraId="63CDD5B2" w14:textId="77777777" w:rsidR="00AB161B" w:rsidRPr="00AB161B" w:rsidRDefault="00AB161B" w:rsidP="005D4AF3">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rtl/>
                <w:lang w:bidi="fa-IR"/>
              </w:rPr>
            </w:pPr>
            <w:r w:rsidRPr="00AB161B">
              <w:rPr>
                <w:rFonts w:asciiTheme="majorBidi" w:hAnsiTheme="majorBidi" w:cstheme="majorBidi"/>
                <w:b/>
                <w:bCs/>
                <w:sz w:val="22"/>
                <w:szCs w:val="22"/>
                <w:lang w:bidi="fa-IR"/>
              </w:rPr>
              <w:t>20</w:t>
            </w:r>
          </w:p>
        </w:tc>
        <w:tc>
          <w:tcPr>
            <w:tcW w:w="1221" w:type="dxa"/>
            <w:vAlign w:val="center"/>
          </w:tcPr>
          <w:p w14:paraId="6A8BEF38" w14:textId="77777777" w:rsidR="00AB161B" w:rsidRPr="00AB161B" w:rsidRDefault="00AB161B" w:rsidP="005D4AF3">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2.39</w:t>
            </w:r>
          </w:p>
        </w:tc>
        <w:tc>
          <w:tcPr>
            <w:tcW w:w="1370" w:type="dxa"/>
            <w:vAlign w:val="center"/>
          </w:tcPr>
          <w:p w14:paraId="15652438" w14:textId="77777777" w:rsidR="00AB161B" w:rsidRPr="00AB161B" w:rsidRDefault="00AB161B" w:rsidP="005D4AF3">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0.73</w:t>
            </w:r>
          </w:p>
        </w:tc>
        <w:tc>
          <w:tcPr>
            <w:tcW w:w="1205" w:type="dxa"/>
            <w:vMerge/>
            <w:shd w:val="clear" w:color="auto" w:fill="FFFFFF" w:themeFill="background1"/>
            <w:vAlign w:val="center"/>
          </w:tcPr>
          <w:p w14:paraId="642B28E5" w14:textId="77777777" w:rsidR="00AB161B" w:rsidRPr="00AB161B" w:rsidRDefault="00AB161B" w:rsidP="005D4AF3">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p>
        </w:tc>
        <w:tc>
          <w:tcPr>
            <w:tcW w:w="1036" w:type="dxa"/>
            <w:vMerge/>
            <w:vAlign w:val="center"/>
          </w:tcPr>
          <w:p w14:paraId="66CCCE01" w14:textId="77777777" w:rsidR="00AB161B" w:rsidRPr="00AB161B" w:rsidRDefault="00AB161B" w:rsidP="005D4AF3">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bidi="fa-IR"/>
              </w:rPr>
            </w:pPr>
          </w:p>
        </w:tc>
      </w:tr>
      <w:tr w:rsidR="00AB161B" w:rsidRPr="00AC555D" w14:paraId="444143AD" w14:textId="77777777" w:rsidTr="00AB161B">
        <w:trPr>
          <w:cnfStyle w:val="000000100000" w:firstRow="0" w:lastRow="0" w:firstColumn="0" w:lastColumn="0" w:oddVBand="0" w:evenVBand="0" w:oddHBand="1" w:evenHBand="0" w:firstRowFirstColumn="0" w:firstRowLastColumn="0" w:lastRowFirstColumn="0" w:lastRowLastColumn="0"/>
          <w:trHeight w:val="1700"/>
          <w:jc w:val="center"/>
        </w:trPr>
        <w:tc>
          <w:tcPr>
            <w:cnfStyle w:val="001000000000" w:firstRow="0" w:lastRow="0" w:firstColumn="1" w:lastColumn="0" w:oddVBand="0" w:evenVBand="0" w:oddHBand="0" w:evenHBand="0" w:firstRowFirstColumn="0" w:firstRowLastColumn="0" w:lastRowFirstColumn="0" w:lastRowLastColumn="0"/>
            <w:tcW w:w="2003" w:type="dxa"/>
            <w:shd w:val="clear" w:color="auto" w:fill="FFFFFF" w:themeFill="background1"/>
            <w:vAlign w:val="center"/>
          </w:tcPr>
          <w:p w14:paraId="7AB6EECA" w14:textId="77777777" w:rsidR="00AB161B" w:rsidRPr="00AB161B" w:rsidRDefault="00AB161B" w:rsidP="005D4AF3">
            <w:pPr>
              <w:bidi/>
              <w:spacing w:line="240" w:lineRule="auto"/>
              <w:jc w:val="center"/>
              <w:rPr>
                <w:rFonts w:asciiTheme="majorBidi" w:hAnsiTheme="majorBidi" w:cstheme="majorBidi"/>
                <w:b w:val="0"/>
                <w:bCs w:val="0"/>
                <w:sz w:val="22"/>
                <w:szCs w:val="22"/>
                <w:lang w:bidi="fa-IR"/>
              </w:rPr>
            </w:pPr>
            <w:r w:rsidRPr="00AB161B">
              <w:rPr>
                <w:rFonts w:asciiTheme="majorBidi" w:hAnsiTheme="majorBidi" w:cstheme="majorBidi"/>
                <w:noProof/>
                <w:sz w:val="22"/>
                <w:szCs w:val="22"/>
              </w:rPr>
              <w:drawing>
                <wp:inline distT="0" distB="0" distL="0" distR="0" wp14:anchorId="66EF13F6" wp14:editId="7CDDB581">
                  <wp:extent cx="635000" cy="9525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arge Interior.jpg"/>
                          <pic:cNvPicPr/>
                        </pic:nvPicPr>
                        <pic:blipFill>
                          <a:blip r:embed="rId36" cstate="print">
                            <a:extLst>
                              <a:ext uri="{28A0092B-C50C-407E-A947-70E740481C1C}">
                                <a14:useLocalDpi xmlns:a14="http://schemas.microsoft.com/office/drawing/2010/main" val="0"/>
                              </a:ext>
                            </a:extLst>
                          </a:blip>
                          <a:stretch>
                            <a:fillRect/>
                          </a:stretch>
                        </pic:blipFill>
                        <pic:spPr>
                          <a:xfrm flipH="1">
                            <a:off x="0" y="0"/>
                            <a:ext cx="652526" cy="978789"/>
                          </a:xfrm>
                          <a:prstGeom prst="rect">
                            <a:avLst/>
                          </a:prstGeom>
                        </pic:spPr>
                      </pic:pic>
                    </a:graphicData>
                  </a:graphic>
                </wp:inline>
              </w:drawing>
            </w:r>
          </w:p>
        </w:tc>
        <w:tc>
          <w:tcPr>
            <w:tcW w:w="1865" w:type="dxa"/>
            <w:vAlign w:val="center"/>
          </w:tcPr>
          <w:p w14:paraId="56F3C3C0"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tl/>
                <w:lang w:bidi="fa-IR"/>
              </w:rPr>
            </w:pPr>
            <w:r w:rsidRPr="00AB161B">
              <w:rPr>
                <w:rFonts w:asciiTheme="majorBidi" w:hAnsiTheme="majorBidi" w:cstheme="majorBidi"/>
                <w:b/>
                <w:bCs/>
                <w:sz w:val="22"/>
                <w:szCs w:val="22"/>
                <w:lang w:bidi="fa-IR"/>
              </w:rPr>
              <w:t>21</w:t>
            </w:r>
          </w:p>
        </w:tc>
        <w:tc>
          <w:tcPr>
            <w:tcW w:w="1221" w:type="dxa"/>
            <w:vAlign w:val="center"/>
          </w:tcPr>
          <w:p w14:paraId="60A98D11"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2.6</w:t>
            </w:r>
          </w:p>
        </w:tc>
        <w:tc>
          <w:tcPr>
            <w:tcW w:w="1370" w:type="dxa"/>
            <w:vAlign w:val="center"/>
          </w:tcPr>
          <w:p w14:paraId="6395A9BA"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fa-IR"/>
              </w:rPr>
            </w:pPr>
            <w:r w:rsidRPr="00AB161B">
              <w:rPr>
                <w:rFonts w:asciiTheme="majorBidi" w:hAnsiTheme="majorBidi" w:cstheme="majorBidi"/>
                <w:sz w:val="22"/>
                <w:szCs w:val="22"/>
                <w:lang w:bidi="fa-IR"/>
              </w:rPr>
              <w:t>1.25</w:t>
            </w:r>
          </w:p>
        </w:tc>
        <w:tc>
          <w:tcPr>
            <w:tcW w:w="1205" w:type="dxa"/>
            <w:shd w:val="clear" w:color="auto" w:fill="FFFFFF" w:themeFill="background1"/>
            <w:vAlign w:val="center"/>
          </w:tcPr>
          <w:p w14:paraId="7F9D3BA1"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r w:rsidRPr="00AB161B">
              <w:rPr>
                <w:rFonts w:asciiTheme="majorBidi" w:hAnsiTheme="majorBidi" w:cstheme="majorBidi"/>
                <w:sz w:val="22"/>
                <w:szCs w:val="22"/>
                <w:lang w:bidi="fa-IR"/>
              </w:rPr>
              <w:t>Large</w:t>
            </w:r>
          </w:p>
        </w:tc>
        <w:tc>
          <w:tcPr>
            <w:tcW w:w="1036" w:type="dxa"/>
            <w:vMerge/>
            <w:vAlign w:val="center"/>
          </w:tcPr>
          <w:p w14:paraId="4E058161" w14:textId="77777777" w:rsidR="00AB161B" w:rsidRPr="00AB161B" w:rsidRDefault="00AB161B" w:rsidP="005D4AF3">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bidi="fa-IR"/>
              </w:rPr>
            </w:pPr>
          </w:p>
        </w:tc>
      </w:tr>
    </w:tbl>
    <w:p w14:paraId="16CE0ABC" w14:textId="77777777" w:rsidR="00AB161B" w:rsidRDefault="00AB161B" w:rsidP="005D4AF3">
      <w:pPr>
        <w:pStyle w:val="Bulletedlist"/>
        <w:spacing w:line="240" w:lineRule="auto"/>
        <w:rPr>
          <w:lang w:bidi="fa-IR"/>
        </w:rPr>
      </w:pPr>
      <w:r w:rsidRPr="00AC555D">
        <w:rPr>
          <w:lang w:bidi="fa-IR"/>
        </w:rPr>
        <w:t>Criterion 18: Relationship between height and width of openings</w:t>
      </w:r>
    </w:p>
    <w:p w14:paraId="797E7B53" w14:textId="77777777" w:rsidR="00E41A8F" w:rsidRPr="00AC555D" w:rsidRDefault="00E41A8F" w:rsidP="005D4AF3">
      <w:pPr>
        <w:pStyle w:val="Paragraph"/>
        <w:spacing w:line="240" w:lineRule="auto"/>
        <w:jc w:val="both"/>
        <w:rPr>
          <w:lang w:bidi="fa-IR"/>
        </w:rPr>
      </w:pPr>
      <w:r w:rsidRPr="00AC555D">
        <w:rPr>
          <w:lang w:bidi="fa-IR"/>
        </w:rPr>
        <w:t>The results of fitting a simple linear regression model show that the height of rectangular openings is on average 83 cm lower than the height of arched openings. It means that more elongated openings are generally arched (R</w:t>
      </w:r>
      <w:r w:rsidRPr="00AC555D">
        <w:rPr>
          <w:vertAlign w:val="superscript"/>
          <w:lang w:bidi="fa-IR"/>
        </w:rPr>
        <w:t>2</w:t>
      </w:r>
      <w:r w:rsidRPr="00AC555D">
        <w:rPr>
          <w:lang w:bidi="fa-IR"/>
        </w:rPr>
        <w:t xml:space="preserve"> = 0.80):</w:t>
      </w:r>
    </w:p>
    <w:p w14:paraId="044E25BA" w14:textId="77777777" w:rsidR="00E41A8F" w:rsidRPr="00AC555D" w:rsidRDefault="00E41A8F" w:rsidP="005D4AF3">
      <w:pPr>
        <w:pStyle w:val="Paragraph"/>
        <w:bidi/>
        <w:spacing w:line="240" w:lineRule="auto"/>
        <w:jc w:val="center"/>
        <w:rPr>
          <w:lang w:bidi="fa-IR"/>
        </w:rPr>
      </w:pPr>
      <w:r w:rsidRPr="00AC555D">
        <w:rPr>
          <w:lang w:bidi="fa-IR"/>
        </w:rPr>
        <w:t xml:space="preserve">H </w:t>
      </w:r>
      <w:r w:rsidRPr="00AC555D">
        <w:rPr>
          <w:vertAlign w:val="subscript"/>
          <w:lang w:bidi="fa-IR"/>
        </w:rPr>
        <w:t>Arch Opening</w:t>
      </w:r>
      <w:r w:rsidRPr="00AC555D">
        <w:rPr>
          <w:lang w:bidi="fa-IR"/>
        </w:rPr>
        <w:t xml:space="preserve">= 2.1 - 0.83 H </w:t>
      </w:r>
      <w:r w:rsidRPr="00AC555D">
        <w:rPr>
          <w:vertAlign w:val="subscript"/>
          <w:lang w:bidi="fa-IR"/>
        </w:rPr>
        <w:t>Rec Opening</w:t>
      </w:r>
    </w:p>
    <w:p w14:paraId="450A0CBD" w14:textId="77777777" w:rsidR="00E41A8F" w:rsidRPr="00AC555D" w:rsidRDefault="00E41A8F" w:rsidP="005D4AF3">
      <w:pPr>
        <w:pStyle w:val="Newparagraph"/>
        <w:spacing w:line="240" w:lineRule="auto"/>
        <w:jc w:val="both"/>
        <w:rPr>
          <w:rtl/>
          <w:lang w:bidi="fa-IR"/>
        </w:rPr>
      </w:pPr>
      <w:r w:rsidRPr="00AC555D">
        <w:rPr>
          <w:lang w:bidi="fa-IR"/>
        </w:rPr>
        <w:t>According to the result of fitting a simple linear regression model in arched openings, the ratio of width to height in small, medium and large size openings follows the following equation (R</w:t>
      </w:r>
      <w:r w:rsidRPr="00AC555D">
        <w:rPr>
          <w:vertAlign w:val="superscript"/>
          <w:lang w:bidi="fa-IR"/>
        </w:rPr>
        <w:t>2</w:t>
      </w:r>
      <w:r w:rsidRPr="00AC555D">
        <w:rPr>
          <w:lang w:bidi="fa-IR"/>
        </w:rPr>
        <w:t xml:space="preserve"> = 0.73):</w:t>
      </w:r>
    </w:p>
    <w:p w14:paraId="2D978308" w14:textId="77777777" w:rsidR="00E41A8F" w:rsidRPr="00AC555D" w:rsidRDefault="00E41A8F" w:rsidP="005D4AF3">
      <w:pPr>
        <w:pStyle w:val="Newparagraph"/>
        <w:bidi/>
        <w:spacing w:line="240" w:lineRule="auto"/>
        <w:jc w:val="center"/>
        <w:rPr>
          <w:lang w:bidi="fa-IR"/>
        </w:rPr>
      </w:pPr>
      <w:r w:rsidRPr="00AC555D">
        <w:rPr>
          <w:lang w:bidi="fa-IR"/>
        </w:rPr>
        <w:t xml:space="preserve">WH </w:t>
      </w:r>
      <w:r w:rsidRPr="00AC555D">
        <w:rPr>
          <w:vertAlign w:val="subscript"/>
          <w:lang w:bidi="fa-IR"/>
        </w:rPr>
        <w:t xml:space="preserve">Large Arch Opening </w:t>
      </w:r>
      <w:r w:rsidRPr="00AC555D">
        <w:rPr>
          <w:lang w:bidi="fa-IR"/>
        </w:rPr>
        <w:t xml:space="preserve">= 3.95 - 1.83 WH </w:t>
      </w:r>
      <w:r w:rsidRPr="00AC555D">
        <w:rPr>
          <w:vertAlign w:val="subscript"/>
          <w:lang w:bidi="fa-IR"/>
        </w:rPr>
        <w:t>Medium Arch Opening</w:t>
      </w:r>
      <w:r w:rsidRPr="00AC555D">
        <w:rPr>
          <w:lang w:bidi="fa-IR"/>
        </w:rPr>
        <w:t xml:space="preserve"> - 2.5 WH </w:t>
      </w:r>
      <w:r w:rsidRPr="00AC555D">
        <w:rPr>
          <w:vertAlign w:val="subscript"/>
          <w:lang w:bidi="fa-IR"/>
        </w:rPr>
        <w:t>Small Arch Opening</w:t>
      </w:r>
    </w:p>
    <w:p w14:paraId="288A919D" w14:textId="77777777" w:rsidR="00E41A8F" w:rsidRPr="00AC555D" w:rsidRDefault="00E41A8F" w:rsidP="005D4AF3">
      <w:pPr>
        <w:pStyle w:val="Newparagraph"/>
        <w:spacing w:line="240" w:lineRule="auto"/>
        <w:jc w:val="both"/>
        <w:rPr>
          <w:rtl/>
          <w:lang w:bidi="fa-IR"/>
        </w:rPr>
      </w:pPr>
      <w:r w:rsidRPr="00AC555D">
        <w:rPr>
          <w:lang w:bidi="fa-IR"/>
        </w:rPr>
        <w:t>According to the result of fitting a simple linear regression model in rectangular openings, the ratio of width to height in small, medium and large size openings follows the following equation (R</w:t>
      </w:r>
      <w:r w:rsidRPr="00AC555D">
        <w:rPr>
          <w:vertAlign w:val="superscript"/>
          <w:lang w:bidi="fa-IR"/>
        </w:rPr>
        <w:t>2</w:t>
      </w:r>
      <w:r w:rsidRPr="00AC555D">
        <w:rPr>
          <w:lang w:bidi="fa-IR"/>
        </w:rPr>
        <w:t xml:space="preserve"> = 0.73):</w:t>
      </w:r>
    </w:p>
    <w:p w14:paraId="6701075A" w14:textId="77777777" w:rsidR="00E41A8F" w:rsidRPr="00AC555D" w:rsidRDefault="00E41A8F" w:rsidP="005D4AF3">
      <w:pPr>
        <w:pStyle w:val="Newparagraph"/>
        <w:bidi/>
        <w:spacing w:line="240" w:lineRule="auto"/>
        <w:jc w:val="center"/>
        <w:rPr>
          <w:rtl/>
          <w:lang w:bidi="fa-IR"/>
        </w:rPr>
      </w:pPr>
      <w:r w:rsidRPr="00AC555D">
        <w:rPr>
          <w:lang w:bidi="fa-IR"/>
        </w:rPr>
        <w:t xml:space="preserve">WH </w:t>
      </w:r>
      <w:r w:rsidRPr="00AC555D">
        <w:rPr>
          <w:vertAlign w:val="subscript"/>
          <w:lang w:bidi="fa-IR"/>
        </w:rPr>
        <w:t xml:space="preserve">Large Rec Opening </w:t>
      </w:r>
      <w:r w:rsidRPr="00AC555D">
        <w:rPr>
          <w:lang w:bidi="fa-IR"/>
        </w:rPr>
        <w:t xml:space="preserve">= 2.73 - 0.83 WH </w:t>
      </w:r>
      <w:r w:rsidRPr="00AC555D">
        <w:rPr>
          <w:vertAlign w:val="subscript"/>
          <w:lang w:bidi="fa-IR"/>
        </w:rPr>
        <w:t>Medium Rec Opening</w:t>
      </w:r>
      <w:r w:rsidRPr="00AC555D">
        <w:rPr>
          <w:lang w:bidi="fa-IR"/>
        </w:rPr>
        <w:t xml:space="preserve"> - 2.02 WH </w:t>
      </w:r>
      <w:r w:rsidRPr="00AC555D">
        <w:rPr>
          <w:vertAlign w:val="subscript"/>
          <w:lang w:bidi="fa-IR"/>
        </w:rPr>
        <w:t>Small Rec Opening</w:t>
      </w:r>
    </w:p>
    <w:p w14:paraId="2D84074D" w14:textId="77777777" w:rsidR="00E41A8F" w:rsidRPr="00E41A8F" w:rsidRDefault="00E41A8F" w:rsidP="005D4AF3">
      <w:pPr>
        <w:pStyle w:val="Heading1"/>
        <w:spacing w:line="240" w:lineRule="auto"/>
        <w:rPr>
          <w:lang w:bidi="fa-IR"/>
        </w:rPr>
      </w:pPr>
      <w:r w:rsidRPr="00E41A8F">
        <w:lastRenderedPageBreak/>
        <w:t xml:space="preserve">4- </w:t>
      </w:r>
      <w:r w:rsidRPr="00E41A8F">
        <w:rPr>
          <w:lang w:bidi="fa-IR"/>
        </w:rPr>
        <w:t>Conclusion</w:t>
      </w:r>
    </w:p>
    <w:p w14:paraId="3D18D543" w14:textId="77777777" w:rsidR="00E41A8F" w:rsidRPr="00AC555D" w:rsidRDefault="00E41A8F" w:rsidP="001230AF">
      <w:pPr>
        <w:pStyle w:val="Paragraph"/>
        <w:spacing w:before="0" w:line="240" w:lineRule="auto"/>
        <w:jc w:val="both"/>
        <w:rPr>
          <w:rtl/>
          <w:lang w:bidi="fa-IR"/>
        </w:rPr>
      </w:pPr>
      <w:r w:rsidRPr="00AC555D">
        <w:rPr>
          <w:lang w:bidi="fa-IR"/>
        </w:rPr>
        <w:t xml:space="preserve">Designing optimal-energy facades is necessary to achieve sustainable architecture. The knowledge that vernacular peoples have acquired about micro-ecosystems over the years has been reflected in vernacular architecture. Thus, vernacular architecture is a collection of solutions that can be used to achieve sustainable architecture. By examining the facades of vernacular houses in Bushehr, the present study sought to discover the solutions used in designing the facades of those houses and to express them in mathematical language that can be used by architects in designing contemporary facades. To achieve this goal, the physical properties of the facades of eight houses were extracted and 16 criteria (6 for exterior facades, 6 for interior facades and 4 for parallel facades) which are important in facade design were </w:t>
      </w:r>
      <w:proofErr w:type="spellStart"/>
      <w:r w:rsidRPr="00AC555D">
        <w:rPr>
          <w:lang w:bidi="fa-IR"/>
        </w:rPr>
        <w:t>analyzed</w:t>
      </w:r>
      <w:proofErr w:type="spellEnd"/>
      <w:r w:rsidRPr="00AC555D">
        <w:rPr>
          <w:lang w:bidi="fa-IR"/>
        </w:rPr>
        <w:t xml:space="preserve"> quantitatively with SPSS software. The results of linear regression analysis showed that out of these 16 criteria, 11 criteria (6 criteria for exterior facades and 5 criteria for interior facades) in Bushehr vernacular buildings can be expressed as linear models.</w:t>
      </w:r>
      <w:r w:rsidRPr="00AC555D">
        <w:rPr>
          <w:rtl/>
          <w:lang w:bidi="fa-IR"/>
        </w:rPr>
        <w:t xml:space="preserve"> </w:t>
      </w:r>
      <w:r w:rsidRPr="00AC555D">
        <w:rPr>
          <w:lang w:bidi="fa-IR"/>
        </w:rPr>
        <w:t>Main conclusions of the results are as follow:</w:t>
      </w:r>
    </w:p>
    <w:p w14:paraId="7CBA3F55" w14:textId="77777777" w:rsidR="00E41A8F" w:rsidRPr="00AC555D" w:rsidRDefault="00E41A8F" w:rsidP="005D4AF3">
      <w:pPr>
        <w:pStyle w:val="Bulletedlist"/>
        <w:spacing w:line="240" w:lineRule="auto"/>
        <w:rPr>
          <w:rtl/>
          <w:lang w:bidi="fa-IR"/>
        </w:rPr>
      </w:pPr>
      <w:r w:rsidRPr="00AC555D">
        <w:rPr>
          <w:lang w:bidi="fa-IR"/>
        </w:rPr>
        <w:t>Exterior Façades</w:t>
      </w:r>
    </w:p>
    <w:p w14:paraId="101C9179" w14:textId="77777777" w:rsidR="00E41A8F" w:rsidRPr="00AC555D" w:rsidRDefault="00E41A8F" w:rsidP="005D4AF3">
      <w:pPr>
        <w:pStyle w:val="Paragraph"/>
        <w:spacing w:line="240" w:lineRule="auto"/>
        <w:jc w:val="both"/>
        <w:rPr>
          <w:lang w:bidi="fa-IR"/>
        </w:rPr>
      </w:pPr>
      <w:r w:rsidRPr="00AC555D">
        <w:rPr>
          <w:lang w:bidi="fa-IR"/>
        </w:rPr>
        <w:t>The area of ​​the exterior facades on all the north, south, east, and west fronts with the area of ​​the openings of the same facade (criteria 1 to 4) follows the linear equations. In this regard, the obtained equation was the same for both the south and east fronts. Comparison of the ratio of openings area to facade area on four fronts in both south and east facades (19%), north facade that does not receive radiation (28%), and west facade that has a great effect on overheating of the building (29%) shows that radiation was not the only effective factor in the design of the openings of the north and west facades. In this case, to achieve more accurate results, it is recommended to future research to examine the samples separately in relation to the passageways and surrounding buildings</w:t>
      </w:r>
      <w:r w:rsidRPr="00AC555D">
        <w:rPr>
          <w:rtl/>
          <w:lang w:bidi="fa-IR"/>
        </w:rPr>
        <w:t>.</w:t>
      </w:r>
    </w:p>
    <w:p w14:paraId="33059085" w14:textId="73C4B660" w:rsidR="00E41A8F" w:rsidRPr="00AC555D" w:rsidRDefault="00E41A8F" w:rsidP="005D4AF3">
      <w:pPr>
        <w:pStyle w:val="Newparagraph"/>
        <w:spacing w:line="240" w:lineRule="auto"/>
        <w:jc w:val="both"/>
        <w:rPr>
          <w:lang w:bidi="fa-IR"/>
        </w:rPr>
      </w:pPr>
      <w:r w:rsidRPr="00AC555D">
        <w:rPr>
          <w:lang w:bidi="fa-IR"/>
        </w:rPr>
        <w:t xml:space="preserve">Also, the ratio of the total area of the openings of the first-floor exterior facade to the area of the </w:t>
      </w:r>
      <w:r w:rsidR="00603ED8" w:rsidRPr="00AC555D">
        <w:rPr>
          <w:lang w:bidi="fa-IR"/>
        </w:rPr>
        <w:t>first-floor</w:t>
      </w:r>
      <w:r w:rsidRPr="00AC555D">
        <w:rPr>
          <w:lang w:bidi="fa-IR"/>
        </w:rPr>
        <w:t xml:space="preserve"> exterior facade (criterion 5) and the ratio of the total area of the openings of the </w:t>
      </w:r>
      <w:r w:rsidR="00603ED8" w:rsidRPr="00AC555D">
        <w:rPr>
          <w:lang w:bidi="fa-IR"/>
        </w:rPr>
        <w:t>second-floor</w:t>
      </w:r>
      <w:r w:rsidRPr="00AC555D">
        <w:rPr>
          <w:lang w:bidi="fa-IR"/>
        </w:rPr>
        <w:t xml:space="preserve"> exterior facade to the area of the second exterior facade (criterion 6) follow two linear equations. Comparison of these two equations shows that the area of the openings used on the second floor is more, which can be due to receiving favourable breeze and wind to create ventilation due to high air humidity</w:t>
      </w:r>
      <w:r w:rsidRPr="00AC555D">
        <w:rPr>
          <w:rtl/>
          <w:lang w:bidi="fa-IR"/>
        </w:rPr>
        <w:t>.</w:t>
      </w:r>
    </w:p>
    <w:p w14:paraId="778615AE" w14:textId="77777777" w:rsidR="00E41A8F" w:rsidRPr="00AC555D" w:rsidRDefault="00E41A8F" w:rsidP="005D4AF3">
      <w:pPr>
        <w:pStyle w:val="Bulletedlist"/>
        <w:spacing w:line="240" w:lineRule="auto"/>
        <w:rPr>
          <w:lang w:bidi="fa-IR"/>
        </w:rPr>
      </w:pPr>
      <w:r w:rsidRPr="00AC555D">
        <w:rPr>
          <w:rFonts w:eastAsiaTheme="minorHAnsi"/>
          <w:lang w:bidi="fa-IR"/>
        </w:rPr>
        <w:t>Interior Façades</w:t>
      </w:r>
    </w:p>
    <w:p w14:paraId="6DFAAC78" w14:textId="77777777" w:rsidR="00E41A8F" w:rsidRPr="00AC555D" w:rsidRDefault="00E41A8F" w:rsidP="005D4AF3">
      <w:pPr>
        <w:pStyle w:val="Paragraph"/>
        <w:spacing w:line="240" w:lineRule="auto"/>
        <w:jc w:val="both"/>
        <w:rPr>
          <w:b/>
          <w:bCs/>
          <w:lang w:bidi="fa-IR"/>
        </w:rPr>
      </w:pPr>
      <w:r w:rsidRPr="00AC555D">
        <w:rPr>
          <w:lang w:bidi="fa-IR"/>
        </w:rPr>
        <w:t>The area of ​​interior facades in the three fronts of north, south, and east with the same area of ​​the interior facades on the same front (criteria 7 to 9) follows the specific linear equations. This variable does not have a specific formula only in the west facade. The climatic reason for it can be the change in the degree of desirability and priority of receiving radiation and wind from this front due to the difference in the environment around the building and the level of shading of adjacent buildings. Also, "the ratio of the total area of ​​the interior facade openings to the area of ​​the interior facade in both the first and second floors is at the lowest level (19%) and equal. The mean and maximum of these ratios, with a difference of 3 and 8%, respectively, are higher on the second floor, which, similar to the exterior facades, can be used to increase receiving breeze and creating ventilation.</w:t>
      </w:r>
    </w:p>
    <w:p w14:paraId="44B765F7" w14:textId="77777777" w:rsidR="00E41A8F" w:rsidRPr="00AC555D" w:rsidRDefault="00E41A8F" w:rsidP="005D4AF3">
      <w:pPr>
        <w:pStyle w:val="Bulletedlist"/>
        <w:spacing w:line="240" w:lineRule="auto"/>
        <w:rPr>
          <w:rtl/>
          <w:lang w:bidi="fa-IR"/>
        </w:rPr>
      </w:pPr>
      <w:r w:rsidRPr="00AC555D">
        <w:rPr>
          <w:rFonts w:eastAsiaTheme="minorHAnsi"/>
          <w:lang w:bidi="fa-IR"/>
        </w:rPr>
        <w:t>Parallel Façades</w:t>
      </w:r>
    </w:p>
    <w:p w14:paraId="4ACF7DA3" w14:textId="77777777" w:rsidR="00E41A8F" w:rsidRPr="00AC555D" w:rsidRDefault="00E41A8F" w:rsidP="005D4AF3">
      <w:pPr>
        <w:pStyle w:val="Paragraph"/>
        <w:spacing w:line="240" w:lineRule="auto"/>
        <w:jc w:val="both"/>
        <w:rPr>
          <w:lang w:bidi="fa-IR"/>
        </w:rPr>
      </w:pPr>
      <w:r w:rsidRPr="00AC555D">
        <w:rPr>
          <w:lang w:bidi="fa-IR"/>
        </w:rPr>
        <w:t xml:space="preserve">Regarding the parallel facades, the ratio of "total area of north exterior façade openings </w:t>
      </w:r>
      <w:r w:rsidRPr="00AC555D">
        <w:rPr>
          <w:lang w:bidi="fa-IR"/>
        </w:rPr>
        <w:lastRenderedPageBreak/>
        <w:t>to north exterior façade area" to "ratio of total area of north interior facade openings to the area of north interior facade " and similar for south, east, and west facades does not follow any linear model.</w:t>
      </w:r>
    </w:p>
    <w:p w14:paraId="1513A5F1" w14:textId="77777777" w:rsidR="00E41A8F" w:rsidRPr="00AC555D" w:rsidRDefault="00E41A8F" w:rsidP="005D4AF3">
      <w:pPr>
        <w:pStyle w:val="Bulletedlist"/>
        <w:spacing w:line="240" w:lineRule="auto"/>
        <w:rPr>
          <w:rtl/>
          <w:lang w:bidi="fa-IR"/>
        </w:rPr>
      </w:pPr>
      <w:r w:rsidRPr="00AC555D">
        <w:rPr>
          <w:rFonts w:eastAsiaTheme="minorHAnsi"/>
          <w:lang w:bidi="fa-IR"/>
        </w:rPr>
        <w:t>Openings</w:t>
      </w:r>
    </w:p>
    <w:p w14:paraId="2DD1CC38" w14:textId="77777777" w:rsidR="00E41A8F" w:rsidRPr="00AC555D" w:rsidRDefault="00E41A8F" w:rsidP="005D4AF3">
      <w:pPr>
        <w:pStyle w:val="Paragraph"/>
        <w:spacing w:line="240" w:lineRule="auto"/>
        <w:jc w:val="both"/>
        <w:rPr>
          <w:rtl/>
          <w:lang w:bidi="fa-IR"/>
        </w:rPr>
      </w:pPr>
      <w:r w:rsidRPr="00AC555D">
        <w:rPr>
          <w:lang w:bidi="fa-IR"/>
        </w:rPr>
        <w:t>The results of the present study also determined the use of openings with different shapes and sizes (criterion 17). Most of the used openings are in medium and small sizes and large openings had been rarely used. More use of medium openings in this climate shows the importance of receiving breeze and ventilation along with reducing received radiation. The use of arched openings is 10% more than arched openings. Also, most medium openings are arched openings and most of small and large openings are rectangular.</w:t>
      </w:r>
      <w:r w:rsidRPr="00AC555D">
        <w:rPr>
          <w:rFonts w:hint="cs"/>
          <w:rtl/>
          <w:lang w:bidi="fa-IR"/>
        </w:rPr>
        <w:t xml:space="preserve"> </w:t>
      </w:r>
      <w:r w:rsidRPr="00AC555D">
        <w:rPr>
          <w:lang w:bidi="fa-IR"/>
        </w:rPr>
        <w:t xml:space="preserve">Accordingly, the most widely used type of opening in Bushehr is medium arched openings. These results allow designers to recognize the use of arched and arched openings as well as small, medium, and large windows, as well as the most widely used ones, and use them in their contemporary designs. Also, the results of this study presented the height-to-width ratio in small, medium, and large openings for both arched openings and arched openings as a linear equation (criterion 18). </w:t>
      </w:r>
    </w:p>
    <w:p w14:paraId="649446A0" w14:textId="77777777" w:rsidR="00E41A8F" w:rsidRDefault="00E41A8F" w:rsidP="005D4AF3">
      <w:pPr>
        <w:pStyle w:val="Newparagraph"/>
        <w:spacing w:line="240" w:lineRule="auto"/>
        <w:jc w:val="both"/>
      </w:pPr>
      <w:r w:rsidRPr="00AC555D">
        <w:rPr>
          <w:lang w:bidi="fa-IR"/>
        </w:rPr>
        <w:t>One of the achievements of this study was recognizing the principles used in designing the interior and exterior facades of Bushehr vernacular architecture. Also, it presented the principles in simple mathematical language in the form of linear models. They allow architects to easily use these principles in designing contemporary facades. To achieve more accurate results, it is recommended to future research to examine this issue in related to the passageways and surrounding building. Although the linear models presented are completely specific to the vernacular architecture of Bushehr, the method presented in this study can be used by other researchers to recognize the principles used in the vernacular facades of other parts of the world</w:t>
      </w:r>
      <w:r w:rsidRPr="00AC555D">
        <w:rPr>
          <w:rtl/>
          <w:lang w:bidi="fa-IR"/>
        </w:rPr>
        <w:t>.</w:t>
      </w:r>
      <w:r w:rsidRPr="00AC555D">
        <w:t xml:space="preserve"> </w:t>
      </w:r>
    </w:p>
    <w:p w14:paraId="6D4DDA4C" w14:textId="77777777" w:rsidR="005D4AF3" w:rsidRPr="00A565CC" w:rsidRDefault="005D4AF3" w:rsidP="005D4AF3">
      <w:pPr>
        <w:shd w:val="clear" w:color="auto" w:fill="FCFCFC"/>
        <w:spacing w:before="160" w:after="80" w:line="240" w:lineRule="auto"/>
        <w:rPr>
          <w:rFonts w:asciiTheme="majorBidi" w:hAnsiTheme="majorBidi" w:cstheme="majorBidi"/>
          <w:b/>
          <w:bCs/>
          <w:lang w:bidi="fa-IR"/>
        </w:rPr>
      </w:pPr>
      <w:r w:rsidRPr="00A565CC">
        <w:rPr>
          <w:rFonts w:asciiTheme="majorBidi" w:hAnsiTheme="majorBidi" w:cstheme="majorBidi"/>
          <w:b/>
          <w:bCs/>
          <w:lang w:bidi="fa-IR"/>
        </w:rPr>
        <w:t>Acknowledgements</w:t>
      </w:r>
    </w:p>
    <w:p w14:paraId="5EBC8F5E" w14:textId="77777777" w:rsidR="005D4AF3" w:rsidRPr="009A5AB2" w:rsidRDefault="005D4AF3" w:rsidP="005D4AF3">
      <w:pPr>
        <w:spacing w:line="240" w:lineRule="auto"/>
        <w:jc w:val="both"/>
        <w:rPr>
          <w:rFonts w:asciiTheme="majorBidi" w:hAnsiTheme="majorBidi" w:cstheme="majorBidi"/>
          <w:lang w:bidi="fa-IR"/>
        </w:rPr>
      </w:pPr>
      <w:r w:rsidRPr="00474FD8">
        <w:rPr>
          <w:rFonts w:asciiTheme="majorBidi" w:hAnsiTheme="majorBidi" w:cstheme="majorBidi"/>
          <w:lang w:bidi="fa-IR"/>
        </w:rPr>
        <w:t>Not applicable</w:t>
      </w:r>
      <w:r w:rsidRPr="009A5AB2">
        <w:rPr>
          <w:rFonts w:asciiTheme="majorBidi" w:hAnsiTheme="majorBidi" w:cstheme="majorBidi"/>
          <w:lang w:bidi="fa-IR"/>
        </w:rPr>
        <w:t xml:space="preserve"> </w:t>
      </w:r>
    </w:p>
    <w:p w14:paraId="10B9928C" w14:textId="77777777" w:rsidR="00E41A8F" w:rsidRDefault="00E41A8F" w:rsidP="005D4AF3">
      <w:pPr>
        <w:pStyle w:val="Newparagraph"/>
        <w:spacing w:line="240" w:lineRule="auto"/>
        <w:jc w:val="both"/>
      </w:pPr>
      <w:r w:rsidRPr="00AC555D">
        <w:rPr>
          <w:rFonts w:asciiTheme="majorBidi" w:hAnsiTheme="majorBidi" w:cstheme="majorBidi"/>
          <w:sz w:val="20"/>
          <w:szCs w:val="20"/>
          <w:lang w:bidi="fa-IR"/>
        </w:rPr>
        <w:br w:type="page"/>
      </w:r>
    </w:p>
    <w:p w14:paraId="3A37C4EC" w14:textId="77777777" w:rsidR="00E41A8F" w:rsidRPr="00AC555D" w:rsidRDefault="00E41A8F" w:rsidP="005D4AF3">
      <w:pPr>
        <w:pStyle w:val="Heading1"/>
        <w:spacing w:before="0" w:after="0" w:line="240" w:lineRule="auto"/>
        <w:rPr>
          <w:rFonts w:asciiTheme="majorBidi" w:hAnsiTheme="majorBidi" w:cstheme="majorBidi"/>
          <w:b w:val="0"/>
          <w:bCs w:val="0"/>
          <w:szCs w:val="24"/>
          <w:rtl/>
          <w:lang w:bidi="fa-IR"/>
        </w:rPr>
      </w:pPr>
      <w:r w:rsidRPr="00AC555D">
        <w:rPr>
          <w:rFonts w:asciiTheme="majorBidi" w:hAnsiTheme="majorBidi" w:cstheme="majorBidi"/>
          <w:szCs w:val="24"/>
          <w:lang w:bidi="fa-IR"/>
        </w:rPr>
        <w:lastRenderedPageBreak/>
        <w:t>References</w:t>
      </w:r>
    </w:p>
    <w:p w14:paraId="491D31EF" w14:textId="2D0ECC82" w:rsidR="008A3122" w:rsidRPr="008A3122" w:rsidRDefault="00E41A8F" w:rsidP="005D4AF3">
      <w:pPr>
        <w:widowControl w:val="0"/>
        <w:autoSpaceDE w:val="0"/>
        <w:autoSpaceDN w:val="0"/>
        <w:adjustRightInd w:val="0"/>
        <w:spacing w:before="120" w:line="240" w:lineRule="auto"/>
        <w:ind w:left="480" w:hanging="480"/>
        <w:rPr>
          <w:noProof/>
        </w:rPr>
      </w:pPr>
      <w:r w:rsidRPr="00AC555D">
        <w:rPr>
          <w:rFonts w:asciiTheme="majorBidi" w:hAnsiTheme="majorBidi" w:cstheme="majorBidi"/>
          <w:szCs w:val="20"/>
        </w:rPr>
        <w:fldChar w:fldCharType="begin" w:fldLock="1"/>
      </w:r>
      <w:r w:rsidRPr="00AC555D">
        <w:rPr>
          <w:rFonts w:asciiTheme="majorBidi" w:hAnsiTheme="majorBidi" w:cstheme="majorBidi"/>
          <w:szCs w:val="20"/>
        </w:rPr>
        <w:instrText xml:space="preserve">ADDIN Mendeley Bibliography CSL_BIBLIOGRAPHY </w:instrText>
      </w:r>
      <w:r w:rsidRPr="00AC555D">
        <w:rPr>
          <w:rFonts w:asciiTheme="majorBidi" w:hAnsiTheme="majorBidi" w:cstheme="majorBidi"/>
          <w:szCs w:val="20"/>
        </w:rPr>
        <w:fldChar w:fldCharType="separate"/>
      </w:r>
      <w:r w:rsidR="008A3122" w:rsidRPr="008A3122">
        <w:rPr>
          <w:noProof/>
        </w:rPr>
        <w:t>Acar Bilgin, Elif. 2019. “Rural Architectural Characteristics and Conservation Issues of Alaaddinbey Village in Bursa, Turkey BT  - Conservation of Architectural Heritage: A Culmination of Selected Research Papers from the Second International Conference on Conservation of Archite.” In , edited by Dean Hawkes, Hocine Bougdah, Federica Rosso, Nicola Cavalagli, Mahmoud Yousef M. Ghoneem, Chaham Alalouch, and Nabil Mohareb, 161–78. Cham: Springer International Publishing. https://doi.org/10.1007/978-3-030-10871-7_14.</w:t>
      </w:r>
    </w:p>
    <w:p w14:paraId="0011793E"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Aflaki, Ardalan, Norhayati Mahyuddin, Zakaria Al-Cheikh Mahmoud, and Mohamad Rizal Baharum. 2015. “A Review on Natural Ventilation Applications through Building Façade Components and Ventilation Openings in Tropical Climates.” </w:t>
      </w:r>
      <w:r w:rsidRPr="008A3122">
        <w:rPr>
          <w:i/>
          <w:iCs/>
          <w:noProof/>
        </w:rPr>
        <w:t>Energy and Buildings</w:t>
      </w:r>
      <w:r w:rsidRPr="008A3122">
        <w:rPr>
          <w:noProof/>
        </w:rPr>
        <w:t xml:space="preserve"> 101: 153–62. https://doi.org/https://doi.org/10.1016/j.enbuild.2015.04.033.</w:t>
      </w:r>
    </w:p>
    <w:p w14:paraId="3964E3B7"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Anna-Maria, Vissilia. 2009. “Evaluation of a Sustainable Greek Vernacular Settlement and Its Landscape: Architectural Typology and Building Physics.” </w:t>
      </w:r>
      <w:r w:rsidRPr="008A3122">
        <w:rPr>
          <w:i/>
          <w:iCs/>
          <w:noProof/>
        </w:rPr>
        <w:t>Building and Environment</w:t>
      </w:r>
      <w:r w:rsidRPr="008A3122">
        <w:rPr>
          <w:noProof/>
        </w:rPr>
        <w:t xml:space="preserve"> 44 (6): 1095–1106. https://doi.org/https://doi.org/10.1016/j.buildenv.2008.05.026.</w:t>
      </w:r>
    </w:p>
    <w:p w14:paraId="6E80B30E"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Askari, Amir Hossein, and Kamariah Dola. 2009. “Influence of Building Façade Visual Elements on Its Historical Image: Case of Kuala Lumpur City, Malaysia.” </w:t>
      </w:r>
      <w:r w:rsidRPr="008A3122">
        <w:rPr>
          <w:i/>
          <w:iCs/>
          <w:noProof/>
        </w:rPr>
        <w:t>Journal of Design and the Built Environment</w:t>
      </w:r>
      <w:r w:rsidRPr="008A3122">
        <w:rPr>
          <w:noProof/>
        </w:rPr>
        <w:t xml:space="preserve"> 5: 49–59.</w:t>
      </w:r>
    </w:p>
    <w:p w14:paraId="5A6203D0"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Ayla, Zeyneb, and Kirenci Eruzun. 2021. “An Analysis of the Plan and Facade Typologies of Boyabat ’ s Traditional Turkish Houses.” </w:t>
      </w:r>
      <w:r w:rsidRPr="008A3122">
        <w:rPr>
          <w:i/>
          <w:iCs/>
          <w:noProof/>
        </w:rPr>
        <w:t>Journal of Sustainable Architecture and Civil Engineering</w:t>
      </w:r>
      <w:r w:rsidRPr="008A3122">
        <w:rPr>
          <w:noProof/>
        </w:rPr>
        <w:t xml:space="preserve"> 1 (28): 40–55. https://doi.org/10.5755/j01.sace.28.1.27947.</w:t>
      </w:r>
    </w:p>
    <w:p w14:paraId="7D3939C5"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Baper, Salahaddin Yasin, and Ahmad Sanusi Hassan. 2012. “Factors Affecting the Continuity of Architectural Identity.” In . Baper, S. Y., &amp; Hassan, A. S. (2012). Factors affecting the continuity of architectural identity. American Transactions on Engineering &amp; Applied Sciences.</w:t>
      </w:r>
    </w:p>
    <w:p w14:paraId="176A3A66"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Bodach, Susanne, Werner Lang, and Johannes Hamhaber. 2014. “Climate Responsive Building Design Strategies of Vernacular Architecture in Nepal.” </w:t>
      </w:r>
      <w:r w:rsidRPr="008A3122">
        <w:rPr>
          <w:i/>
          <w:iCs/>
          <w:noProof/>
        </w:rPr>
        <w:t>Energy and Buildings</w:t>
      </w:r>
      <w:r w:rsidRPr="008A3122">
        <w:rPr>
          <w:noProof/>
        </w:rPr>
        <w:t xml:space="preserve"> 81: 227–42. https://doi.org/https://doi.org/10.1016/j.enbuild.2014.06.022.</w:t>
      </w:r>
    </w:p>
    <w:p w14:paraId="614F0A08"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Boyano, A, P Hernandez, and O Wolf. 2013. “Energy Demands and Potential Savings in European Office Buildings: Case Studies Based on EnergyPlus Simulations.” </w:t>
      </w:r>
      <w:r w:rsidRPr="008A3122">
        <w:rPr>
          <w:i/>
          <w:iCs/>
          <w:noProof/>
        </w:rPr>
        <w:t>Energy and Buildings</w:t>
      </w:r>
      <w:r w:rsidRPr="008A3122">
        <w:rPr>
          <w:noProof/>
        </w:rPr>
        <w:t xml:space="preserve"> 65: 19–28. https://doi.org/https://doi.org/10.1016/j.enbuild.2013.05.039.</w:t>
      </w:r>
    </w:p>
    <w:p w14:paraId="3040D0D7"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Brown, F, Gholam Hossein Memarian, Bryan Edwards, Magda Sibley, M Hakmi, and P Land. 2006. “The Shared Characteristics of Iranian and Arab Courtyard Houses.” In .</w:t>
      </w:r>
    </w:p>
    <w:p w14:paraId="41988C37"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Chandel, S S, Vandna Sharma, and Bhanu M Marwah. 2016. “Review of Energy Efficient Features in Vernacular Architecture for Improving Indoor Thermal Comfort Conditions.” </w:t>
      </w:r>
      <w:r w:rsidRPr="008A3122">
        <w:rPr>
          <w:i/>
          <w:iCs/>
          <w:noProof/>
        </w:rPr>
        <w:t>Renewable and Sustainable Energy Reviews</w:t>
      </w:r>
      <w:r w:rsidRPr="008A3122">
        <w:rPr>
          <w:noProof/>
        </w:rPr>
        <w:t xml:space="preserve"> 65 (C): 459–77. https://econpapers.repec.org/RePEc:eee:rensus:v:65:y:2016:i:c:p:459-477.</w:t>
      </w:r>
    </w:p>
    <w:p w14:paraId="1447F818"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Desogus, Giuseppe, Leonardo Giuseppe Felice Cannas, and Antonello Sanna. 2016. “Bioclimatic Lessons from Mediterranean Vernacular Architecture: The Sardinian </w:t>
      </w:r>
      <w:r w:rsidRPr="008A3122">
        <w:rPr>
          <w:noProof/>
        </w:rPr>
        <w:lastRenderedPageBreak/>
        <w:t xml:space="preserve">Case Study.” </w:t>
      </w:r>
      <w:r w:rsidRPr="008A3122">
        <w:rPr>
          <w:i/>
          <w:iCs/>
          <w:noProof/>
        </w:rPr>
        <w:t>Energy and Buildings</w:t>
      </w:r>
      <w:r w:rsidRPr="008A3122">
        <w:rPr>
          <w:noProof/>
        </w:rPr>
        <w:t xml:space="preserve"> 129: 574–88. https://doi.org/https://doi.org/10.1016/j.enbuild.2016.07.051.</w:t>
      </w:r>
    </w:p>
    <w:p w14:paraId="28056997"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Dili, A. S., M. A. Naseer, and T. Zacharia Varghese. 2010. “Passive Environment Control System of Kerala Vernacular Residential Architecture for a Comfortable Indoor Environment: A Qualitative and Quantitative Analyses.” </w:t>
      </w:r>
      <w:r w:rsidRPr="008A3122">
        <w:rPr>
          <w:i/>
          <w:iCs/>
          <w:noProof/>
        </w:rPr>
        <w:t>Energy and Buildings</w:t>
      </w:r>
      <w:r w:rsidRPr="008A3122">
        <w:rPr>
          <w:noProof/>
        </w:rPr>
        <w:t xml:space="preserve"> 42 (6): 917–27. https://doi.org/10.1016/j.enbuild.2010.01.002.</w:t>
      </w:r>
    </w:p>
    <w:p w14:paraId="72B09A86"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Du, Xiaoyu, Regina Bokel, and Andy Dobbelsteen. 2014. “Building Microclimate and Summer Thermal Comfort in Free-Running Buildings with Diverse Spaces: A Chinese Vernacular House Case.” </w:t>
      </w:r>
      <w:r w:rsidRPr="008A3122">
        <w:rPr>
          <w:i/>
          <w:iCs/>
          <w:noProof/>
        </w:rPr>
        <w:t>Building and Environment</w:t>
      </w:r>
      <w:r w:rsidRPr="008A3122">
        <w:rPr>
          <w:noProof/>
        </w:rPr>
        <w:t xml:space="preserve"> 82 (December): 215–227. https://doi.org/10.1016/j.buildenv.2014.08.022.</w:t>
      </w:r>
    </w:p>
    <w:p w14:paraId="7C24EA42"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Eshrati, Parastoo, Mohammad Kazem Namazi, Dorna Eshrati, and Somayeh Fadaei Nezhad Bahramjerdi. 2016. “Intimating Girls’ Schools With an Emphasis on Vernacular Architecture Bushehr City.” </w:t>
      </w:r>
      <w:r w:rsidRPr="008A3122">
        <w:rPr>
          <w:i/>
          <w:iCs/>
          <w:noProof/>
        </w:rPr>
        <w:t>Jria</w:t>
      </w:r>
      <w:r w:rsidRPr="008A3122">
        <w:rPr>
          <w:noProof/>
        </w:rPr>
        <w:t xml:space="preserve"> 4 (2): 37–56. http://jria.iust.ac.ir/article-1-485-en.html.</w:t>
      </w:r>
    </w:p>
    <w:p w14:paraId="2F3BCF41"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Foged, Isak W. 2019. “Thermal Responsive Performances of a Spanish Balcony-Based Vernacular Envelope.” </w:t>
      </w:r>
      <w:r w:rsidRPr="008A3122">
        <w:rPr>
          <w:i/>
          <w:iCs/>
          <w:noProof/>
        </w:rPr>
        <w:t xml:space="preserve">Buildings </w:t>
      </w:r>
      <w:r w:rsidRPr="008A3122">
        <w:rPr>
          <w:noProof/>
        </w:rPr>
        <w:t>. https://doi.org/10.3390/buildings9040080.</w:t>
      </w:r>
    </w:p>
    <w:p w14:paraId="248AAC09"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Frampton, Kenneth. 2002. “Botticher, Semper and the Tectonic: Core Form and Art.” In </w:t>
      </w:r>
      <w:r w:rsidRPr="008A3122">
        <w:rPr>
          <w:i/>
          <w:iCs/>
          <w:noProof/>
        </w:rPr>
        <w:t>What Is Architecture?</w:t>
      </w:r>
      <w:r w:rsidRPr="008A3122">
        <w:rPr>
          <w:noProof/>
        </w:rPr>
        <w:t>, edited by Andrew Ballantyne, 1st Editio, 138–52. London and New York: Routledge Ltd. https://doi.org/https://doi.org/10.4324/9781315012933.</w:t>
      </w:r>
    </w:p>
    <w:p w14:paraId="76F68A51"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Goia, Francesco. 2016. “Search for the Optimal Window-to-Wall Ratio in Office Buildings in Different European Climates and the Implications on Total Energy Saving Potential.” </w:t>
      </w:r>
      <w:r w:rsidRPr="008A3122">
        <w:rPr>
          <w:i/>
          <w:iCs/>
          <w:noProof/>
        </w:rPr>
        <w:t>Solar Energy</w:t>
      </w:r>
      <w:r w:rsidRPr="008A3122">
        <w:rPr>
          <w:noProof/>
        </w:rPr>
        <w:t xml:space="preserve"> 132: 467–92. https://doi.org/https://doi.org/10.1016/j.solener.2016.03.031.</w:t>
      </w:r>
    </w:p>
    <w:p w14:paraId="6B253657"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Grynning, Steinar, Arild Gustavsen, Berit Time, and Bjørn Petter Jelle. 2013. “Windows in the Buildings of Tomorrow: Energy Losers or Energy Gainers?” </w:t>
      </w:r>
      <w:r w:rsidRPr="008A3122">
        <w:rPr>
          <w:i/>
          <w:iCs/>
          <w:noProof/>
        </w:rPr>
        <w:t>Energy and Buildings</w:t>
      </w:r>
      <w:r w:rsidRPr="008A3122">
        <w:rPr>
          <w:noProof/>
        </w:rPr>
        <w:t xml:space="preserve"> 61: 185–92. https://doi.org/https://doi.org/10.1016/j.enbuild.2013.02.029.</w:t>
      </w:r>
    </w:p>
    <w:p w14:paraId="0DA29D9F"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Hachem, Caroline, and Mohanmed Elsayed. 2016. “Patterns of Façade System Design for Enhanced Energy Performance of Multistory Buildings.” </w:t>
      </w:r>
      <w:r w:rsidRPr="008A3122">
        <w:rPr>
          <w:i/>
          <w:iCs/>
          <w:noProof/>
        </w:rPr>
        <w:t>Energy and Buildings</w:t>
      </w:r>
      <w:r w:rsidRPr="008A3122">
        <w:rPr>
          <w:noProof/>
        </w:rPr>
        <w:t xml:space="preserve"> 130: 366–77. https://doi.org/https://doi.org/10.1016/j.enbuild.2016.08.051.</w:t>
      </w:r>
    </w:p>
    <w:p w14:paraId="32859389"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Hayashi, Tomomi. 2004. “‘Lasnamäe Track and Field Centre:Façade, MAJA Estonian Architectural Review,’” May 2004. https://www.solness.ee/majaeng/index-gid=60&amp;id=323.html.</w:t>
      </w:r>
    </w:p>
    <w:p w14:paraId="4979C024"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HEDAYAT, AZAM, and PARASTOO ESHRATI. 2021. “Typology of Tarmeh in the Historic City of Bushehr.” </w:t>
      </w:r>
      <w:r w:rsidRPr="008A3122">
        <w:rPr>
          <w:i/>
          <w:iCs/>
          <w:noProof/>
        </w:rPr>
        <w:t>HOUSING AND RURAL ENVIRONMENT</w:t>
      </w:r>
      <w:r w:rsidRPr="008A3122">
        <w:rPr>
          <w:noProof/>
        </w:rPr>
        <w:t xml:space="preserve"> 39 (172 #T001049): 106–19. https://www.sid.ir/en/Journal/ViewPaper.aspx?ID=815846.</w:t>
      </w:r>
    </w:p>
    <w:p w14:paraId="5ECD08F5"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Heiselberg, Per, Erik Bjørn, and Peter Nielsen. 2002. “Impact of Open Windows on Room Air Flow and Thermal Comfort.” </w:t>
      </w:r>
      <w:r w:rsidRPr="008A3122">
        <w:rPr>
          <w:i/>
          <w:iCs/>
          <w:noProof/>
        </w:rPr>
        <w:t>International Journal of Ventilation</w:t>
      </w:r>
      <w:r w:rsidRPr="008A3122">
        <w:rPr>
          <w:noProof/>
        </w:rPr>
        <w:t xml:space="preserve"> 1 (October): 91–100. https://doi.org/10.1080/14733315.2002.11683625.</w:t>
      </w:r>
    </w:p>
    <w:p w14:paraId="7ADD7DB6"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Hoelscher, Marie-Therese, Thomas Nehls, Britta Jänicke, and Gerd Wessolek. 2016. “Quantifying Cooling Effects of Facade Greening: Shading, Transpiration and Insulation.” </w:t>
      </w:r>
      <w:r w:rsidRPr="008A3122">
        <w:rPr>
          <w:i/>
          <w:iCs/>
          <w:noProof/>
        </w:rPr>
        <w:t>Energy and Buildings</w:t>
      </w:r>
      <w:r w:rsidRPr="008A3122">
        <w:rPr>
          <w:noProof/>
        </w:rPr>
        <w:t xml:space="preserve"> 114: 283–90. https://doi.org/https://doi.org/10.1016/j.enbuild.2015.06.047.</w:t>
      </w:r>
    </w:p>
    <w:p w14:paraId="1E2C9FBD"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lastRenderedPageBreak/>
        <w:t xml:space="preserve">Hosseini, Seyedeh, Morteza Hosseini, and Milad Heiranipour. 2020. “The Role of Orosi’s Islamic Geometric Patterns in the Building Façade Design for Improving Occupants’ Daylight Performance.” </w:t>
      </w:r>
      <w:r w:rsidRPr="008A3122">
        <w:rPr>
          <w:i/>
          <w:iCs/>
          <w:noProof/>
        </w:rPr>
        <w:t>Journal of Daylighting</w:t>
      </w:r>
      <w:r w:rsidRPr="008A3122">
        <w:rPr>
          <w:noProof/>
        </w:rPr>
        <w:t xml:space="preserve"> 7 (November): 201–21.</w:t>
      </w:r>
    </w:p>
    <w:p w14:paraId="30F8C970"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Ihara, Takeshi, Arild Gustavsen, and Bjørn Petter Jelle. 2015. “Effect of Facade Components on Energy Efficiency in Office Buildings.” </w:t>
      </w:r>
      <w:r w:rsidRPr="008A3122">
        <w:rPr>
          <w:i/>
          <w:iCs/>
          <w:noProof/>
        </w:rPr>
        <w:t>Applied Energy</w:t>
      </w:r>
      <w:r w:rsidRPr="008A3122">
        <w:rPr>
          <w:noProof/>
        </w:rPr>
        <w:t xml:space="preserve"> 158: 422–32. https://doi.org/https://doi.org/10.1016/j.apenergy.2015.08.074.</w:t>
      </w:r>
    </w:p>
    <w:p w14:paraId="535494DE"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Karimi, Bagher. 2012. “Persian Gulf Architecture The Effect Of Bushehr Old Tissue On The Culture And Architecture Of The Persian Gulf Countries (Case Study: Al-Bastakiyeh Neighborhood In Dubai).” </w:t>
      </w:r>
      <w:r w:rsidRPr="008A3122">
        <w:rPr>
          <w:i/>
          <w:iCs/>
          <w:noProof/>
        </w:rPr>
        <w:t>HOVIAT-E-SHAHR</w:t>
      </w:r>
      <w:r w:rsidRPr="008A3122">
        <w:rPr>
          <w:noProof/>
        </w:rPr>
        <w:t xml:space="preserve"> 6 (11): 85–96.</w:t>
      </w:r>
    </w:p>
    <w:p w14:paraId="6EDFF7EA"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Khajehzadeh, Iman, Brenda Vale, and Fatemeh Yavari. 2016. “A Comparison of the Traditional Use of Court Houses in Two Cities.” </w:t>
      </w:r>
      <w:r w:rsidRPr="008A3122">
        <w:rPr>
          <w:i/>
          <w:iCs/>
          <w:noProof/>
        </w:rPr>
        <w:t>International Journal of Sustainable Built Environment</w:t>
      </w:r>
      <w:r w:rsidRPr="008A3122">
        <w:rPr>
          <w:noProof/>
        </w:rPr>
        <w:t xml:space="preserve"> 5 (2): 470–83. https://doi.org/10.1016/j.ijsbe.2016.05.010.</w:t>
      </w:r>
    </w:p>
    <w:p w14:paraId="2136C219"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Konstantoglou, Maria, and Aris Tsangrassoulis. 2016. “Dynamic Operation of Daylighting and Shading Systems: A Literature Review.” </w:t>
      </w:r>
      <w:r w:rsidRPr="008A3122">
        <w:rPr>
          <w:i/>
          <w:iCs/>
          <w:noProof/>
        </w:rPr>
        <w:t>Renewable and Sustainable Energy Reviews</w:t>
      </w:r>
      <w:r w:rsidRPr="008A3122">
        <w:rPr>
          <w:noProof/>
        </w:rPr>
        <w:t xml:space="preserve"> 60: 268–83. https://doi.org/https://doi.org/10.1016/j.rser.2015.12.246.</w:t>
      </w:r>
    </w:p>
    <w:p w14:paraId="4CC0F6BF"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Kubota, Tetsu, and Doris Hooi Chyee Toe. 2015. “Application of Passive Cooling Techniques in Vernacular Houses to Modern Urban Houses: A Case Study of Malaysia.” </w:t>
      </w:r>
      <w:r w:rsidRPr="008A3122">
        <w:rPr>
          <w:i/>
          <w:iCs/>
          <w:noProof/>
        </w:rPr>
        <w:t>Procedia - Social and Behavioral Sciences</w:t>
      </w:r>
      <w:r w:rsidRPr="008A3122">
        <w:rPr>
          <w:noProof/>
        </w:rPr>
        <w:t xml:space="preserve"> 179: 29–39. https://doi.org/https://doi.org/10.1016/j.sbspro.2015.02.408.</w:t>
      </w:r>
    </w:p>
    <w:p w14:paraId="21C6EA09"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Lau, Allen Khin Kiet, Elias Salleh, Chin Haw Lim, and Mohamad Yusof Sulaiman. 2016. “Potential of Shading Devices and Glazing Configurations on Cooling Energy Savings for High-Rise Office Buildings in Hot-Humid Climates: The Case of Malaysia.” </w:t>
      </w:r>
      <w:r w:rsidRPr="008A3122">
        <w:rPr>
          <w:i/>
          <w:iCs/>
          <w:noProof/>
        </w:rPr>
        <w:t>International Journal of Sustainable Built Environment</w:t>
      </w:r>
      <w:r w:rsidRPr="008A3122">
        <w:rPr>
          <w:noProof/>
        </w:rPr>
        <w:t xml:space="preserve"> 5 (2): 387–99. https://doi.org/https://doi.org/10.1016/j.ijsbe.2016.04.004.</w:t>
      </w:r>
    </w:p>
    <w:p w14:paraId="670D1D48"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Lee, Jeehwan, and Jae D Chang. 2015. “Influence on Vertical Shading Device Orientation and Thickness on the Natural Ventilation and Acoustical Performance of a Double Skin Facade.” </w:t>
      </w:r>
      <w:r w:rsidRPr="008A3122">
        <w:rPr>
          <w:i/>
          <w:iCs/>
          <w:noProof/>
        </w:rPr>
        <w:t>Procedia Engineering</w:t>
      </w:r>
      <w:r w:rsidRPr="008A3122">
        <w:rPr>
          <w:noProof/>
        </w:rPr>
        <w:t xml:space="preserve"> 118: 304–9. https://doi.org/https://doi.org/10.1016/j.proeng.2015.08.431.</w:t>
      </w:r>
    </w:p>
    <w:p w14:paraId="7D292DF7"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Luca, Francesco De, Hendrik Voll, and Martin Thalfeldt. 2016. “Horizontal or Vertical? Windows’ Layout Selection for Shading Devices Optimization.” </w:t>
      </w:r>
      <w:r w:rsidRPr="008A3122">
        <w:rPr>
          <w:i/>
          <w:iCs/>
          <w:noProof/>
        </w:rPr>
        <w:t>Management of Environmental Quality: An International Journal</w:t>
      </w:r>
      <w:r w:rsidRPr="008A3122">
        <w:rPr>
          <w:noProof/>
        </w:rPr>
        <w:t xml:space="preserve"> 27 (6): 623–33. https://doi.org/10.1108/MEQ-05-2015-0102.</w:t>
      </w:r>
    </w:p>
    <w:p w14:paraId="2FD562A1"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Mangkuto, Rizki A, Mardliyahtur Rohmah, and Anindya Dian Asri. 2016. “Design Optimisation for Window Size, Orientation, and Wall Reflectance with Regard to Various Daylight Metrics and Lighting Energy Demand: A Case Study of Buildings in the Tropics.” </w:t>
      </w:r>
      <w:r w:rsidRPr="008A3122">
        <w:rPr>
          <w:i/>
          <w:iCs/>
          <w:noProof/>
        </w:rPr>
        <w:t>Applied Energy</w:t>
      </w:r>
      <w:r w:rsidRPr="008A3122">
        <w:rPr>
          <w:noProof/>
        </w:rPr>
        <w:t xml:space="preserve"> 164: 211–19. https://doi.org/https://doi.org/10.1016/j.apenergy.2015.11.046.</w:t>
      </w:r>
    </w:p>
    <w:p w14:paraId="283584BE"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Memarian, Gholamhossein, and Frank Edward Brown. 2003. “CLIMATE, CULTURE, AND RELIGION: ASPECTS OF THE TRADITIONAL COURTYARD HOUSE IN IRAN.” </w:t>
      </w:r>
      <w:r w:rsidRPr="008A3122">
        <w:rPr>
          <w:i/>
          <w:iCs/>
          <w:noProof/>
        </w:rPr>
        <w:t>Journal of Architectural and Planning Research</w:t>
      </w:r>
      <w:r w:rsidRPr="008A3122">
        <w:rPr>
          <w:noProof/>
        </w:rPr>
        <w:t xml:space="preserve"> 20 (3): 181–98. http://www.jstor.org/stable/43030659.</w:t>
      </w:r>
    </w:p>
    <w:p w14:paraId="28324717"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Montazeri, H., F. Montazeri, R. Azizian, and S. Mostafavi. 2010. “Two-Sided Wind </w:t>
      </w:r>
      <w:r w:rsidRPr="008A3122">
        <w:rPr>
          <w:noProof/>
        </w:rPr>
        <w:lastRenderedPageBreak/>
        <w:t xml:space="preserve">Catcher Performance Evaluation Using Experimental, Numerical and Analytical Modeling.” </w:t>
      </w:r>
      <w:r w:rsidRPr="008A3122">
        <w:rPr>
          <w:i/>
          <w:iCs/>
          <w:noProof/>
        </w:rPr>
        <w:t>Renewable Energy</w:t>
      </w:r>
      <w:r w:rsidRPr="008A3122">
        <w:rPr>
          <w:noProof/>
        </w:rPr>
        <w:t xml:space="preserve"> 35 (7): 1424–35. https://doi.org/10.1016/j.renene.2009.12.003.</w:t>
      </w:r>
    </w:p>
    <w:p w14:paraId="2BDDFD92"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Montazeri, H., Y. Toparlar, B. Blocken, and J. L.M. Hensen. 2017. “Simulating the Cooling Effects of Water Spray Systems in Urban Landscapes: A Computational Fluid Dynamics Study in Rotterdam, The Netherlands.” </w:t>
      </w:r>
      <w:r w:rsidRPr="008A3122">
        <w:rPr>
          <w:i/>
          <w:iCs/>
          <w:noProof/>
        </w:rPr>
        <w:t>Landscape and Urban Planning</w:t>
      </w:r>
      <w:r w:rsidRPr="008A3122">
        <w:rPr>
          <w:noProof/>
        </w:rPr>
        <w:t xml:space="preserve"> 159 (March): 85–100. https://doi.org/10.1016/J.LANDURBPLAN.2016.10.001.</w:t>
      </w:r>
    </w:p>
    <w:p w14:paraId="7E559710"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Montazeri, Hamid. 2011. “Experimental and Numerical Study on Natural Ventilation Performance of Various Multi-Opening Wind Catchers.” </w:t>
      </w:r>
      <w:r w:rsidRPr="008A3122">
        <w:rPr>
          <w:i/>
          <w:iCs/>
          <w:noProof/>
        </w:rPr>
        <w:t>Building and Environment</w:t>
      </w:r>
      <w:r w:rsidRPr="008A3122">
        <w:rPr>
          <w:noProof/>
        </w:rPr>
        <w:t xml:space="preserve"> 46 (2): 370–78. https://doi.org/https://doi.org/10.1016/j.buildenv.2010.07.031.</w:t>
      </w:r>
    </w:p>
    <w:p w14:paraId="34913687"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Motealleh, Parinaz, Maryam Zolfaghari, and Mojtaba Parsaee. 2018. “Investigating Climate Responsive Solutions in Vernacular Architecture of Bushehr City.” </w:t>
      </w:r>
      <w:r w:rsidRPr="008A3122">
        <w:rPr>
          <w:i/>
          <w:iCs/>
          <w:noProof/>
        </w:rPr>
        <w:t>HBRC Journal</w:t>
      </w:r>
      <w:r w:rsidRPr="008A3122">
        <w:rPr>
          <w:noProof/>
        </w:rPr>
        <w:t xml:space="preserve"> 14 (2): 215–23. https://doi.org/10.1016/j.hbrcj.2016.08.001.</w:t>
      </w:r>
    </w:p>
    <w:p w14:paraId="41E59A4E"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Motuzienė, Violeta, and Egidijus Juodis. 2010. “Simulation Based Complex Energy Assessment of Office Building Fenestration.” </w:t>
      </w:r>
      <w:r w:rsidRPr="008A3122">
        <w:rPr>
          <w:i/>
          <w:iCs/>
          <w:noProof/>
        </w:rPr>
        <w:t>JOURNAL OF CIVIL ENGINEERING AND MANAGEMENT</w:t>
      </w:r>
      <w:r w:rsidRPr="008A3122">
        <w:rPr>
          <w:noProof/>
        </w:rPr>
        <w:t xml:space="preserve"> 16 (September): 345–51. https://doi.org/10.3846/jcem.2010.39.</w:t>
      </w:r>
    </w:p>
    <w:p w14:paraId="205D8432"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Namazi, Mohammad, Parastoo Eshrati, Dorna Eshrati, and Somayeh Fadaei Nezhad Bahramjerdi. 2016. “The Study of Effective Components in Façade Engineering Towards Developing a Conceptual Framework.” </w:t>
      </w:r>
      <w:r w:rsidRPr="008A3122">
        <w:rPr>
          <w:i/>
          <w:iCs/>
          <w:noProof/>
        </w:rPr>
        <w:t>Journal of Applied Environmental and Biological Sciences</w:t>
      </w:r>
      <w:r w:rsidRPr="008A3122">
        <w:rPr>
          <w:noProof/>
        </w:rPr>
        <w:t xml:space="preserve"> 6 (January): 61–68.</w:t>
      </w:r>
    </w:p>
    <w:p w14:paraId="3EA52E2F"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Nguyen, Anh Tuan, Tran Quoc Bao, Duc-Quang Tran, and Sigrid Reiter. 2011. “An Investigation on Climate Responsive Design Strategies of Vernacular Housing in Vietnam.” </w:t>
      </w:r>
      <w:r w:rsidRPr="008A3122">
        <w:rPr>
          <w:i/>
          <w:iCs/>
          <w:noProof/>
        </w:rPr>
        <w:t>Building and Environment</w:t>
      </w:r>
      <w:r w:rsidRPr="008A3122">
        <w:rPr>
          <w:noProof/>
        </w:rPr>
        <w:t xml:space="preserve"> 46 (October): 2088–2106. https://doi.org/10.1016/j.buildenv.2011.04.019.</w:t>
      </w:r>
    </w:p>
    <w:p w14:paraId="61E98781"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Nikghadam, Niloofar. 2016. “Airflow and Radiation Impact on Moderating Heat Conditions in the Bushehr Houses (Case Study: Golshan House).” </w:t>
      </w:r>
      <w:r w:rsidRPr="008A3122">
        <w:rPr>
          <w:i/>
          <w:iCs/>
          <w:noProof/>
        </w:rPr>
        <w:t>Journal of Iranian  Architecture &amp; Urbanism(JIAU)</w:t>
      </w:r>
      <w:r w:rsidRPr="008A3122">
        <w:rPr>
          <w:noProof/>
        </w:rPr>
        <w:t xml:space="preserve"> 7 (2): 29–46. https://doi.org/10.30475/isau.2017.62028.</w:t>
      </w:r>
    </w:p>
    <w:p w14:paraId="5700562D"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Okba, Ehab. 2005. “Building Envelope Design as a Passive Cooling Technique.” </w:t>
      </w:r>
      <w:r w:rsidRPr="008A3122">
        <w:rPr>
          <w:i/>
          <w:iCs/>
          <w:noProof/>
        </w:rPr>
        <w:t>International Conference “Passive and Low Energy Cooling for the Built Environment.”</w:t>
      </w:r>
    </w:p>
    <w:p w14:paraId="42F6CEEB"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Philokyprou, Maria, Aimilios Michael, Eleni Malaktou, and Andreas Savvides. 2017. “Environmentally Responsive Design in Eastern Mediterranean. The Case of Vernacular Architecture in the Coastal, Lowland and Mountainous Regions of Cyprus.” </w:t>
      </w:r>
      <w:r w:rsidRPr="008A3122">
        <w:rPr>
          <w:i/>
          <w:iCs/>
          <w:noProof/>
        </w:rPr>
        <w:t>Building and Environment</w:t>
      </w:r>
      <w:r w:rsidRPr="008A3122">
        <w:rPr>
          <w:noProof/>
        </w:rPr>
        <w:t xml:space="preserve"> 111: 91–109.</w:t>
      </w:r>
    </w:p>
    <w:p w14:paraId="116CEDA8"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Pikas, Ergo, Martin Thalfeldt, and Jarek Kurnitski. 2014. “Cost Optimal and Nearly Zero Energy Building Solutions for Office Buildings.” </w:t>
      </w:r>
      <w:r w:rsidRPr="008A3122">
        <w:rPr>
          <w:i/>
          <w:iCs/>
          <w:noProof/>
        </w:rPr>
        <w:t>Energy and Buildings</w:t>
      </w:r>
      <w:r w:rsidRPr="008A3122">
        <w:rPr>
          <w:noProof/>
        </w:rPr>
        <w:t xml:space="preserve"> 74 (May): 30–42. https://doi.org/10.1016/j.enbuild.2014.01.039.</w:t>
      </w:r>
    </w:p>
    <w:p w14:paraId="1AE6092B"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Poirazis, Harris, Åke Blomsterberg, and Maria Wall. 2008. “Energy Simulations for Glazed Office Buildings in Sweden.” </w:t>
      </w:r>
      <w:r w:rsidRPr="008A3122">
        <w:rPr>
          <w:i/>
          <w:iCs/>
          <w:noProof/>
        </w:rPr>
        <w:t>Energy and Buildings</w:t>
      </w:r>
      <w:r w:rsidRPr="008A3122">
        <w:rPr>
          <w:noProof/>
        </w:rPr>
        <w:t xml:space="preserve"> 40 (7): 1161–70. https://doi.org/https://doi.org/10.1016/j.enbuild.2007.10.011.</w:t>
      </w:r>
    </w:p>
    <w:p w14:paraId="05FA86E0"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ranjbar, ehsan, mohammadreza pourjafar, and keynav khaliji. 2010. “Innovations In </w:t>
      </w:r>
      <w:r w:rsidRPr="008A3122">
        <w:rPr>
          <w:noProof/>
        </w:rPr>
        <w:lastRenderedPageBreak/>
        <w:t xml:space="preserve">Climatic Designing Due to The Wind Flowing Through The Old Bushehr.” </w:t>
      </w:r>
      <w:r w:rsidRPr="008A3122">
        <w:rPr>
          <w:i/>
          <w:iCs/>
          <w:noProof/>
        </w:rPr>
        <w:t>The Monthly Scientific Journal of Bagh-e Nazar</w:t>
      </w:r>
      <w:r w:rsidRPr="008A3122">
        <w:rPr>
          <w:noProof/>
        </w:rPr>
        <w:t xml:space="preserve"> 7 (13): 17–34. http://www.bagh-sj.com/article_23.html.</w:t>
      </w:r>
    </w:p>
    <w:p w14:paraId="7714E117"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Saadatian, Omid, Chin Haw Lim, CH, Kamaruzzaman Sopian, Suleiman, and MY. 2012. “Review of Windcatcher Technologies.” </w:t>
      </w:r>
      <w:r w:rsidRPr="008A3122">
        <w:rPr>
          <w:i/>
          <w:iCs/>
          <w:noProof/>
        </w:rPr>
        <w:t>Renewable &amp; Sustainable Energy Reviews.</w:t>
      </w:r>
      <w:r w:rsidRPr="008A3122">
        <w:rPr>
          <w:noProof/>
        </w:rPr>
        <w:t>, April. https://doi.org/10.1016/j.rser.2011.11.037.</w:t>
      </w:r>
    </w:p>
    <w:p w14:paraId="770C2584"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Sahebzadeh, Sadra, Abolfazl Heidari, Hamed Kamelnia, and Abolfazl Baghbani. 2017. “Sustainability Features of Iran’s Vernacular Architecture: A Comparative Study between the Architecture of Hot–Arid and Hot–Arid–Windy Regions.” </w:t>
      </w:r>
      <w:r w:rsidRPr="008A3122">
        <w:rPr>
          <w:i/>
          <w:iCs/>
          <w:noProof/>
        </w:rPr>
        <w:t xml:space="preserve">Sustainability </w:t>
      </w:r>
      <w:r w:rsidRPr="008A3122">
        <w:rPr>
          <w:noProof/>
        </w:rPr>
        <w:t>. https://doi.org/10.3390/su9050749.</w:t>
      </w:r>
    </w:p>
    <w:p w14:paraId="28082407"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Santamouris, M (Matheos). 2007. </w:t>
      </w:r>
      <w:r w:rsidRPr="008A3122">
        <w:rPr>
          <w:i/>
          <w:iCs/>
          <w:noProof/>
        </w:rPr>
        <w:t xml:space="preserve">Advances in Passive Cooling </w:t>
      </w:r>
      <w:r w:rsidRPr="008A3122">
        <w:rPr>
          <w:noProof/>
        </w:rPr>
        <w:t>. London: Earthscan.</w:t>
      </w:r>
    </w:p>
    <w:p w14:paraId="5B5AE9BF"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Sari, Reyhan Midili, Derya Elmali Şen, Selda Al, Nimet Candaş Kahya, and Ayşe Sağsöz. 2011. “The Effects of Traditions, Customs and Beliefs on Architectural Design: The Example of Turkey.” In </w:t>
      </w:r>
      <w:r w:rsidRPr="008A3122">
        <w:rPr>
          <w:i/>
          <w:iCs/>
          <w:noProof/>
        </w:rPr>
        <w:t>International Journal of Academic Research</w:t>
      </w:r>
      <w:r w:rsidRPr="008A3122">
        <w:rPr>
          <w:noProof/>
        </w:rPr>
        <w:t>, 3:780–92.</w:t>
      </w:r>
    </w:p>
    <w:p w14:paraId="49C62FFC"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Serralheiro, Maria Inês, Jorge de Brito, and Ana Silva. 2017. “Methodology for Service Life Prediction of Architectural Concrete Facades.” </w:t>
      </w:r>
      <w:r w:rsidRPr="008A3122">
        <w:rPr>
          <w:i/>
          <w:iCs/>
          <w:noProof/>
        </w:rPr>
        <w:t>Construction and Building Materials</w:t>
      </w:r>
      <w:r w:rsidRPr="008A3122">
        <w:rPr>
          <w:noProof/>
        </w:rPr>
        <w:t xml:space="preserve"> 133 (C): 261–74. https://doi.org/10.1016/j.conbuildmat.2016.12.079.</w:t>
      </w:r>
    </w:p>
    <w:p w14:paraId="532BAA17"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Singh, Manoj Kumar, Sadhan Mahapatra, and Srinivas Atreya. 2010. “Thermal Performance Study and Evaluation of Comfort Temperatures in Vernacular Buildings of North-East India.” </w:t>
      </w:r>
      <w:r w:rsidRPr="008A3122">
        <w:rPr>
          <w:i/>
          <w:iCs/>
          <w:noProof/>
        </w:rPr>
        <w:t>Building and Environment</w:t>
      </w:r>
      <w:r w:rsidRPr="008A3122">
        <w:rPr>
          <w:noProof/>
        </w:rPr>
        <w:t xml:space="preserve"> 45: 320–29.</w:t>
      </w:r>
    </w:p>
    <w:p w14:paraId="4D292280"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Soflaei, Farzaneh, and Mehdi Shokouhian. 2005. “Natural Cooling Systems in Sustainable Traditional Architecture of Iran.” In </w:t>
      </w:r>
      <w:r w:rsidRPr="008A3122">
        <w:rPr>
          <w:i/>
          <w:iCs/>
          <w:noProof/>
        </w:rPr>
        <w:t>1st International Conference on Passive and Low Energy Cooling for the Built Environment (PALENCE2005)</w:t>
      </w:r>
      <w:r w:rsidRPr="008A3122">
        <w:rPr>
          <w:noProof/>
        </w:rPr>
        <w:t>.</w:t>
      </w:r>
    </w:p>
    <w:p w14:paraId="3E1D62CA"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Sousa, Goreti, Gilberto Carlos, Rui Florentino, and T Bermudez. 2020. “MULTIDISCIPLINARY ANALYSIS OF THE VERNACULAR SETTLEMENTS IN USHGULI (UPPER SVANETI, GEORGIA).” </w:t>
      </w:r>
      <w:r w:rsidRPr="008A3122">
        <w:rPr>
          <w:i/>
          <w:iCs/>
          <w:noProof/>
        </w:rPr>
        <w:t>ISPRS - International Archives of the Photogrammetry, Remote Sensing and Spatial Information Sciences</w:t>
      </w:r>
      <w:r w:rsidRPr="008A3122">
        <w:rPr>
          <w:noProof/>
        </w:rPr>
        <w:t xml:space="preserve"> XLIV-M-1–2 (July): 189–93. https://doi.org/10.5194/isprs-archives-XLIV-M-1-2020-189-2020.</w:t>
      </w:r>
    </w:p>
    <w:p w14:paraId="0863B481"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Susorova, Irina, Meysam Tabibzadeh, Anisur Rahman, Herek L Clack, and Mahjoub Elnimeiri. 2013. “The Effect of Geometry Factors on Fenestration Energy Performance and Energy Savings in Office Buildings.” </w:t>
      </w:r>
      <w:r w:rsidRPr="008A3122">
        <w:rPr>
          <w:i/>
          <w:iCs/>
          <w:noProof/>
        </w:rPr>
        <w:t>Energy and Buildings</w:t>
      </w:r>
      <w:r w:rsidRPr="008A3122">
        <w:rPr>
          <w:noProof/>
        </w:rPr>
        <w:t xml:space="preserve"> 57: 6–13.</w:t>
      </w:r>
    </w:p>
    <w:p w14:paraId="74107986"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Thalfeldt, Martin, Jarek Kurnitski, and Hendrik Voll. 2015. “Comparison of Simplified and Detailed Window Models in Office Building Energy Simulations.” </w:t>
      </w:r>
      <w:r w:rsidRPr="008A3122">
        <w:rPr>
          <w:i/>
          <w:iCs/>
          <w:noProof/>
        </w:rPr>
        <w:t>Energy Procedia</w:t>
      </w:r>
      <w:r w:rsidRPr="008A3122">
        <w:rPr>
          <w:noProof/>
        </w:rPr>
        <w:t xml:space="preserve"> 78: 2076–81. https://doi.org/https://doi.org/10.1016/j.egypro.2015.11.235.</w:t>
      </w:r>
    </w:p>
    <w:p w14:paraId="37130084"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Thalfeldt, Martin, Ergo Pikas, Jarek Kurnitski, and Hendrik Voll. 2013. “Facade Design Principles for Nearly Zero Energy Buildings in a Cold Climate.” </w:t>
      </w:r>
      <w:r w:rsidRPr="008A3122">
        <w:rPr>
          <w:i/>
          <w:iCs/>
          <w:noProof/>
        </w:rPr>
        <w:t>Energy and Buildings</w:t>
      </w:r>
      <w:r w:rsidRPr="008A3122">
        <w:rPr>
          <w:noProof/>
        </w:rPr>
        <w:t xml:space="preserve"> 67: 309–21. https://doi.org/https://doi.org/10.1016/j.enbuild.2013.08.027.</w:t>
      </w:r>
    </w:p>
    <w:p w14:paraId="6F07A516"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Tzempelikos, Athanassios, Athienitis, Andreas K., and Panagiota Karava. 2007. “Simulation of Façade and Envelope Design Options for a New Institutional Building.” </w:t>
      </w:r>
      <w:r w:rsidRPr="008A3122">
        <w:rPr>
          <w:i/>
          <w:iCs/>
          <w:noProof/>
        </w:rPr>
        <w:t>Solar Energy</w:t>
      </w:r>
      <w:r w:rsidRPr="008A3122">
        <w:rPr>
          <w:noProof/>
        </w:rPr>
        <w:t xml:space="preserve"> 81 (9): 1088–1103. </w:t>
      </w:r>
      <w:r w:rsidRPr="008A3122">
        <w:rPr>
          <w:noProof/>
        </w:rPr>
        <w:lastRenderedPageBreak/>
        <w:t>https://doi.org/10.1016/j.solener.2007.02.006.</w:t>
      </w:r>
    </w:p>
    <w:p w14:paraId="135534BB"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Utaberta, Nangkula, Afshin Jalali, Suhana Johar, Mastor Surat, and Adi Irfan Che-Ani. 2012. “Building Facade Study in Lahijan City, Iran: The Impact of Facade’s Visual Elements on Historical Image.” </w:t>
      </w:r>
      <w:r w:rsidRPr="008A3122">
        <w:rPr>
          <w:i/>
          <w:iCs/>
          <w:noProof/>
        </w:rPr>
        <w:t>World Academy of Science, Engineering and Technology, International Journal of Social, Behavioral, Educational, Economic, Business and Industrial Engineering</w:t>
      </w:r>
      <w:r w:rsidRPr="008A3122">
        <w:rPr>
          <w:noProof/>
        </w:rPr>
        <w:t xml:space="preserve"> 6: 1839–44.</w:t>
      </w:r>
    </w:p>
    <w:p w14:paraId="46D4A799"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Vakilinezhad, Roza, S Mofidi, and Mehdizadeh. 2013. “‘Shanashil’: A Sustainable Element to Balance Light, View, and Thermal Comfort.” </w:t>
      </w:r>
      <w:r w:rsidRPr="008A3122">
        <w:rPr>
          <w:i/>
          <w:iCs/>
          <w:noProof/>
        </w:rPr>
        <w:t>International Journal of Environmental Sustainability</w:t>
      </w:r>
      <w:r w:rsidRPr="008A3122">
        <w:rPr>
          <w:noProof/>
        </w:rPr>
        <w:t xml:space="preserve"> 8 (January): 101–10.</w:t>
      </w:r>
    </w:p>
    <w:p w14:paraId="672E853A"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Vanhoutteghem, Lies, Gunnlaug Cecilie Jensen Skarning, Christian Anker Hviid, and Svend Svendsen. 2015. “Impact of Façade Window Design on Energy, Daylighting and Thermal Comfort in Nearly Zero-Energy Houses.” </w:t>
      </w:r>
      <w:r w:rsidRPr="008A3122">
        <w:rPr>
          <w:i/>
          <w:iCs/>
          <w:noProof/>
        </w:rPr>
        <w:t>Energy and Buildings</w:t>
      </w:r>
      <w:r w:rsidRPr="008A3122">
        <w:rPr>
          <w:noProof/>
        </w:rPr>
        <w:t xml:space="preserve"> 102: 149–56. https://doi.org/https://doi.org/10.1016/j.enbuild.2015.05.018.</w:t>
      </w:r>
    </w:p>
    <w:p w14:paraId="7EB9EA71"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Wang, H. 2007. “Evaluation of the Facade of Buildings in ‘Type I Residential Area’ of the 7th Land Consideration District in Taichung City.” National Yunlin University of Science and Technology.</w:t>
      </w:r>
    </w:p>
    <w:p w14:paraId="3D63F23A"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Wang, Jingying, and Chiho Ochiai. 2021. “Spatial Composition and Building Techniques of Farmhouses Prone to Windstorms:A Case Study in Arakawa Village, Shiga Prefecture, Japan.” </w:t>
      </w:r>
      <w:r w:rsidRPr="008A3122">
        <w:rPr>
          <w:i/>
          <w:iCs/>
          <w:noProof/>
        </w:rPr>
        <w:t>Journal of Asian Architecture and Building Engineering</w:t>
      </w:r>
      <w:r w:rsidRPr="008A3122">
        <w:rPr>
          <w:noProof/>
        </w:rPr>
        <w:t>, October, 1–15. https://doi.org/10.1080/13467581.2021.1972810.</w:t>
      </w:r>
    </w:p>
    <w:p w14:paraId="3E507A9B"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Wang, Liping, Hien Wong Nyuk, and Shuo Li. 2007. “Facade Design Optimization for Naturally Ventilated Residential Buildings in Singapore.” </w:t>
      </w:r>
      <w:r w:rsidRPr="008A3122">
        <w:rPr>
          <w:i/>
          <w:iCs/>
          <w:noProof/>
        </w:rPr>
        <w:t>Energy and Buildings</w:t>
      </w:r>
      <w:r w:rsidRPr="008A3122">
        <w:rPr>
          <w:noProof/>
        </w:rPr>
        <w:t xml:space="preserve"> 39 (8): 954–61. https://doi.org/https://doi.org/10.1016/j.enbuild.2006.10.011.</w:t>
      </w:r>
    </w:p>
    <w:p w14:paraId="307C567D" w14:textId="77777777" w:rsidR="008A3122" w:rsidRPr="008A3122" w:rsidRDefault="008A3122" w:rsidP="005D4AF3">
      <w:pPr>
        <w:widowControl w:val="0"/>
        <w:autoSpaceDE w:val="0"/>
        <w:autoSpaceDN w:val="0"/>
        <w:adjustRightInd w:val="0"/>
        <w:spacing w:before="120" w:line="240" w:lineRule="auto"/>
        <w:ind w:left="480" w:hanging="480"/>
        <w:rPr>
          <w:noProof/>
        </w:rPr>
      </w:pPr>
      <w:r w:rsidRPr="008A3122">
        <w:rPr>
          <w:noProof/>
        </w:rPr>
        <w:t xml:space="preserve">Zhai, Zhiqiang (John), and Jonathan M Previtali. 2010. “Ancient Vernacular Architecture: Characteristics Categorization and Energy Performance Evaluation.” </w:t>
      </w:r>
      <w:r w:rsidRPr="008A3122">
        <w:rPr>
          <w:i/>
          <w:iCs/>
          <w:noProof/>
        </w:rPr>
        <w:t>Energy and Buildings</w:t>
      </w:r>
      <w:r w:rsidRPr="008A3122">
        <w:rPr>
          <w:noProof/>
        </w:rPr>
        <w:t xml:space="preserve"> 42 (3): 357–65. https://doi.org/https://doi.org/10.1016/j.enbuild.2009.10.002.</w:t>
      </w:r>
    </w:p>
    <w:p w14:paraId="43A3150C" w14:textId="77777777" w:rsidR="00E41A8F" w:rsidRPr="00AC555D" w:rsidRDefault="00E41A8F" w:rsidP="005D4AF3">
      <w:pPr>
        <w:pStyle w:val="References"/>
        <w:spacing w:line="240" w:lineRule="auto"/>
      </w:pPr>
      <w:r w:rsidRPr="00AC555D">
        <w:rPr>
          <w:rFonts w:asciiTheme="majorBidi" w:hAnsiTheme="majorBidi" w:cstheme="majorBidi"/>
          <w:szCs w:val="20"/>
        </w:rPr>
        <w:fldChar w:fldCharType="end"/>
      </w:r>
    </w:p>
    <w:p w14:paraId="626B361D" w14:textId="77777777" w:rsidR="00E41A8F" w:rsidRPr="00E41A8F" w:rsidRDefault="00E41A8F" w:rsidP="005D4AF3">
      <w:pPr>
        <w:pStyle w:val="References"/>
        <w:spacing w:line="240" w:lineRule="auto"/>
        <w:jc w:val="both"/>
        <w:rPr>
          <w:lang w:bidi="fa-IR"/>
        </w:rPr>
      </w:pPr>
    </w:p>
    <w:p w14:paraId="4607DEAF" w14:textId="77777777" w:rsidR="00B84F75" w:rsidRDefault="00B84F75" w:rsidP="005D4AF3">
      <w:pPr>
        <w:pStyle w:val="Paragraph"/>
        <w:spacing w:line="240" w:lineRule="auto"/>
      </w:pPr>
    </w:p>
    <w:p w14:paraId="36F6CBD9" w14:textId="77777777" w:rsidR="00B84F75" w:rsidRDefault="00B84F75" w:rsidP="005D4AF3">
      <w:pPr>
        <w:pStyle w:val="Paragraph"/>
        <w:spacing w:line="240" w:lineRule="auto"/>
      </w:pPr>
    </w:p>
    <w:sectPr w:rsidR="00B84F75" w:rsidSect="00ED63B3">
      <w:type w:val="continuous"/>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CFB1A" w14:textId="77777777" w:rsidR="00247252" w:rsidRDefault="00247252" w:rsidP="00AF2C92">
      <w:r>
        <w:separator/>
      </w:r>
    </w:p>
  </w:endnote>
  <w:endnote w:type="continuationSeparator" w:id="0">
    <w:p w14:paraId="79BB61AF" w14:textId="77777777" w:rsidR="00247252" w:rsidRDefault="00247252"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7868479"/>
      <w:docPartObj>
        <w:docPartGallery w:val="Page Numbers (Bottom of Page)"/>
        <w:docPartUnique/>
      </w:docPartObj>
    </w:sdtPr>
    <w:sdtEndPr>
      <w:rPr>
        <w:noProof/>
      </w:rPr>
    </w:sdtEndPr>
    <w:sdtContent>
      <w:p w14:paraId="5ED83DE7" w14:textId="54E6E0DA" w:rsidR="001561FD" w:rsidRDefault="001561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CE0FE8" w14:textId="77777777" w:rsidR="001561FD" w:rsidRDefault="00156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5F78C" w14:textId="77777777" w:rsidR="00247252" w:rsidRDefault="00247252" w:rsidP="00AF2C92">
      <w:r>
        <w:separator/>
      </w:r>
    </w:p>
  </w:footnote>
  <w:footnote w:type="continuationSeparator" w:id="0">
    <w:p w14:paraId="2C7AD0E8" w14:textId="77777777" w:rsidR="00247252" w:rsidRDefault="00247252" w:rsidP="00AF2C92">
      <w:r>
        <w:continuationSeparator/>
      </w:r>
    </w:p>
  </w:footnote>
  <w:footnote w:id="1">
    <w:p w14:paraId="59F2C194" w14:textId="14C2FA93" w:rsidR="004E518F" w:rsidRDefault="001561FD" w:rsidP="00ED63B3">
      <w:pPr>
        <w:spacing w:line="288" w:lineRule="auto"/>
        <w:rPr>
          <w:rStyle w:val="Hyperlink"/>
          <w:i/>
          <w:iCs/>
        </w:rPr>
      </w:pPr>
      <w:r>
        <w:rPr>
          <w:rStyle w:val="FootnoteReference"/>
        </w:rPr>
        <w:t>*</w:t>
      </w:r>
      <w:r w:rsidR="004E518F">
        <w:t xml:space="preserve"> </w:t>
      </w:r>
      <w:r w:rsidR="004E518F" w:rsidRPr="00AC555D">
        <w:rPr>
          <w:rFonts w:asciiTheme="majorBidi" w:hAnsiTheme="majorBidi" w:cstheme="majorBidi"/>
          <w:sz w:val="20"/>
          <w:szCs w:val="20"/>
          <w:lang w:bidi="fa-IR"/>
        </w:rPr>
        <w:t xml:space="preserve"> Corresponding Author</w:t>
      </w:r>
    </w:p>
    <w:p w14:paraId="50F923B4" w14:textId="77777777" w:rsidR="004E518F" w:rsidRPr="00ED63B3" w:rsidRDefault="004E518F">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7364CB5"/>
    <w:multiLevelType w:val="hybridMultilevel"/>
    <w:tmpl w:val="86FE3B0C"/>
    <w:lvl w:ilvl="0" w:tplc="DCC0599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6E5803"/>
    <w:multiLevelType w:val="hybridMultilevel"/>
    <w:tmpl w:val="60B216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4DF713F"/>
    <w:multiLevelType w:val="hybridMultilevel"/>
    <w:tmpl w:val="20AE1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6F3653"/>
    <w:multiLevelType w:val="hybridMultilevel"/>
    <w:tmpl w:val="70EEC8D6"/>
    <w:lvl w:ilvl="0" w:tplc="2FD430F6">
      <w:start w:val="3"/>
      <w:numFmt w:val="decimal"/>
      <w:lvlText w:val="%1-"/>
      <w:lvlJc w:val="left"/>
      <w:pPr>
        <w:ind w:left="720" w:hanging="360"/>
      </w:pPr>
      <w:rPr>
        <w:rFonts w:eastAsiaTheme="minorHAns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A5A0B7C"/>
    <w:multiLevelType w:val="hybridMultilevel"/>
    <w:tmpl w:val="B11CF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1B322D3"/>
    <w:multiLevelType w:val="hybridMultilevel"/>
    <w:tmpl w:val="27008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181773"/>
    <w:multiLevelType w:val="hybridMultilevel"/>
    <w:tmpl w:val="7744D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786542"/>
    <w:multiLevelType w:val="hybridMultilevel"/>
    <w:tmpl w:val="D4F2D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015091"/>
    <w:multiLevelType w:val="hybridMultilevel"/>
    <w:tmpl w:val="2D7A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37544367">
    <w:abstractNumId w:val="19"/>
  </w:num>
  <w:num w:numId="2" w16cid:durableId="1821341710">
    <w:abstractNumId w:val="25"/>
  </w:num>
  <w:num w:numId="3" w16cid:durableId="384911571">
    <w:abstractNumId w:val="1"/>
  </w:num>
  <w:num w:numId="4" w16cid:durableId="895236023">
    <w:abstractNumId w:val="2"/>
  </w:num>
  <w:num w:numId="5" w16cid:durableId="919220055">
    <w:abstractNumId w:val="3"/>
  </w:num>
  <w:num w:numId="6" w16cid:durableId="910190356">
    <w:abstractNumId w:val="4"/>
  </w:num>
  <w:num w:numId="7" w16cid:durableId="1517308495">
    <w:abstractNumId w:val="9"/>
  </w:num>
  <w:num w:numId="8" w16cid:durableId="1324509185">
    <w:abstractNumId w:val="5"/>
  </w:num>
  <w:num w:numId="9" w16cid:durableId="916478571">
    <w:abstractNumId w:val="7"/>
  </w:num>
  <w:num w:numId="10" w16cid:durableId="1716197758">
    <w:abstractNumId w:val="6"/>
  </w:num>
  <w:num w:numId="11" w16cid:durableId="713313277">
    <w:abstractNumId w:val="10"/>
  </w:num>
  <w:num w:numId="12" w16cid:durableId="1088698046">
    <w:abstractNumId w:val="8"/>
  </w:num>
  <w:num w:numId="13" w16cid:durableId="1034379378">
    <w:abstractNumId w:val="22"/>
  </w:num>
  <w:num w:numId="14" w16cid:durableId="1427270858">
    <w:abstractNumId w:val="28"/>
  </w:num>
  <w:num w:numId="15" w16cid:durableId="552078196">
    <w:abstractNumId w:val="18"/>
  </w:num>
  <w:num w:numId="16" w16cid:durableId="1635254827">
    <w:abstractNumId w:val="21"/>
  </w:num>
  <w:num w:numId="17" w16cid:durableId="1682512219">
    <w:abstractNumId w:val="11"/>
  </w:num>
  <w:num w:numId="18" w16cid:durableId="985550291">
    <w:abstractNumId w:val="0"/>
  </w:num>
  <w:num w:numId="19" w16cid:durableId="791559619">
    <w:abstractNumId w:val="14"/>
  </w:num>
  <w:num w:numId="20" w16cid:durableId="1264387656">
    <w:abstractNumId w:val="28"/>
  </w:num>
  <w:num w:numId="21" w16cid:durableId="1499735904">
    <w:abstractNumId w:val="28"/>
  </w:num>
  <w:num w:numId="22" w16cid:durableId="1056856577">
    <w:abstractNumId w:val="28"/>
  </w:num>
  <w:num w:numId="23" w16cid:durableId="376976072">
    <w:abstractNumId w:val="28"/>
  </w:num>
  <w:num w:numId="24" w16cid:durableId="228542422">
    <w:abstractNumId w:val="22"/>
  </w:num>
  <w:num w:numId="25" w16cid:durableId="732582685">
    <w:abstractNumId w:val="23"/>
  </w:num>
  <w:num w:numId="26" w16cid:durableId="1276256640">
    <w:abstractNumId w:val="30"/>
  </w:num>
  <w:num w:numId="27" w16cid:durableId="980499778">
    <w:abstractNumId w:val="31"/>
  </w:num>
  <w:num w:numId="28" w16cid:durableId="1856725208">
    <w:abstractNumId w:val="28"/>
  </w:num>
  <w:num w:numId="29" w16cid:durableId="2059620382">
    <w:abstractNumId w:val="17"/>
  </w:num>
  <w:num w:numId="30" w16cid:durableId="632562183">
    <w:abstractNumId w:val="32"/>
  </w:num>
  <w:num w:numId="31" w16cid:durableId="325208236">
    <w:abstractNumId w:val="16"/>
  </w:num>
  <w:num w:numId="32" w16cid:durableId="2071223268">
    <w:abstractNumId w:val="24"/>
  </w:num>
  <w:num w:numId="33" w16cid:durableId="1672222108">
    <w:abstractNumId w:val="20"/>
  </w:num>
  <w:num w:numId="34" w16cid:durableId="1333409394">
    <w:abstractNumId w:val="27"/>
  </w:num>
  <w:num w:numId="35" w16cid:durableId="1110854382">
    <w:abstractNumId w:val="29"/>
  </w:num>
  <w:num w:numId="36" w16cid:durableId="1432508022">
    <w:abstractNumId w:val="26"/>
  </w:num>
  <w:num w:numId="37" w16cid:durableId="1479804152">
    <w:abstractNumId w:val="13"/>
  </w:num>
  <w:num w:numId="38" w16cid:durableId="474840824">
    <w:abstractNumId w:val="15"/>
  </w:num>
  <w:num w:numId="39" w16cid:durableId="1433968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E43"/>
    <w:rsid w:val="00001899"/>
    <w:rsid w:val="000049AD"/>
    <w:rsid w:val="0000681B"/>
    <w:rsid w:val="000133C0"/>
    <w:rsid w:val="00014C4E"/>
    <w:rsid w:val="00017107"/>
    <w:rsid w:val="000202E2"/>
    <w:rsid w:val="00022441"/>
    <w:rsid w:val="0002261E"/>
    <w:rsid w:val="00024839"/>
    <w:rsid w:val="00026871"/>
    <w:rsid w:val="00037A98"/>
    <w:rsid w:val="000427FB"/>
    <w:rsid w:val="0004455E"/>
    <w:rsid w:val="00047CB5"/>
    <w:rsid w:val="00051FAA"/>
    <w:rsid w:val="00054C47"/>
    <w:rsid w:val="000572A9"/>
    <w:rsid w:val="00061325"/>
    <w:rsid w:val="000733AC"/>
    <w:rsid w:val="00074B81"/>
    <w:rsid w:val="00074D22"/>
    <w:rsid w:val="00075081"/>
    <w:rsid w:val="0007528A"/>
    <w:rsid w:val="000811AB"/>
    <w:rsid w:val="00083C5F"/>
    <w:rsid w:val="0009172C"/>
    <w:rsid w:val="000930EC"/>
    <w:rsid w:val="00095E61"/>
    <w:rsid w:val="000966C1"/>
    <w:rsid w:val="000970AC"/>
    <w:rsid w:val="000A1167"/>
    <w:rsid w:val="000A4428"/>
    <w:rsid w:val="000A6D40"/>
    <w:rsid w:val="000A7BC3"/>
    <w:rsid w:val="000B1661"/>
    <w:rsid w:val="000B1F0B"/>
    <w:rsid w:val="000B2E88"/>
    <w:rsid w:val="000B4603"/>
    <w:rsid w:val="000C09BE"/>
    <w:rsid w:val="000C1380"/>
    <w:rsid w:val="000C554F"/>
    <w:rsid w:val="000D0DC5"/>
    <w:rsid w:val="000D15FF"/>
    <w:rsid w:val="000D28DF"/>
    <w:rsid w:val="000D488B"/>
    <w:rsid w:val="000D68DF"/>
    <w:rsid w:val="000D7FE3"/>
    <w:rsid w:val="000E138D"/>
    <w:rsid w:val="000E187A"/>
    <w:rsid w:val="000E2D61"/>
    <w:rsid w:val="000E450E"/>
    <w:rsid w:val="000E6259"/>
    <w:rsid w:val="000F4677"/>
    <w:rsid w:val="000F5BE0"/>
    <w:rsid w:val="00100587"/>
    <w:rsid w:val="0010284E"/>
    <w:rsid w:val="00103122"/>
    <w:rsid w:val="0010336A"/>
    <w:rsid w:val="001050F1"/>
    <w:rsid w:val="00105AEA"/>
    <w:rsid w:val="00106DAF"/>
    <w:rsid w:val="00114ABE"/>
    <w:rsid w:val="00116023"/>
    <w:rsid w:val="001230AF"/>
    <w:rsid w:val="00134A51"/>
    <w:rsid w:val="00140727"/>
    <w:rsid w:val="001561FD"/>
    <w:rsid w:val="00160628"/>
    <w:rsid w:val="00161344"/>
    <w:rsid w:val="00162195"/>
    <w:rsid w:val="0016322A"/>
    <w:rsid w:val="00165A21"/>
    <w:rsid w:val="001705CE"/>
    <w:rsid w:val="0017714B"/>
    <w:rsid w:val="001804DF"/>
    <w:rsid w:val="00181BDC"/>
    <w:rsid w:val="00181DB0"/>
    <w:rsid w:val="001829E3"/>
    <w:rsid w:val="001924C0"/>
    <w:rsid w:val="0019731E"/>
    <w:rsid w:val="001A09FE"/>
    <w:rsid w:val="001A29C3"/>
    <w:rsid w:val="001A67C9"/>
    <w:rsid w:val="001A69DE"/>
    <w:rsid w:val="001A713C"/>
    <w:rsid w:val="001B1C7C"/>
    <w:rsid w:val="001B398F"/>
    <w:rsid w:val="001B46C6"/>
    <w:rsid w:val="001B4B48"/>
    <w:rsid w:val="001B4D1F"/>
    <w:rsid w:val="001B7681"/>
    <w:rsid w:val="001B7CAE"/>
    <w:rsid w:val="001C0772"/>
    <w:rsid w:val="001C0D4F"/>
    <w:rsid w:val="001C1BA3"/>
    <w:rsid w:val="001C1DEC"/>
    <w:rsid w:val="001C5736"/>
    <w:rsid w:val="001D647F"/>
    <w:rsid w:val="001D6857"/>
    <w:rsid w:val="001E0572"/>
    <w:rsid w:val="001E0A67"/>
    <w:rsid w:val="001E1028"/>
    <w:rsid w:val="001E14E2"/>
    <w:rsid w:val="001E6302"/>
    <w:rsid w:val="001E7DCB"/>
    <w:rsid w:val="001F3411"/>
    <w:rsid w:val="001F4287"/>
    <w:rsid w:val="001F4DBA"/>
    <w:rsid w:val="0020415E"/>
    <w:rsid w:val="00204FF4"/>
    <w:rsid w:val="0021056E"/>
    <w:rsid w:val="0021075D"/>
    <w:rsid w:val="0021165A"/>
    <w:rsid w:val="00211BC9"/>
    <w:rsid w:val="0021620C"/>
    <w:rsid w:val="00216E78"/>
    <w:rsid w:val="00217275"/>
    <w:rsid w:val="00236F4B"/>
    <w:rsid w:val="00242B0D"/>
    <w:rsid w:val="002467C6"/>
    <w:rsid w:val="0024692A"/>
    <w:rsid w:val="00247252"/>
    <w:rsid w:val="00252BBA"/>
    <w:rsid w:val="00253123"/>
    <w:rsid w:val="00264001"/>
    <w:rsid w:val="00266354"/>
    <w:rsid w:val="00267A18"/>
    <w:rsid w:val="00273462"/>
    <w:rsid w:val="0027395B"/>
    <w:rsid w:val="00275854"/>
    <w:rsid w:val="00283B41"/>
    <w:rsid w:val="00285F28"/>
    <w:rsid w:val="00286398"/>
    <w:rsid w:val="002A3C42"/>
    <w:rsid w:val="002A5D75"/>
    <w:rsid w:val="002B1B1A"/>
    <w:rsid w:val="002B7228"/>
    <w:rsid w:val="002C4CE6"/>
    <w:rsid w:val="002C53EE"/>
    <w:rsid w:val="002D24F7"/>
    <w:rsid w:val="002D2799"/>
    <w:rsid w:val="002D2CD7"/>
    <w:rsid w:val="002D4DDC"/>
    <w:rsid w:val="002D4F75"/>
    <w:rsid w:val="002D6493"/>
    <w:rsid w:val="002D7AB6"/>
    <w:rsid w:val="002E06D0"/>
    <w:rsid w:val="002E3C27"/>
    <w:rsid w:val="002E403A"/>
    <w:rsid w:val="002E7F3A"/>
    <w:rsid w:val="002F4EDB"/>
    <w:rsid w:val="002F6054"/>
    <w:rsid w:val="00307C1B"/>
    <w:rsid w:val="00310E13"/>
    <w:rsid w:val="00315713"/>
    <w:rsid w:val="00315D1E"/>
    <w:rsid w:val="0031686C"/>
    <w:rsid w:val="00316FE0"/>
    <w:rsid w:val="003204D2"/>
    <w:rsid w:val="0032605E"/>
    <w:rsid w:val="003275D1"/>
    <w:rsid w:val="00330B2A"/>
    <w:rsid w:val="00331E17"/>
    <w:rsid w:val="00333063"/>
    <w:rsid w:val="003408E3"/>
    <w:rsid w:val="00343480"/>
    <w:rsid w:val="00345E89"/>
    <w:rsid w:val="003522A1"/>
    <w:rsid w:val="0035254B"/>
    <w:rsid w:val="00353555"/>
    <w:rsid w:val="00354240"/>
    <w:rsid w:val="003565D4"/>
    <w:rsid w:val="003607FB"/>
    <w:rsid w:val="00360FD5"/>
    <w:rsid w:val="0036340D"/>
    <w:rsid w:val="003634A5"/>
    <w:rsid w:val="00366868"/>
    <w:rsid w:val="00367506"/>
    <w:rsid w:val="00370085"/>
    <w:rsid w:val="003744A7"/>
    <w:rsid w:val="00376235"/>
    <w:rsid w:val="0038026A"/>
    <w:rsid w:val="00381FB6"/>
    <w:rsid w:val="003836D3"/>
    <w:rsid w:val="00383A52"/>
    <w:rsid w:val="00391652"/>
    <w:rsid w:val="0039507F"/>
    <w:rsid w:val="003A1260"/>
    <w:rsid w:val="003A295F"/>
    <w:rsid w:val="003A41DD"/>
    <w:rsid w:val="003A7033"/>
    <w:rsid w:val="003B47FE"/>
    <w:rsid w:val="003B5673"/>
    <w:rsid w:val="003B6287"/>
    <w:rsid w:val="003B62C9"/>
    <w:rsid w:val="003C7176"/>
    <w:rsid w:val="003D0929"/>
    <w:rsid w:val="003D4729"/>
    <w:rsid w:val="003D7DD6"/>
    <w:rsid w:val="003E5AAF"/>
    <w:rsid w:val="003E600D"/>
    <w:rsid w:val="003E64DF"/>
    <w:rsid w:val="003E6A5D"/>
    <w:rsid w:val="003F193A"/>
    <w:rsid w:val="003F4207"/>
    <w:rsid w:val="003F5C46"/>
    <w:rsid w:val="003F7CBB"/>
    <w:rsid w:val="003F7D34"/>
    <w:rsid w:val="00412C8E"/>
    <w:rsid w:val="0041518D"/>
    <w:rsid w:val="00417BF9"/>
    <w:rsid w:val="0042221D"/>
    <w:rsid w:val="00424DD3"/>
    <w:rsid w:val="004269C5"/>
    <w:rsid w:val="00435939"/>
    <w:rsid w:val="00437CC7"/>
    <w:rsid w:val="00442B9C"/>
    <w:rsid w:val="00445EFA"/>
    <w:rsid w:val="0044738A"/>
    <w:rsid w:val="004473D3"/>
    <w:rsid w:val="00452231"/>
    <w:rsid w:val="00460C13"/>
    <w:rsid w:val="00463228"/>
    <w:rsid w:val="00463782"/>
    <w:rsid w:val="00466228"/>
    <w:rsid w:val="004667E0"/>
    <w:rsid w:val="0046760E"/>
    <w:rsid w:val="00470E10"/>
    <w:rsid w:val="00477A97"/>
    <w:rsid w:val="00481343"/>
    <w:rsid w:val="0048549E"/>
    <w:rsid w:val="00492F97"/>
    <w:rsid w:val="00493347"/>
    <w:rsid w:val="00496092"/>
    <w:rsid w:val="004A08DB"/>
    <w:rsid w:val="004A25D0"/>
    <w:rsid w:val="004A37E8"/>
    <w:rsid w:val="004A7549"/>
    <w:rsid w:val="004B09D4"/>
    <w:rsid w:val="004B309D"/>
    <w:rsid w:val="004B330A"/>
    <w:rsid w:val="004B7C8E"/>
    <w:rsid w:val="004C3D3C"/>
    <w:rsid w:val="004D0EDC"/>
    <w:rsid w:val="004D1220"/>
    <w:rsid w:val="004D14B3"/>
    <w:rsid w:val="004D1529"/>
    <w:rsid w:val="004D2253"/>
    <w:rsid w:val="004D5514"/>
    <w:rsid w:val="004D56C3"/>
    <w:rsid w:val="004E0338"/>
    <w:rsid w:val="004E4FF3"/>
    <w:rsid w:val="004E518F"/>
    <w:rsid w:val="004E56A8"/>
    <w:rsid w:val="004F3B55"/>
    <w:rsid w:val="004F4E46"/>
    <w:rsid w:val="004F6B7D"/>
    <w:rsid w:val="005015F6"/>
    <w:rsid w:val="005030C4"/>
    <w:rsid w:val="005031C5"/>
    <w:rsid w:val="00504FDC"/>
    <w:rsid w:val="00507735"/>
    <w:rsid w:val="005120CC"/>
    <w:rsid w:val="00512B7B"/>
    <w:rsid w:val="00514EA1"/>
    <w:rsid w:val="00515C0E"/>
    <w:rsid w:val="0051798B"/>
    <w:rsid w:val="00521F5A"/>
    <w:rsid w:val="00523DDD"/>
    <w:rsid w:val="00525E06"/>
    <w:rsid w:val="00526454"/>
    <w:rsid w:val="00531823"/>
    <w:rsid w:val="00534ECC"/>
    <w:rsid w:val="0053720D"/>
    <w:rsid w:val="00540EF5"/>
    <w:rsid w:val="00541BF3"/>
    <w:rsid w:val="00541CD3"/>
    <w:rsid w:val="005476FA"/>
    <w:rsid w:val="0055595E"/>
    <w:rsid w:val="00557988"/>
    <w:rsid w:val="00562C49"/>
    <w:rsid w:val="00562DEF"/>
    <w:rsid w:val="0056321A"/>
    <w:rsid w:val="00563A35"/>
    <w:rsid w:val="00566596"/>
    <w:rsid w:val="005741E9"/>
    <w:rsid w:val="005748CF"/>
    <w:rsid w:val="00584270"/>
    <w:rsid w:val="00584738"/>
    <w:rsid w:val="005920B0"/>
    <w:rsid w:val="0059380D"/>
    <w:rsid w:val="00595A8F"/>
    <w:rsid w:val="005977C2"/>
    <w:rsid w:val="00597BF2"/>
    <w:rsid w:val="005B134E"/>
    <w:rsid w:val="005B2039"/>
    <w:rsid w:val="005B344F"/>
    <w:rsid w:val="005B3FBA"/>
    <w:rsid w:val="005B4A1D"/>
    <w:rsid w:val="005B674D"/>
    <w:rsid w:val="005C0CBE"/>
    <w:rsid w:val="005C1FCF"/>
    <w:rsid w:val="005D0E19"/>
    <w:rsid w:val="005D1885"/>
    <w:rsid w:val="005D4A38"/>
    <w:rsid w:val="005D4AF3"/>
    <w:rsid w:val="005E0E7D"/>
    <w:rsid w:val="005E2EEA"/>
    <w:rsid w:val="005E3708"/>
    <w:rsid w:val="005E38CB"/>
    <w:rsid w:val="005E3CCD"/>
    <w:rsid w:val="005E3D6B"/>
    <w:rsid w:val="005E5B55"/>
    <w:rsid w:val="005E5E4A"/>
    <w:rsid w:val="005E693D"/>
    <w:rsid w:val="005E75BF"/>
    <w:rsid w:val="005F57BA"/>
    <w:rsid w:val="005F61E6"/>
    <w:rsid w:val="005F6C45"/>
    <w:rsid w:val="00603ED8"/>
    <w:rsid w:val="00605A69"/>
    <w:rsid w:val="00606C54"/>
    <w:rsid w:val="00614375"/>
    <w:rsid w:val="00615B0A"/>
    <w:rsid w:val="006168CF"/>
    <w:rsid w:val="0062011B"/>
    <w:rsid w:val="00626DE0"/>
    <w:rsid w:val="00630901"/>
    <w:rsid w:val="00631F8E"/>
    <w:rsid w:val="00636EE9"/>
    <w:rsid w:val="00640950"/>
    <w:rsid w:val="00641AE7"/>
    <w:rsid w:val="00642629"/>
    <w:rsid w:val="00642A54"/>
    <w:rsid w:val="0065293D"/>
    <w:rsid w:val="00653EFC"/>
    <w:rsid w:val="00654021"/>
    <w:rsid w:val="00661045"/>
    <w:rsid w:val="00666DA8"/>
    <w:rsid w:val="00671057"/>
    <w:rsid w:val="00675AAF"/>
    <w:rsid w:val="0068031A"/>
    <w:rsid w:val="00681B2F"/>
    <w:rsid w:val="0068335F"/>
    <w:rsid w:val="00687217"/>
    <w:rsid w:val="00693302"/>
    <w:rsid w:val="0069640B"/>
    <w:rsid w:val="006A1B83"/>
    <w:rsid w:val="006A21CD"/>
    <w:rsid w:val="006A5918"/>
    <w:rsid w:val="006B21B2"/>
    <w:rsid w:val="006B4A4A"/>
    <w:rsid w:val="006C19B2"/>
    <w:rsid w:val="006C4409"/>
    <w:rsid w:val="006C5BB8"/>
    <w:rsid w:val="006C6936"/>
    <w:rsid w:val="006C7B01"/>
    <w:rsid w:val="006D0FE8"/>
    <w:rsid w:val="006D1E3A"/>
    <w:rsid w:val="006D4B2B"/>
    <w:rsid w:val="006D4F3C"/>
    <w:rsid w:val="006D5C66"/>
    <w:rsid w:val="006E1B3C"/>
    <w:rsid w:val="006E23FB"/>
    <w:rsid w:val="006E325A"/>
    <w:rsid w:val="006E33EC"/>
    <w:rsid w:val="006E3802"/>
    <w:rsid w:val="006E6C02"/>
    <w:rsid w:val="006F231A"/>
    <w:rsid w:val="006F6B55"/>
    <w:rsid w:val="006F788D"/>
    <w:rsid w:val="006F78E1"/>
    <w:rsid w:val="00701072"/>
    <w:rsid w:val="00702054"/>
    <w:rsid w:val="007035A4"/>
    <w:rsid w:val="00711799"/>
    <w:rsid w:val="00712B78"/>
    <w:rsid w:val="0071393B"/>
    <w:rsid w:val="00713EE2"/>
    <w:rsid w:val="00715315"/>
    <w:rsid w:val="007177FC"/>
    <w:rsid w:val="00720C5E"/>
    <w:rsid w:val="00721701"/>
    <w:rsid w:val="00731835"/>
    <w:rsid w:val="007341F8"/>
    <w:rsid w:val="00734372"/>
    <w:rsid w:val="00734EB8"/>
    <w:rsid w:val="00735F8B"/>
    <w:rsid w:val="00742D1F"/>
    <w:rsid w:val="00743EBA"/>
    <w:rsid w:val="00744C8E"/>
    <w:rsid w:val="0074707E"/>
    <w:rsid w:val="007516DC"/>
    <w:rsid w:val="00752E58"/>
    <w:rsid w:val="00754B80"/>
    <w:rsid w:val="00757A24"/>
    <w:rsid w:val="00761918"/>
    <w:rsid w:val="00762F03"/>
    <w:rsid w:val="0076413B"/>
    <w:rsid w:val="007648AE"/>
    <w:rsid w:val="00764BF8"/>
    <w:rsid w:val="0076514D"/>
    <w:rsid w:val="00773D59"/>
    <w:rsid w:val="00781003"/>
    <w:rsid w:val="007911FD"/>
    <w:rsid w:val="00793930"/>
    <w:rsid w:val="00793DD1"/>
    <w:rsid w:val="00794FEC"/>
    <w:rsid w:val="007A003E"/>
    <w:rsid w:val="007A1965"/>
    <w:rsid w:val="007A2ED1"/>
    <w:rsid w:val="007A4BE6"/>
    <w:rsid w:val="007B0DC6"/>
    <w:rsid w:val="007B1094"/>
    <w:rsid w:val="007B1762"/>
    <w:rsid w:val="007B3320"/>
    <w:rsid w:val="007C301F"/>
    <w:rsid w:val="007C4540"/>
    <w:rsid w:val="007C65AF"/>
    <w:rsid w:val="007D135D"/>
    <w:rsid w:val="007D730F"/>
    <w:rsid w:val="007D7CD8"/>
    <w:rsid w:val="007E3AA7"/>
    <w:rsid w:val="007F737D"/>
    <w:rsid w:val="007F795C"/>
    <w:rsid w:val="0080308E"/>
    <w:rsid w:val="00805303"/>
    <w:rsid w:val="00806705"/>
    <w:rsid w:val="00806738"/>
    <w:rsid w:val="00806B18"/>
    <w:rsid w:val="00811575"/>
    <w:rsid w:val="0081490B"/>
    <w:rsid w:val="008216D5"/>
    <w:rsid w:val="008249CE"/>
    <w:rsid w:val="00831A50"/>
    <w:rsid w:val="00831B3C"/>
    <w:rsid w:val="00831C89"/>
    <w:rsid w:val="00832114"/>
    <w:rsid w:val="00834C46"/>
    <w:rsid w:val="0084093E"/>
    <w:rsid w:val="00841CE1"/>
    <w:rsid w:val="008473D8"/>
    <w:rsid w:val="008528DC"/>
    <w:rsid w:val="00852B8C"/>
    <w:rsid w:val="00854981"/>
    <w:rsid w:val="00864B2E"/>
    <w:rsid w:val="00865963"/>
    <w:rsid w:val="00871C1D"/>
    <w:rsid w:val="0087450E"/>
    <w:rsid w:val="00875A82"/>
    <w:rsid w:val="00876CA3"/>
    <w:rsid w:val="008772FE"/>
    <w:rsid w:val="008775F1"/>
    <w:rsid w:val="008821AE"/>
    <w:rsid w:val="00883D3A"/>
    <w:rsid w:val="008854F7"/>
    <w:rsid w:val="00885A9D"/>
    <w:rsid w:val="008929D2"/>
    <w:rsid w:val="00893636"/>
    <w:rsid w:val="00893B94"/>
    <w:rsid w:val="00896E9D"/>
    <w:rsid w:val="00896F11"/>
    <w:rsid w:val="008A1049"/>
    <w:rsid w:val="008A1C98"/>
    <w:rsid w:val="008A3122"/>
    <w:rsid w:val="008A322D"/>
    <w:rsid w:val="008A4D72"/>
    <w:rsid w:val="008A6285"/>
    <w:rsid w:val="008A63B2"/>
    <w:rsid w:val="008B345D"/>
    <w:rsid w:val="008C1FC2"/>
    <w:rsid w:val="008C2980"/>
    <w:rsid w:val="008C4DD6"/>
    <w:rsid w:val="008C5AFB"/>
    <w:rsid w:val="008D07FB"/>
    <w:rsid w:val="008D0C02"/>
    <w:rsid w:val="008D357D"/>
    <w:rsid w:val="008D435A"/>
    <w:rsid w:val="008E387B"/>
    <w:rsid w:val="008E6087"/>
    <w:rsid w:val="008E758D"/>
    <w:rsid w:val="008F10A7"/>
    <w:rsid w:val="008F755D"/>
    <w:rsid w:val="008F7A39"/>
    <w:rsid w:val="009021E8"/>
    <w:rsid w:val="00904677"/>
    <w:rsid w:val="00905EE2"/>
    <w:rsid w:val="00911440"/>
    <w:rsid w:val="00911712"/>
    <w:rsid w:val="00911B27"/>
    <w:rsid w:val="009170BE"/>
    <w:rsid w:val="00920B55"/>
    <w:rsid w:val="009262C9"/>
    <w:rsid w:val="00930EB9"/>
    <w:rsid w:val="00933DC7"/>
    <w:rsid w:val="009418F4"/>
    <w:rsid w:val="00942BBC"/>
    <w:rsid w:val="00944180"/>
    <w:rsid w:val="00944AA0"/>
    <w:rsid w:val="00947DA2"/>
    <w:rsid w:val="00951177"/>
    <w:rsid w:val="009673E8"/>
    <w:rsid w:val="00974DB8"/>
    <w:rsid w:val="0097611C"/>
    <w:rsid w:val="00980661"/>
    <w:rsid w:val="0098093B"/>
    <w:rsid w:val="009876D4"/>
    <w:rsid w:val="009914A5"/>
    <w:rsid w:val="0099548E"/>
    <w:rsid w:val="00996456"/>
    <w:rsid w:val="00996A12"/>
    <w:rsid w:val="00997B0F"/>
    <w:rsid w:val="009A0CC3"/>
    <w:rsid w:val="009A1CAD"/>
    <w:rsid w:val="009A3440"/>
    <w:rsid w:val="009A5832"/>
    <w:rsid w:val="009A6838"/>
    <w:rsid w:val="009B1A32"/>
    <w:rsid w:val="009B24B5"/>
    <w:rsid w:val="009B4EBC"/>
    <w:rsid w:val="009B5ABB"/>
    <w:rsid w:val="009B73CE"/>
    <w:rsid w:val="009C2461"/>
    <w:rsid w:val="009C4AE1"/>
    <w:rsid w:val="009C6FE2"/>
    <w:rsid w:val="009C7674"/>
    <w:rsid w:val="009D004A"/>
    <w:rsid w:val="009D5880"/>
    <w:rsid w:val="009E1FD4"/>
    <w:rsid w:val="009E3B07"/>
    <w:rsid w:val="009E51D1"/>
    <w:rsid w:val="009E5531"/>
    <w:rsid w:val="009F171E"/>
    <w:rsid w:val="009F3D2F"/>
    <w:rsid w:val="009F7052"/>
    <w:rsid w:val="00A02668"/>
    <w:rsid w:val="00A02801"/>
    <w:rsid w:val="00A06A39"/>
    <w:rsid w:val="00A07F58"/>
    <w:rsid w:val="00A131CB"/>
    <w:rsid w:val="00A14847"/>
    <w:rsid w:val="00A16D6D"/>
    <w:rsid w:val="00A21383"/>
    <w:rsid w:val="00A2199F"/>
    <w:rsid w:val="00A21B31"/>
    <w:rsid w:val="00A2360E"/>
    <w:rsid w:val="00A26E0C"/>
    <w:rsid w:val="00A32FCB"/>
    <w:rsid w:val="00A34C25"/>
    <w:rsid w:val="00A3507D"/>
    <w:rsid w:val="00A3717A"/>
    <w:rsid w:val="00A4088C"/>
    <w:rsid w:val="00A4456B"/>
    <w:rsid w:val="00A448D4"/>
    <w:rsid w:val="00A452E0"/>
    <w:rsid w:val="00A51EA5"/>
    <w:rsid w:val="00A53742"/>
    <w:rsid w:val="00A557A1"/>
    <w:rsid w:val="00A63059"/>
    <w:rsid w:val="00A63AE3"/>
    <w:rsid w:val="00A651A4"/>
    <w:rsid w:val="00A71361"/>
    <w:rsid w:val="00A746E2"/>
    <w:rsid w:val="00A81FF2"/>
    <w:rsid w:val="00A83904"/>
    <w:rsid w:val="00A90A79"/>
    <w:rsid w:val="00A96B30"/>
    <w:rsid w:val="00AA59B5"/>
    <w:rsid w:val="00AA7777"/>
    <w:rsid w:val="00AA7B84"/>
    <w:rsid w:val="00AB161B"/>
    <w:rsid w:val="00AB45C6"/>
    <w:rsid w:val="00AC0B4C"/>
    <w:rsid w:val="00AC1164"/>
    <w:rsid w:val="00AC2296"/>
    <w:rsid w:val="00AC2754"/>
    <w:rsid w:val="00AC48B0"/>
    <w:rsid w:val="00AC49F8"/>
    <w:rsid w:val="00AC4ACD"/>
    <w:rsid w:val="00AC5DFB"/>
    <w:rsid w:val="00AD056C"/>
    <w:rsid w:val="00AD13DC"/>
    <w:rsid w:val="00AD6DE2"/>
    <w:rsid w:val="00AE0A40"/>
    <w:rsid w:val="00AE1ED4"/>
    <w:rsid w:val="00AE21E1"/>
    <w:rsid w:val="00AE2F8D"/>
    <w:rsid w:val="00AE3BAE"/>
    <w:rsid w:val="00AE6A21"/>
    <w:rsid w:val="00AF1C8F"/>
    <w:rsid w:val="00AF2B68"/>
    <w:rsid w:val="00AF2C92"/>
    <w:rsid w:val="00AF3EC1"/>
    <w:rsid w:val="00AF5025"/>
    <w:rsid w:val="00AF519F"/>
    <w:rsid w:val="00AF5387"/>
    <w:rsid w:val="00AF55F5"/>
    <w:rsid w:val="00AF7E86"/>
    <w:rsid w:val="00B024B9"/>
    <w:rsid w:val="00B077FA"/>
    <w:rsid w:val="00B127D7"/>
    <w:rsid w:val="00B13B0C"/>
    <w:rsid w:val="00B1453A"/>
    <w:rsid w:val="00B20F82"/>
    <w:rsid w:val="00B25BD5"/>
    <w:rsid w:val="00B34079"/>
    <w:rsid w:val="00B3793A"/>
    <w:rsid w:val="00B401BA"/>
    <w:rsid w:val="00B407E4"/>
    <w:rsid w:val="00B425B6"/>
    <w:rsid w:val="00B42A72"/>
    <w:rsid w:val="00B441AE"/>
    <w:rsid w:val="00B45A65"/>
    <w:rsid w:val="00B45F33"/>
    <w:rsid w:val="00B46D50"/>
    <w:rsid w:val="00B53170"/>
    <w:rsid w:val="00B548B9"/>
    <w:rsid w:val="00B56DBE"/>
    <w:rsid w:val="00B62999"/>
    <w:rsid w:val="00B63BE3"/>
    <w:rsid w:val="00B64885"/>
    <w:rsid w:val="00B66810"/>
    <w:rsid w:val="00B72BE3"/>
    <w:rsid w:val="00B73B80"/>
    <w:rsid w:val="00B770C7"/>
    <w:rsid w:val="00B80F26"/>
    <w:rsid w:val="00B822BD"/>
    <w:rsid w:val="00B842F4"/>
    <w:rsid w:val="00B84F75"/>
    <w:rsid w:val="00B91A7B"/>
    <w:rsid w:val="00B929DD"/>
    <w:rsid w:val="00B93AF6"/>
    <w:rsid w:val="00B95405"/>
    <w:rsid w:val="00B963F1"/>
    <w:rsid w:val="00BA020A"/>
    <w:rsid w:val="00BB025A"/>
    <w:rsid w:val="00BB02A4"/>
    <w:rsid w:val="00BB1270"/>
    <w:rsid w:val="00BB1E44"/>
    <w:rsid w:val="00BB5267"/>
    <w:rsid w:val="00BB52B8"/>
    <w:rsid w:val="00BB59D8"/>
    <w:rsid w:val="00BB7E69"/>
    <w:rsid w:val="00BC0E51"/>
    <w:rsid w:val="00BC3C1F"/>
    <w:rsid w:val="00BC7CE7"/>
    <w:rsid w:val="00BD295E"/>
    <w:rsid w:val="00BD4664"/>
    <w:rsid w:val="00BE1193"/>
    <w:rsid w:val="00BF4849"/>
    <w:rsid w:val="00BF4EA7"/>
    <w:rsid w:val="00C00EDB"/>
    <w:rsid w:val="00C02863"/>
    <w:rsid w:val="00C0383A"/>
    <w:rsid w:val="00C067FF"/>
    <w:rsid w:val="00C12862"/>
    <w:rsid w:val="00C13D28"/>
    <w:rsid w:val="00C14585"/>
    <w:rsid w:val="00C165A0"/>
    <w:rsid w:val="00C200B1"/>
    <w:rsid w:val="00C216CE"/>
    <w:rsid w:val="00C2184F"/>
    <w:rsid w:val="00C22A78"/>
    <w:rsid w:val="00C23C7E"/>
    <w:rsid w:val="00C246C5"/>
    <w:rsid w:val="00C247A4"/>
    <w:rsid w:val="00C25A82"/>
    <w:rsid w:val="00C30A2A"/>
    <w:rsid w:val="00C33993"/>
    <w:rsid w:val="00C4069E"/>
    <w:rsid w:val="00C418DD"/>
    <w:rsid w:val="00C41ADC"/>
    <w:rsid w:val="00C44149"/>
    <w:rsid w:val="00C44410"/>
    <w:rsid w:val="00C44A15"/>
    <w:rsid w:val="00C4630A"/>
    <w:rsid w:val="00C523F0"/>
    <w:rsid w:val="00C526D2"/>
    <w:rsid w:val="00C53A91"/>
    <w:rsid w:val="00C5794E"/>
    <w:rsid w:val="00C60968"/>
    <w:rsid w:val="00C63D39"/>
    <w:rsid w:val="00C63EDD"/>
    <w:rsid w:val="00C65B36"/>
    <w:rsid w:val="00C7292E"/>
    <w:rsid w:val="00C74E88"/>
    <w:rsid w:val="00C80924"/>
    <w:rsid w:val="00C8286B"/>
    <w:rsid w:val="00C947F8"/>
    <w:rsid w:val="00C9515F"/>
    <w:rsid w:val="00C963C5"/>
    <w:rsid w:val="00CA030C"/>
    <w:rsid w:val="00CA1F41"/>
    <w:rsid w:val="00CA32EE"/>
    <w:rsid w:val="00CA5771"/>
    <w:rsid w:val="00CA6A1A"/>
    <w:rsid w:val="00CC1E75"/>
    <w:rsid w:val="00CC2E0E"/>
    <w:rsid w:val="00CC361C"/>
    <w:rsid w:val="00CC474B"/>
    <w:rsid w:val="00CC658C"/>
    <w:rsid w:val="00CC67BF"/>
    <w:rsid w:val="00CD0843"/>
    <w:rsid w:val="00CD4E31"/>
    <w:rsid w:val="00CD5A78"/>
    <w:rsid w:val="00CD7345"/>
    <w:rsid w:val="00CE372E"/>
    <w:rsid w:val="00CF0A1B"/>
    <w:rsid w:val="00CF19F6"/>
    <w:rsid w:val="00CF2F4F"/>
    <w:rsid w:val="00CF536D"/>
    <w:rsid w:val="00D02E9D"/>
    <w:rsid w:val="00D10CB8"/>
    <w:rsid w:val="00D12806"/>
    <w:rsid w:val="00D12D44"/>
    <w:rsid w:val="00D15018"/>
    <w:rsid w:val="00D158AC"/>
    <w:rsid w:val="00D1694C"/>
    <w:rsid w:val="00D20F5E"/>
    <w:rsid w:val="00D23B76"/>
    <w:rsid w:val="00D24B4A"/>
    <w:rsid w:val="00D379A3"/>
    <w:rsid w:val="00D45FF3"/>
    <w:rsid w:val="00D512CF"/>
    <w:rsid w:val="00D528B9"/>
    <w:rsid w:val="00D53186"/>
    <w:rsid w:val="00D5487D"/>
    <w:rsid w:val="00D60140"/>
    <w:rsid w:val="00D6024A"/>
    <w:rsid w:val="00D608B5"/>
    <w:rsid w:val="00D64739"/>
    <w:rsid w:val="00D71F99"/>
    <w:rsid w:val="00D73CA4"/>
    <w:rsid w:val="00D73D71"/>
    <w:rsid w:val="00D74396"/>
    <w:rsid w:val="00D80284"/>
    <w:rsid w:val="00D81F71"/>
    <w:rsid w:val="00D841FF"/>
    <w:rsid w:val="00D8642D"/>
    <w:rsid w:val="00D90A5E"/>
    <w:rsid w:val="00D91A68"/>
    <w:rsid w:val="00D95A68"/>
    <w:rsid w:val="00DA17C7"/>
    <w:rsid w:val="00DA6A9A"/>
    <w:rsid w:val="00DB1EFD"/>
    <w:rsid w:val="00DB3EAF"/>
    <w:rsid w:val="00DB46C6"/>
    <w:rsid w:val="00DC3203"/>
    <w:rsid w:val="00DC3C99"/>
    <w:rsid w:val="00DC52F5"/>
    <w:rsid w:val="00DC5FD0"/>
    <w:rsid w:val="00DD0354"/>
    <w:rsid w:val="00DD27D7"/>
    <w:rsid w:val="00DD458C"/>
    <w:rsid w:val="00DD72E9"/>
    <w:rsid w:val="00DD7605"/>
    <w:rsid w:val="00DE2020"/>
    <w:rsid w:val="00DE3476"/>
    <w:rsid w:val="00DE3608"/>
    <w:rsid w:val="00DE7BEA"/>
    <w:rsid w:val="00DF5B84"/>
    <w:rsid w:val="00DF6D5B"/>
    <w:rsid w:val="00DF771B"/>
    <w:rsid w:val="00DF7EE2"/>
    <w:rsid w:val="00E01BAA"/>
    <w:rsid w:val="00E0282A"/>
    <w:rsid w:val="00E02F9B"/>
    <w:rsid w:val="00E07E14"/>
    <w:rsid w:val="00E11E43"/>
    <w:rsid w:val="00E14F94"/>
    <w:rsid w:val="00E17336"/>
    <w:rsid w:val="00E17D15"/>
    <w:rsid w:val="00E223AA"/>
    <w:rsid w:val="00E22B95"/>
    <w:rsid w:val="00E30331"/>
    <w:rsid w:val="00E30BB8"/>
    <w:rsid w:val="00E31F9C"/>
    <w:rsid w:val="00E40488"/>
    <w:rsid w:val="00E41A8F"/>
    <w:rsid w:val="00E50367"/>
    <w:rsid w:val="00E51ABA"/>
    <w:rsid w:val="00E524CB"/>
    <w:rsid w:val="00E60ED0"/>
    <w:rsid w:val="00E65456"/>
    <w:rsid w:val="00E65A91"/>
    <w:rsid w:val="00E66188"/>
    <w:rsid w:val="00E664FB"/>
    <w:rsid w:val="00E672F0"/>
    <w:rsid w:val="00E70373"/>
    <w:rsid w:val="00E72E40"/>
    <w:rsid w:val="00E73665"/>
    <w:rsid w:val="00E73999"/>
    <w:rsid w:val="00E73BDC"/>
    <w:rsid w:val="00E73E9E"/>
    <w:rsid w:val="00E81660"/>
    <w:rsid w:val="00E854FE"/>
    <w:rsid w:val="00E906CC"/>
    <w:rsid w:val="00E939A0"/>
    <w:rsid w:val="00E97E4E"/>
    <w:rsid w:val="00EA1CC2"/>
    <w:rsid w:val="00EA2D76"/>
    <w:rsid w:val="00EA4644"/>
    <w:rsid w:val="00EA758A"/>
    <w:rsid w:val="00EB096F"/>
    <w:rsid w:val="00EB199F"/>
    <w:rsid w:val="00EB27C4"/>
    <w:rsid w:val="00EB5387"/>
    <w:rsid w:val="00EB5C10"/>
    <w:rsid w:val="00EB7322"/>
    <w:rsid w:val="00EC0FE9"/>
    <w:rsid w:val="00EC198B"/>
    <w:rsid w:val="00EC426D"/>
    <w:rsid w:val="00EC571B"/>
    <w:rsid w:val="00EC57D7"/>
    <w:rsid w:val="00EC6385"/>
    <w:rsid w:val="00ED1DE9"/>
    <w:rsid w:val="00ED23D4"/>
    <w:rsid w:val="00ED5E0B"/>
    <w:rsid w:val="00ED63B3"/>
    <w:rsid w:val="00EE37B6"/>
    <w:rsid w:val="00EF0F45"/>
    <w:rsid w:val="00EF7463"/>
    <w:rsid w:val="00EF7971"/>
    <w:rsid w:val="00F002EF"/>
    <w:rsid w:val="00F01EE9"/>
    <w:rsid w:val="00F04900"/>
    <w:rsid w:val="00F065A4"/>
    <w:rsid w:val="00F126B9"/>
    <w:rsid w:val="00F12715"/>
    <w:rsid w:val="00F144D5"/>
    <w:rsid w:val="00F146F0"/>
    <w:rsid w:val="00F15039"/>
    <w:rsid w:val="00F20FF3"/>
    <w:rsid w:val="00F2190B"/>
    <w:rsid w:val="00F228B5"/>
    <w:rsid w:val="00F2389C"/>
    <w:rsid w:val="00F25C67"/>
    <w:rsid w:val="00F30DFF"/>
    <w:rsid w:val="00F32B80"/>
    <w:rsid w:val="00F340EB"/>
    <w:rsid w:val="00F35285"/>
    <w:rsid w:val="00F43B9D"/>
    <w:rsid w:val="00F44D5E"/>
    <w:rsid w:val="00F53A35"/>
    <w:rsid w:val="00F55A3D"/>
    <w:rsid w:val="00F5744B"/>
    <w:rsid w:val="00F61209"/>
    <w:rsid w:val="00F6259E"/>
    <w:rsid w:val="00F65DD4"/>
    <w:rsid w:val="00F672B2"/>
    <w:rsid w:val="00F76511"/>
    <w:rsid w:val="00F83973"/>
    <w:rsid w:val="00F87FA3"/>
    <w:rsid w:val="00F90629"/>
    <w:rsid w:val="00F93D8C"/>
    <w:rsid w:val="00FA3102"/>
    <w:rsid w:val="00FA48D4"/>
    <w:rsid w:val="00FA54FA"/>
    <w:rsid w:val="00FA6D39"/>
    <w:rsid w:val="00FB227E"/>
    <w:rsid w:val="00FB3D61"/>
    <w:rsid w:val="00FB44CE"/>
    <w:rsid w:val="00FB5009"/>
    <w:rsid w:val="00FB76AB"/>
    <w:rsid w:val="00FD03FE"/>
    <w:rsid w:val="00FD126E"/>
    <w:rsid w:val="00FD3C36"/>
    <w:rsid w:val="00FD4D81"/>
    <w:rsid w:val="00FD7498"/>
    <w:rsid w:val="00FD7FB3"/>
    <w:rsid w:val="00FE4713"/>
    <w:rsid w:val="00FF1F44"/>
    <w:rsid w:val="00FF225E"/>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C97CE"/>
  <w15:docId w15:val="{F0A28E17-60EC-4094-97C0-6B2172CBB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96F"/>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Hyperlink">
    <w:name w:val="Hyperlink"/>
    <w:basedOn w:val="DefaultParagraphFont"/>
    <w:uiPriority w:val="99"/>
    <w:unhideWhenUsed/>
    <w:rsid w:val="00507735"/>
    <w:rPr>
      <w:color w:val="0000FF" w:themeColor="hyperlink"/>
      <w:u w:val="single"/>
    </w:rPr>
  </w:style>
  <w:style w:type="paragraph" w:styleId="ListParagraph">
    <w:name w:val="List Paragraph"/>
    <w:aliases w:val="جدول,شکل,saber List Paragraph,Numbering + Normal,Numbered Items,heading2,شماره,ماخذ,List Paragrap,داخل جدول‌ها,List Paragraحا,List Paragraph1,تیتر 8,ليست همراه با شماره-فاصله خطوط 1,نمودار11"/>
    <w:basedOn w:val="Normal"/>
    <w:link w:val="ListParagraphChar"/>
    <w:uiPriority w:val="34"/>
    <w:qFormat/>
    <w:rsid w:val="00ED63B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ListParagraphChar">
    <w:name w:val="List Paragraph Char"/>
    <w:aliases w:val="جدول Char,شکل Char,saber List Paragraph Char,Numbering + Normal Char,Numbered Items Char,heading2 Char,شماره Char,ماخذ Char,List Paragrap Char,داخل جدول‌ها Char,List Paragraحا Char,List Paragraph1 Char,تیتر 8 Char,نمودار11 Char"/>
    <w:link w:val="ListParagraph"/>
    <w:uiPriority w:val="34"/>
    <w:locked/>
    <w:rsid w:val="00ED63B3"/>
    <w:rPr>
      <w:rFonts w:asciiTheme="minorHAnsi" w:eastAsiaTheme="minorHAnsi" w:hAnsiTheme="minorHAnsi" w:cstheme="minorBidi"/>
      <w:sz w:val="22"/>
      <w:szCs w:val="22"/>
      <w:lang w:val="en-US" w:eastAsia="en-US"/>
    </w:rPr>
  </w:style>
  <w:style w:type="character" w:customStyle="1" w:styleId="hit">
    <w:name w:val="hit"/>
    <w:basedOn w:val="DefaultParagraphFont"/>
    <w:rsid w:val="00315D1E"/>
  </w:style>
  <w:style w:type="character" w:styleId="Emphasis">
    <w:name w:val="Emphasis"/>
    <w:basedOn w:val="DefaultParagraphFont"/>
    <w:uiPriority w:val="20"/>
    <w:qFormat/>
    <w:rsid w:val="00315D1E"/>
    <w:rPr>
      <w:i/>
      <w:iCs/>
    </w:rPr>
  </w:style>
  <w:style w:type="table" w:styleId="PlainTable2">
    <w:name w:val="Plain Table 2"/>
    <w:basedOn w:val="TableNormal"/>
    <w:uiPriority w:val="42"/>
    <w:rsid w:val="00315D1E"/>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AB161B"/>
    <w:rPr>
      <w:rFonts w:asciiTheme="minorHAnsi" w:eastAsiaTheme="minorHAnsi" w:hAnsiTheme="minorHAnsi" w:cstheme="minorBidi"/>
      <w:sz w:val="22"/>
      <w:szCs w:val="22"/>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semiHidden/>
    <w:unhideWhenUsed/>
    <w:rsid w:val="00D841FF"/>
    <w:rPr>
      <w:sz w:val="16"/>
      <w:szCs w:val="16"/>
    </w:rPr>
  </w:style>
  <w:style w:type="paragraph" w:styleId="CommentText">
    <w:name w:val="annotation text"/>
    <w:basedOn w:val="Normal"/>
    <w:link w:val="CommentTextChar"/>
    <w:semiHidden/>
    <w:unhideWhenUsed/>
    <w:rsid w:val="00D841FF"/>
    <w:pPr>
      <w:spacing w:line="240" w:lineRule="auto"/>
    </w:pPr>
    <w:rPr>
      <w:sz w:val="20"/>
      <w:szCs w:val="20"/>
    </w:rPr>
  </w:style>
  <w:style w:type="character" w:customStyle="1" w:styleId="CommentTextChar">
    <w:name w:val="Comment Text Char"/>
    <w:basedOn w:val="DefaultParagraphFont"/>
    <w:link w:val="CommentText"/>
    <w:semiHidden/>
    <w:rsid w:val="00D841FF"/>
  </w:style>
  <w:style w:type="paragraph" w:styleId="CommentSubject">
    <w:name w:val="annotation subject"/>
    <w:basedOn w:val="CommentText"/>
    <w:next w:val="CommentText"/>
    <w:link w:val="CommentSubjectChar"/>
    <w:semiHidden/>
    <w:unhideWhenUsed/>
    <w:rsid w:val="00D841FF"/>
    <w:rPr>
      <w:b/>
      <w:bCs/>
    </w:rPr>
  </w:style>
  <w:style w:type="character" w:customStyle="1" w:styleId="CommentSubjectChar">
    <w:name w:val="Comment Subject Char"/>
    <w:basedOn w:val="CommentTextChar"/>
    <w:link w:val="CommentSubject"/>
    <w:semiHidden/>
    <w:rsid w:val="00D841FF"/>
    <w:rPr>
      <w:b/>
      <w:bCs/>
    </w:rPr>
  </w:style>
  <w:style w:type="paragraph" w:styleId="BalloonText">
    <w:name w:val="Balloon Text"/>
    <w:basedOn w:val="Normal"/>
    <w:link w:val="BalloonTextChar"/>
    <w:semiHidden/>
    <w:unhideWhenUsed/>
    <w:rsid w:val="00D841F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841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92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eshrati@bsu.edu" TargetMode="External"/><Relationship Id="rId18" Type="http://schemas.openxmlformats.org/officeDocument/2006/relationships/image" Target="media/image4.JPG"/><Relationship Id="rId26" Type="http://schemas.openxmlformats.org/officeDocument/2006/relationships/image" Target="media/image12.JPG"/><Relationship Id="rId21" Type="http://schemas.openxmlformats.org/officeDocument/2006/relationships/image" Target="media/image7.jpeg"/><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hyperlink" Target="mailto:Ar.ghahramani1992@gmail.com" TargetMode="External"/><Relationship Id="rId17" Type="http://schemas.openxmlformats.org/officeDocument/2006/relationships/image" Target="media/image3.png"/><Relationship Id="rId25" Type="http://schemas.openxmlformats.org/officeDocument/2006/relationships/image" Target="media/image11.JPG"/><Relationship Id="rId33" Type="http://schemas.openxmlformats.org/officeDocument/2006/relationships/image" Target="media/image18.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6.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ch.rv@shirazu.ac.ir" TargetMode="External"/><Relationship Id="rId24" Type="http://schemas.openxmlformats.org/officeDocument/2006/relationships/image" Target="media/image10.JPG"/><Relationship Id="rId32" Type="http://schemas.openxmlformats.org/officeDocument/2006/relationships/image" Target="media/image17.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yperlink" Target="https://orcid.org/0000-0001-8319-8814" TargetMode="External"/><Relationship Id="rId14" Type="http://schemas.openxmlformats.org/officeDocument/2006/relationships/hyperlink" Target="mailto:kazemnamazi@ksu.edu" TargetMode="External"/><Relationship Id="rId22" Type="http://schemas.openxmlformats.org/officeDocument/2006/relationships/image" Target="media/image8.JPG"/><Relationship Id="rId27" Type="http://schemas.openxmlformats.org/officeDocument/2006/relationships/chart" Target="charts/chart1.xml"/><Relationship Id="rId30" Type="http://schemas.openxmlformats.org/officeDocument/2006/relationships/image" Target="media/image15.jpeg"/><Relationship Id="rId35" Type="http://schemas.openxmlformats.org/officeDocument/2006/relationships/image" Target="media/image20.jpeg"/><Relationship Id="rId8" Type="http://schemas.openxmlformats.org/officeDocument/2006/relationships/hyperlink" Target="mailto:eshrati@ut.ac.ir"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Rar$DIa0.512\TF_Template_Word_Windows_2013.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Arched</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Small</c:v>
                </c:pt>
                <c:pt idx="1">
                  <c:v>Medium</c:v>
                </c:pt>
                <c:pt idx="2">
                  <c:v>Large</c:v>
                </c:pt>
              </c:strCache>
            </c:strRef>
          </c:cat>
          <c:val>
            <c:numRef>
              <c:f>Sheet1!$B$2:$B$4</c:f>
              <c:numCache>
                <c:formatCode>General</c:formatCode>
                <c:ptCount val="3"/>
                <c:pt idx="0">
                  <c:v>10</c:v>
                </c:pt>
                <c:pt idx="1">
                  <c:v>79</c:v>
                </c:pt>
                <c:pt idx="2">
                  <c:v>11</c:v>
                </c:pt>
              </c:numCache>
            </c:numRef>
          </c:val>
          <c:extLst>
            <c:ext xmlns:c16="http://schemas.microsoft.com/office/drawing/2014/chart" uri="{C3380CC4-5D6E-409C-BE32-E72D297353CC}">
              <c16:uniqueId val="{00000000-A542-433F-8AE8-D102AE32E921}"/>
            </c:ext>
          </c:extLst>
        </c:ser>
        <c:ser>
          <c:idx val="1"/>
          <c:order val="1"/>
          <c:tx>
            <c:strRef>
              <c:f>Sheet1!$C$1</c:f>
              <c:strCache>
                <c:ptCount val="1"/>
                <c:pt idx="0">
                  <c:v>Rectangular</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Small</c:v>
                </c:pt>
                <c:pt idx="1">
                  <c:v>Medium</c:v>
                </c:pt>
                <c:pt idx="2">
                  <c:v>Large</c:v>
                </c:pt>
              </c:strCache>
            </c:strRef>
          </c:cat>
          <c:val>
            <c:numRef>
              <c:f>Sheet1!$C$2:$C$4</c:f>
              <c:numCache>
                <c:formatCode>General</c:formatCode>
                <c:ptCount val="3"/>
                <c:pt idx="0">
                  <c:v>90</c:v>
                </c:pt>
                <c:pt idx="1">
                  <c:v>21</c:v>
                </c:pt>
                <c:pt idx="2">
                  <c:v>88</c:v>
                </c:pt>
              </c:numCache>
            </c:numRef>
          </c:val>
          <c:extLst>
            <c:ext xmlns:c16="http://schemas.microsoft.com/office/drawing/2014/chart" uri="{C3380CC4-5D6E-409C-BE32-E72D297353CC}">
              <c16:uniqueId val="{00000001-A542-433F-8AE8-D102AE32E921}"/>
            </c:ext>
          </c:extLst>
        </c:ser>
        <c:dLbls>
          <c:dLblPos val="outEnd"/>
          <c:showLegendKey val="0"/>
          <c:showVal val="1"/>
          <c:showCatName val="0"/>
          <c:showSerName val="0"/>
          <c:showPercent val="0"/>
          <c:showBubbleSize val="0"/>
        </c:dLbls>
        <c:gapWidth val="219"/>
        <c:overlap val="-27"/>
        <c:axId val="-1241859952"/>
        <c:axId val="-1241858320"/>
      </c:barChart>
      <c:catAx>
        <c:axId val="-1241859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1858320"/>
        <c:crosses val="autoZero"/>
        <c:auto val="1"/>
        <c:lblAlgn val="ctr"/>
        <c:lblOffset val="100"/>
        <c:noMultiLvlLbl val="0"/>
      </c:catAx>
      <c:valAx>
        <c:axId val="-1241858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layout>
            <c:manualLayout>
              <c:xMode val="edge"/>
              <c:yMode val="edge"/>
              <c:x val="7.407407407407407E-2"/>
              <c:y val="0.3308498937632796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18599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3472BAF-5602-4CCD-9E88-1177839BF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TF_Template_Word_Windows_2013</Template>
  <TotalTime>305</TotalTime>
  <Pages>24</Pages>
  <Words>27620</Words>
  <Characters>157436</Characters>
  <Application>Microsoft Office Word</Application>
  <DocSecurity>0</DocSecurity>
  <Lines>1311</Lines>
  <Paragraphs>369</Paragraphs>
  <ScaleCrop>false</ScaleCrop>
  <HeadingPairs>
    <vt:vector size="2" baseType="variant">
      <vt:variant>
        <vt:lpstr>Title</vt:lpstr>
      </vt:variant>
      <vt:variant>
        <vt:i4>1</vt:i4>
      </vt:variant>
    </vt:vector>
  </HeadingPairs>
  <TitlesOfParts>
    <vt:vector size="1" baseType="lpstr">
      <vt:lpstr>TF_Template_Word_Windows_2013</vt:lpstr>
    </vt:vector>
  </TitlesOfParts>
  <Company>Informa Plc</Company>
  <LinksUpToDate>false</LinksUpToDate>
  <CharactersWithSpaces>184687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TF_Template_Word_Windows_2013</dc:title>
  <dc:subject/>
  <dc:creator>USER</dc:creator>
  <cp:keywords/>
  <dc:description/>
  <cp:lastModifiedBy>HP</cp:lastModifiedBy>
  <cp:revision>27</cp:revision>
  <cp:lastPrinted>2022-09-14T07:20:00Z</cp:lastPrinted>
  <dcterms:created xsi:type="dcterms:W3CDTF">2022-09-14T07:08:00Z</dcterms:created>
  <dcterms:modified xsi:type="dcterms:W3CDTF">2023-06-19T14:48:00Z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http://www.zotero.org/styles/chicago-author-date</vt:lpwstr>
  </property>
  <property fmtid="{D5CDD505-2E9C-101B-9397-08002B2CF9AE}" pid="23" name="Mendeley Document_1">
    <vt:lpwstr>True</vt:lpwstr>
  </property>
  <property fmtid="{D5CDD505-2E9C-101B-9397-08002B2CF9AE}" pid="24" name="Mendeley Unique User Id_1">
    <vt:lpwstr>3bd3c964-4298-3ac0-83b9-41b92c98166a</vt:lpwstr>
  </property>
</Properties>
</file>