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DEF" w:rsidRDefault="00121DEF" w:rsidP="00121DEF">
      <w:pPr>
        <w:spacing w:line="276" w:lineRule="auto"/>
        <w:jc w:val="center"/>
        <w:rPr>
          <w:rFonts w:asciiTheme="majorBidi" w:hAnsiTheme="majorBidi" w:cstheme="majorBidi"/>
          <w:b/>
          <w:bCs/>
          <w:lang w:bidi="fa-IR"/>
        </w:rPr>
      </w:pPr>
    </w:p>
    <w:p w:rsidR="00121DEF" w:rsidRDefault="00121DEF" w:rsidP="00121DEF">
      <w:pPr>
        <w:spacing w:line="276" w:lineRule="auto"/>
        <w:jc w:val="center"/>
        <w:rPr>
          <w:rFonts w:asciiTheme="majorBidi" w:hAnsiTheme="majorBidi" w:cstheme="majorBidi"/>
          <w:b/>
          <w:bCs/>
          <w:lang w:bidi="fa-IR"/>
        </w:rPr>
      </w:pPr>
    </w:p>
    <w:p w:rsidR="00121DEF" w:rsidRPr="00C31CD9" w:rsidRDefault="00121DEF" w:rsidP="00136348">
      <w:pPr>
        <w:spacing w:line="240" w:lineRule="auto"/>
        <w:jc w:val="center"/>
      </w:pPr>
      <w:r w:rsidRPr="00C31CD9">
        <w:rPr>
          <w:b/>
          <w:bCs/>
          <w:lang w:bidi="fa-IR"/>
        </w:rPr>
        <w:t xml:space="preserve">A </w:t>
      </w:r>
      <w:r w:rsidR="00A46E80" w:rsidRPr="00C31CD9">
        <w:rPr>
          <w:b/>
          <w:bCs/>
          <w:lang w:bidi="fa-IR"/>
        </w:rPr>
        <w:t xml:space="preserve">Methodological </w:t>
      </w:r>
      <w:r w:rsidR="00136348" w:rsidRPr="00C31CD9">
        <w:rPr>
          <w:b/>
          <w:bCs/>
          <w:lang w:bidi="fa-IR"/>
        </w:rPr>
        <w:t>Assessment</w:t>
      </w:r>
      <w:r w:rsidRPr="00C31CD9">
        <w:rPr>
          <w:b/>
          <w:bCs/>
          <w:lang w:bidi="fa-IR"/>
        </w:rPr>
        <w:t xml:space="preserve"> of</w:t>
      </w:r>
      <w:r w:rsidR="00136348" w:rsidRPr="00C31CD9">
        <w:rPr>
          <w:b/>
          <w:bCs/>
          <w:lang w:bidi="fa-IR"/>
        </w:rPr>
        <w:t xml:space="preserve"> the</w:t>
      </w:r>
      <w:r w:rsidRPr="00C31CD9">
        <w:rPr>
          <w:b/>
          <w:bCs/>
          <w:lang w:bidi="fa-IR"/>
        </w:rPr>
        <w:t xml:space="preserve"> </w:t>
      </w:r>
      <w:r w:rsidR="00136348" w:rsidRPr="00C31CD9">
        <w:rPr>
          <w:b/>
          <w:bCs/>
          <w:lang w:bidi="fa-IR"/>
        </w:rPr>
        <w:t>Significance of diverse</w:t>
      </w:r>
      <w:r w:rsidRPr="00C31CD9">
        <w:rPr>
          <w:b/>
          <w:bCs/>
          <w:lang w:bidi="fa-IR"/>
        </w:rPr>
        <w:t xml:space="preserve"> Variables in </w:t>
      </w:r>
      <w:r w:rsidR="00136348" w:rsidRPr="00C31CD9">
        <w:rPr>
          <w:b/>
          <w:bCs/>
          <w:lang w:bidi="fa-IR"/>
        </w:rPr>
        <w:t>Housing Framework of Iranian and International Scientific Journals</w:t>
      </w:r>
    </w:p>
    <w:p w:rsidR="00121DEF" w:rsidRPr="00121DEF" w:rsidRDefault="00121DEF" w:rsidP="00121DEF"/>
    <w:p w:rsidR="00121DEF" w:rsidRDefault="00121DEF" w:rsidP="00121DEF">
      <w:pPr>
        <w:pStyle w:val="Affiliation"/>
        <w:spacing w:line="240" w:lineRule="auto"/>
        <w:jc w:val="center"/>
        <w:rPr>
          <w:rFonts w:asciiTheme="majorBidi" w:hAnsiTheme="majorBidi" w:cstheme="majorBidi"/>
          <w:i w:val="0"/>
          <w:iCs/>
        </w:rPr>
      </w:pPr>
      <w:r w:rsidRPr="006B1C32">
        <w:rPr>
          <w:rFonts w:asciiTheme="majorBidi" w:hAnsiTheme="majorBidi" w:cstheme="majorBidi"/>
          <w:i w:val="0"/>
          <w:iCs/>
        </w:rPr>
        <w:t>Rahil Nadoomi</w:t>
      </w:r>
      <w:r>
        <w:rPr>
          <w:rFonts w:asciiTheme="majorBidi" w:hAnsiTheme="majorBidi" w:cstheme="majorBidi"/>
          <w:i w:val="0"/>
          <w:iCs/>
        </w:rPr>
        <w:t>;</w:t>
      </w:r>
    </w:p>
    <w:p w:rsidR="00121DEF" w:rsidRDefault="00121DEF" w:rsidP="00121DEF">
      <w:pPr>
        <w:pStyle w:val="Affiliation"/>
        <w:spacing w:line="240" w:lineRule="auto"/>
        <w:jc w:val="center"/>
        <w:rPr>
          <w:rStyle w:val="Hyperlink"/>
          <w:rFonts w:asciiTheme="majorBidi" w:hAnsiTheme="majorBidi" w:cstheme="majorBidi"/>
          <w:i w:val="0"/>
          <w:iCs/>
          <w:lang w:bidi="fa-IR"/>
        </w:rPr>
      </w:pPr>
      <w:r>
        <w:rPr>
          <w:rFonts w:asciiTheme="majorBidi" w:hAnsiTheme="majorBidi" w:cstheme="majorBidi"/>
          <w:i w:val="0"/>
          <w:iCs/>
        </w:rPr>
        <w:t xml:space="preserve"> </w:t>
      </w:r>
      <w:r w:rsidRPr="006B1C32">
        <w:rPr>
          <w:rFonts w:asciiTheme="majorBidi" w:hAnsiTheme="majorBidi" w:cstheme="majorBidi"/>
          <w:i w:val="0"/>
          <w:iCs/>
          <w:lang w:bidi="fa-IR"/>
        </w:rPr>
        <w:t xml:space="preserve">Architecture and Urban Development Faculty, Shahid Rajaee Teacher Training University, Tehran, Iran, </w:t>
      </w:r>
      <w:hyperlink r:id="rId9" w:history="1">
        <w:r w:rsidRPr="006B1C32">
          <w:rPr>
            <w:rStyle w:val="Hyperlink"/>
            <w:rFonts w:asciiTheme="majorBidi" w:hAnsiTheme="majorBidi" w:cstheme="majorBidi"/>
            <w:i w:val="0"/>
            <w:iCs/>
            <w:lang w:bidi="fa-IR"/>
          </w:rPr>
          <w:t>rahilnadoomi@sru.ac.ir</w:t>
        </w:r>
      </w:hyperlink>
    </w:p>
    <w:p w:rsidR="00121DEF" w:rsidRPr="006B1C32" w:rsidRDefault="00121DEF" w:rsidP="00121DEF">
      <w:pPr>
        <w:pStyle w:val="Affiliation"/>
        <w:spacing w:line="240" w:lineRule="auto"/>
        <w:jc w:val="center"/>
        <w:rPr>
          <w:rFonts w:asciiTheme="majorBidi" w:hAnsiTheme="majorBidi" w:cstheme="majorBidi"/>
          <w:i w:val="0"/>
          <w:iCs/>
        </w:rPr>
      </w:pPr>
    </w:p>
    <w:p w:rsidR="00121DEF" w:rsidRDefault="00121DEF" w:rsidP="00121DEF">
      <w:pPr>
        <w:pStyle w:val="Authornames"/>
        <w:spacing w:line="240" w:lineRule="auto"/>
        <w:jc w:val="center"/>
        <w:rPr>
          <w:rFonts w:asciiTheme="majorBidi" w:hAnsiTheme="majorBidi" w:cstheme="majorBidi"/>
          <w:iCs/>
          <w:sz w:val="24"/>
        </w:rPr>
      </w:pPr>
      <w:r w:rsidRPr="006B1C32">
        <w:rPr>
          <w:rFonts w:asciiTheme="majorBidi" w:hAnsiTheme="majorBidi" w:cstheme="majorBidi"/>
          <w:iCs/>
          <w:sz w:val="24"/>
        </w:rPr>
        <w:t>Ali Sharghi</w:t>
      </w:r>
      <w:r w:rsidR="007C43D9">
        <w:rPr>
          <w:rStyle w:val="FootnoteReference"/>
          <w:rFonts w:asciiTheme="majorBidi" w:hAnsiTheme="majorBidi" w:cstheme="majorBidi"/>
          <w:iCs/>
          <w:sz w:val="24"/>
        </w:rPr>
        <w:footnoteReference w:id="1"/>
      </w:r>
      <w:r>
        <w:rPr>
          <w:rFonts w:asciiTheme="majorBidi" w:hAnsiTheme="majorBidi" w:cstheme="majorBidi"/>
          <w:iCs/>
          <w:sz w:val="24"/>
        </w:rPr>
        <w:t>;</w:t>
      </w:r>
    </w:p>
    <w:p w:rsidR="00121DEF" w:rsidRDefault="00121DEF" w:rsidP="00136348">
      <w:pPr>
        <w:pStyle w:val="Authornames"/>
        <w:spacing w:line="240" w:lineRule="auto"/>
        <w:jc w:val="center"/>
        <w:rPr>
          <w:rStyle w:val="Hyperlink"/>
          <w:rFonts w:asciiTheme="majorBidi" w:hAnsiTheme="majorBidi" w:cstheme="majorBidi"/>
          <w:iCs/>
          <w:sz w:val="24"/>
          <w:lang w:bidi="fa-IR"/>
        </w:rPr>
      </w:pPr>
      <w:r>
        <w:rPr>
          <w:rFonts w:asciiTheme="majorBidi" w:hAnsiTheme="majorBidi" w:cstheme="majorBidi"/>
          <w:iCs/>
          <w:sz w:val="24"/>
        </w:rPr>
        <w:t xml:space="preserve"> </w:t>
      </w:r>
      <w:r w:rsidRPr="006B1C32">
        <w:rPr>
          <w:rFonts w:asciiTheme="majorBidi" w:hAnsiTheme="majorBidi" w:cstheme="majorBidi"/>
          <w:iCs/>
          <w:sz w:val="24"/>
          <w:lang w:bidi="fa-IR"/>
        </w:rPr>
        <w:t xml:space="preserve">Architecture and Urban Development Faculty, Shahid Rajaee Teacher Training University, Tehran, Iran, </w:t>
      </w:r>
      <w:hyperlink r:id="rId10" w:history="1">
        <w:r w:rsidR="00136348" w:rsidRPr="00D35B6A">
          <w:rPr>
            <w:rStyle w:val="Hyperlink"/>
            <w:rFonts w:asciiTheme="majorBidi" w:hAnsiTheme="majorBidi" w:cstheme="majorBidi"/>
            <w:iCs/>
            <w:sz w:val="24"/>
            <w:lang w:bidi="fa-IR"/>
          </w:rPr>
          <w:t>sharghi@sru.ac.ir</w:t>
        </w:r>
      </w:hyperlink>
    </w:p>
    <w:p w:rsidR="00121DEF" w:rsidRPr="00121DEF" w:rsidRDefault="00121DEF" w:rsidP="00121DEF">
      <w:pPr>
        <w:rPr>
          <w:lang w:bidi="fa-IR"/>
        </w:rPr>
      </w:pPr>
    </w:p>
    <w:p w:rsidR="00121DEF" w:rsidRDefault="00121DEF" w:rsidP="00121DEF">
      <w:pPr>
        <w:pStyle w:val="Affiliation"/>
        <w:spacing w:line="240" w:lineRule="auto"/>
        <w:jc w:val="center"/>
        <w:rPr>
          <w:rFonts w:asciiTheme="majorBidi" w:hAnsiTheme="majorBidi" w:cstheme="majorBidi"/>
          <w:i w:val="0"/>
          <w:iCs/>
        </w:rPr>
      </w:pPr>
      <w:r w:rsidRPr="006B1C32">
        <w:rPr>
          <w:rFonts w:asciiTheme="majorBidi" w:hAnsiTheme="majorBidi" w:cstheme="majorBidi"/>
          <w:i w:val="0"/>
          <w:iCs/>
        </w:rPr>
        <w:t>Bahram Saleh Sedgh Pour</w:t>
      </w:r>
      <w:r>
        <w:rPr>
          <w:rFonts w:asciiTheme="majorBidi" w:hAnsiTheme="majorBidi" w:cstheme="majorBidi"/>
          <w:i w:val="0"/>
          <w:iCs/>
        </w:rPr>
        <w:t>;</w:t>
      </w:r>
    </w:p>
    <w:p w:rsidR="00121DEF" w:rsidRDefault="00121DEF" w:rsidP="00136348">
      <w:pPr>
        <w:pStyle w:val="Affiliation"/>
        <w:spacing w:line="240" w:lineRule="auto"/>
        <w:jc w:val="center"/>
        <w:rPr>
          <w:rStyle w:val="Hyperlink"/>
          <w:rFonts w:asciiTheme="majorBidi" w:hAnsiTheme="majorBidi" w:cstheme="majorBidi"/>
          <w:i w:val="0"/>
          <w:iCs/>
          <w:lang w:bidi="fa-IR"/>
        </w:rPr>
      </w:pPr>
      <w:r w:rsidRPr="006B1C32">
        <w:rPr>
          <w:rFonts w:asciiTheme="majorBidi" w:hAnsiTheme="majorBidi" w:cstheme="majorBidi"/>
          <w:i w:val="0"/>
          <w:iCs/>
          <w:lang w:bidi="fa-IR"/>
        </w:rPr>
        <w:t xml:space="preserve">Educational Sciences Faculty, Shahid Rajaee Teacher Training University, Tehran, Iran, </w:t>
      </w:r>
      <w:hyperlink r:id="rId11" w:history="1">
        <w:r w:rsidR="00136348" w:rsidRPr="00D35B6A">
          <w:rPr>
            <w:rStyle w:val="Hyperlink"/>
            <w:rFonts w:asciiTheme="majorBidi" w:hAnsiTheme="majorBidi" w:cstheme="majorBidi"/>
            <w:i w:val="0"/>
            <w:iCs/>
            <w:lang w:bidi="fa-IR"/>
          </w:rPr>
          <w:t>sedghpour@sru.ac.ir</w:t>
        </w:r>
      </w:hyperlink>
    </w:p>
    <w:p w:rsidR="00121DEF" w:rsidRDefault="00121DEF" w:rsidP="00121DEF">
      <w:pPr>
        <w:spacing w:line="276" w:lineRule="auto"/>
        <w:jc w:val="center"/>
        <w:rPr>
          <w:rFonts w:asciiTheme="majorBidi" w:hAnsiTheme="majorBidi" w:cstheme="majorBidi"/>
          <w:b/>
          <w:bCs/>
          <w:lang w:bidi="fa-IR"/>
        </w:rPr>
      </w:pPr>
    </w:p>
    <w:p w:rsidR="00121DEF" w:rsidRDefault="00121DEF" w:rsidP="00121DEF">
      <w:pPr>
        <w:spacing w:line="276" w:lineRule="auto"/>
        <w:jc w:val="center"/>
        <w:rPr>
          <w:rFonts w:asciiTheme="majorBidi" w:hAnsiTheme="majorBidi" w:cstheme="majorBidi"/>
          <w:b/>
          <w:bCs/>
          <w:lang w:bidi="fa-IR"/>
        </w:rPr>
      </w:pPr>
    </w:p>
    <w:p w:rsidR="00121DEF" w:rsidRDefault="00121DEF" w:rsidP="00121DEF">
      <w:pPr>
        <w:spacing w:line="276" w:lineRule="auto"/>
        <w:jc w:val="center"/>
        <w:rPr>
          <w:rFonts w:asciiTheme="majorBidi" w:hAnsiTheme="majorBidi" w:cstheme="majorBidi"/>
          <w:b/>
          <w:bCs/>
          <w:lang w:bidi="fa-IR"/>
        </w:rPr>
      </w:pPr>
    </w:p>
    <w:p w:rsidR="00121DEF" w:rsidRDefault="00121DEF" w:rsidP="00121DEF">
      <w:pPr>
        <w:spacing w:line="276" w:lineRule="auto"/>
        <w:jc w:val="center"/>
        <w:rPr>
          <w:rFonts w:asciiTheme="majorBidi" w:hAnsiTheme="majorBidi" w:cstheme="majorBidi"/>
          <w:b/>
          <w:bCs/>
          <w:lang w:bidi="fa-IR"/>
        </w:rPr>
      </w:pPr>
    </w:p>
    <w:p w:rsidR="00121DEF" w:rsidRDefault="00121DEF" w:rsidP="00121DEF">
      <w:pPr>
        <w:spacing w:line="276" w:lineRule="auto"/>
        <w:jc w:val="center"/>
        <w:rPr>
          <w:rFonts w:asciiTheme="majorBidi" w:hAnsiTheme="majorBidi" w:cstheme="majorBidi"/>
          <w:b/>
          <w:bCs/>
          <w:lang w:bidi="fa-IR"/>
        </w:rPr>
      </w:pPr>
    </w:p>
    <w:p w:rsidR="00121DEF" w:rsidRDefault="00121DEF" w:rsidP="00121DEF">
      <w:pPr>
        <w:spacing w:line="276" w:lineRule="auto"/>
        <w:jc w:val="center"/>
        <w:rPr>
          <w:rFonts w:asciiTheme="majorBidi" w:hAnsiTheme="majorBidi" w:cstheme="majorBidi"/>
          <w:b/>
          <w:bCs/>
          <w:lang w:bidi="fa-IR"/>
        </w:rPr>
      </w:pPr>
    </w:p>
    <w:p w:rsidR="00121DEF" w:rsidRDefault="00121DEF" w:rsidP="00121DEF">
      <w:pPr>
        <w:spacing w:line="276" w:lineRule="auto"/>
        <w:jc w:val="center"/>
        <w:rPr>
          <w:rFonts w:asciiTheme="majorBidi" w:hAnsiTheme="majorBidi" w:cstheme="majorBidi"/>
          <w:b/>
          <w:bCs/>
          <w:lang w:bidi="fa-IR"/>
        </w:rPr>
      </w:pPr>
    </w:p>
    <w:p w:rsidR="00121DEF" w:rsidRDefault="00121DEF" w:rsidP="00121DEF">
      <w:pPr>
        <w:spacing w:line="276" w:lineRule="auto"/>
        <w:jc w:val="center"/>
        <w:rPr>
          <w:rFonts w:asciiTheme="majorBidi" w:hAnsiTheme="majorBidi" w:cstheme="majorBidi"/>
          <w:b/>
          <w:bCs/>
          <w:lang w:bidi="fa-IR"/>
        </w:rPr>
      </w:pPr>
    </w:p>
    <w:p w:rsidR="00121DEF" w:rsidRDefault="00121DEF" w:rsidP="00121DEF">
      <w:pPr>
        <w:spacing w:line="276" w:lineRule="auto"/>
        <w:jc w:val="center"/>
        <w:rPr>
          <w:rFonts w:asciiTheme="majorBidi" w:hAnsiTheme="majorBidi" w:cstheme="majorBidi"/>
          <w:b/>
          <w:bCs/>
          <w:lang w:bidi="fa-IR"/>
        </w:rPr>
      </w:pPr>
    </w:p>
    <w:p w:rsidR="00121DEF" w:rsidRDefault="00121DEF" w:rsidP="00121DEF">
      <w:pPr>
        <w:spacing w:line="276" w:lineRule="auto"/>
        <w:jc w:val="center"/>
        <w:rPr>
          <w:rFonts w:asciiTheme="majorBidi" w:hAnsiTheme="majorBidi" w:cstheme="majorBidi"/>
          <w:b/>
          <w:bCs/>
          <w:lang w:bidi="fa-IR"/>
        </w:rPr>
      </w:pPr>
    </w:p>
    <w:p w:rsidR="00121DEF" w:rsidRDefault="00121DEF" w:rsidP="00121DEF">
      <w:pPr>
        <w:spacing w:line="276" w:lineRule="auto"/>
        <w:jc w:val="center"/>
        <w:rPr>
          <w:rFonts w:asciiTheme="majorBidi" w:hAnsiTheme="majorBidi" w:cstheme="majorBidi"/>
          <w:b/>
          <w:bCs/>
          <w:lang w:bidi="fa-IR"/>
        </w:rPr>
      </w:pPr>
    </w:p>
    <w:p w:rsidR="00121DEF" w:rsidRDefault="00121DEF" w:rsidP="00121DEF">
      <w:pPr>
        <w:spacing w:line="276" w:lineRule="auto"/>
        <w:jc w:val="center"/>
        <w:rPr>
          <w:rFonts w:asciiTheme="majorBidi" w:hAnsiTheme="majorBidi" w:cstheme="majorBidi"/>
          <w:b/>
          <w:bCs/>
          <w:lang w:bidi="fa-IR"/>
        </w:rPr>
      </w:pPr>
    </w:p>
    <w:p w:rsidR="00121DEF" w:rsidRDefault="00121DEF" w:rsidP="00121DEF">
      <w:pPr>
        <w:spacing w:line="276" w:lineRule="auto"/>
        <w:jc w:val="center"/>
        <w:rPr>
          <w:rFonts w:asciiTheme="majorBidi" w:hAnsiTheme="majorBidi" w:cstheme="majorBidi"/>
          <w:b/>
          <w:bCs/>
          <w:lang w:bidi="fa-IR"/>
        </w:rPr>
      </w:pPr>
    </w:p>
    <w:p w:rsidR="00121DEF" w:rsidRDefault="00121DEF" w:rsidP="00121DEF">
      <w:pPr>
        <w:spacing w:line="276" w:lineRule="auto"/>
        <w:jc w:val="center"/>
        <w:rPr>
          <w:rFonts w:asciiTheme="majorBidi" w:hAnsiTheme="majorBidi" w:cstheme="majorBidi"/>
          <w:b/>
          <w:bCs/>
          <w:lang w:bidi="fa-IR"/>
        </w:rPr>
      </w:pPr>
    </w:p>
    <w:p w:rsidR="00121DEF" w:rsidRDefault="00121DEF" w:rsidP="00121DEF">
      <w:pPr>
        <w:spacing w:line="276" w:lineRule="auto"/>
        <w:jc w:val="center"/>
        <w:rPr>
          <w:rFonts w:asciiTheme="majorBidi" w:hAnsiTheme="majorBidi" w:cstheme="majorBidi"/>
          <w:b/>
          <w:bCs/>
          <w:lang w:bidi="fa-IR"/>
        </w:rPr>
      </w:pPr>
    </w:p>
    <w:p w:rsidR="00121DEF" w:rsidRDefault="00121DEF" w:rsidP="00121DEF">
      <w:pPr>
        <w:spacing w:line="276" w:lineRule="auto"/>
        <w:jc w:val="center"/>
        <w:rPr>
          <w:rFonts w:asciiTheme="majorBidi" w:hAnsiTheme="majorBidi" w:cstheme="majorBidi"/>
          <w:b/>
          <w:bCs/>
          <w:lang w:bidi="fa-IR"/>
        </w:rPr>
      </w:pPr>
    </w:p>
    <w:p w:rsidR="00121DEF" w:rsidRDefault="00121DEF" w:rsidP="00121DEF">
      <w:pPr>
        <w:spacing w:line="276" w:lineRule="auto"/>
        <w:jc w:val="center"/>
        <w:rPr>
          <w:rFonts w:asciiTheme="majorBidi" w:hAnsiTheme="majorBidi" w:cstheme="majorBidi"/>
          <w:b/>
          <w:bCs/>
          <w:lang w:bidi="fa-IR"/>
        </w:rPr>
      </w:pPr>
    </w:p>
    <w:p w:rsidR="00121DEF" w:rsidRDefault="00121DEF" w:rsidP="00121DEF">
      <w:pPr>
        <w:spacing w:line="276" w:lineRule="auto"/>
        <w:jc w:val="center"/>
        <w:rPr>
          <w:rFonts w:asciiTheme="majorBidi" w:hAnsiTheme="majorBidi" w:cstheme="majorBidi"/>
          <w:b/>
          <w:bCs/>
          <w:lang w:bidi="fa-IR"/>
        </w:rPr>
      </w:pPr>
    </w:p>
    <w:p w:rsidR="00121DEF" w:rsidRDefault="00121DEF" w:rsidP="00121DEF">
      <w:pPr>
        <w:spacing w:line="276" w:lineRule="auto"/>
        <w:jc w:val="center"/>
        <w:rPr>
          <w:rFonts w:asciiTheme="majorBidi" w:hAnsiTheme="majorBidi" w:cstheme="majorBidi"/>
          <w:b/>
          <w:bCs/>
          <w:lang w:bidi="fa-IR"/>
        </w:rPr>
      </w:pPr>
    </w:p>
    <w:p w:rsidR="00121DEF" w:rsidRDefault="00121DEF" w:rsidP="00121DEF">
      <w:pPr>
        <w:spacing w:line="276" w:lineRule="auto"/>
        <w:jc w:val="center"/>
        <w:rPr>
          <w:rFonts w:asciiTheme="majorBidi" w:hAnsiTheme="majorBidi" w:cstheme="majorBidi"/>
          <w:b/>
          <w:bCs/>
          <w:lang w:bidi="fa-IR"/>
        </w:rPr>
        <w:sectPr w:rsidR="00121DEF" w:rsidSect="00121DEF">
          <w:footerReference w:type="default" r:id="rId12"/>
          <w:pgSz w:w="11901" w:h="16840" w:code="9"/>
          <w:pgMar w:top="1418" w:right="1701" w:bottom="1418" w:left="1701" w:header="709" w:footer="709" w:gutter="0"/>
          <w:cols w:space="708"/>
          <w:titlePg/>
          <w:docGrid w:linePitch="360"/>
        </w:sectPr>
      </w:pPr>
    </w:p>
    <w:p w:rsidR="00C31CD9" w:rsidRPr="00FC3844" w:rsidRDefault="00C31CD9" w:rsidP="00C31CD9">
      <w:pPr>
        <w:spacing w:line="240" w:lineRule="auto"/>
        <w:jc w:val="center"/>
      </w:pPr>
      <w:r w:rsidRPr="00FC3844">
        <w:rPr>
          <w:b/>
          <w:bCs/>
          <w:lang w:bidi="fa-IR"/>
        </w:rPr>
        <w:lastRenderedPageBreak/>
        <w:t>A Methodological Assessment of the Significance of diverse Variables in Housing Framework of Iranian and International Scientific Journals</w:t>
      </w:r>
    </w:p>
    <w:p w:rsidR="00C246C5" w:rsidRPr="00FC3844" w:rsidRDefault="00C246C5" w:rsidP="00980E46">
      <w:pPr>
        <w:pStyle w:val="Articletitle"/>
        <w:spacing w:line="276" w:lineRule="auto"/>
        <w:rPr>
          <w:rFonts w:asciiTheme="majorBidi" w:hAnsiTheme="majorBidi" w:cstheme="majorBidi"/>
          <w:sz w:val="22"/>
          <w:szCs w:val="22"/>
          <w:rtl/>
          <w:lang w:val="en-US"/>
        </w:rPr>
      </w:pPr>
    </w:p>
    <w:p w:rsidR="00121DEF" w:rsidRPr="00FC3844" w:rsidRDefault="00121DEF" w:rsidP="00121DEF">
      <w:pPr>
        <w:rPr>
          <w:rtl/>
          <w:lang w:val="en-US"/>
        </w:rPr>
      </w:pPr>
    </w:p>
    <w:p w:rsidR="00121DEF" w:rsidRPr="00FC3844" w:rsidRDefault="00121DEF" w:rsidP="00121DEF">
      <w:pPr>
        <w:rPr>
          <w:lang w:val="en-US"/>
        </w:rPr>
      </w:pPr>
    </w:p>
    <w:p w:rsidR="00FE4A97" w:rsidRPr="00FC3844" w:rsidRDefault="00FE4A97" w:rsidP="00121DEF">
      <w:pPr>
        <w:ind w:left="720"/>
        <w:rPr>
          <w:rFonts w:asciiTheme="majorBidi" w:hAnsiTheme="majorBidi" w:cstheme="majorBidi"/>
          <w:b/>
          <w:bCs/>
          <w:sz w:val="22"/>
          <w:szCs w:val="22"/>
          <w:lang w:val="en-US"/>
        </w:rPr>
      </w:pPr>
      <w:r w:rsidRPr="00FC3844">
        <w:rPr>
          <w:rFonts w:asciiTheme="majorBidi" w:hAnsiTheme="majorBidi" w:cstheme="majorBidi"/>
          <w:b/>
          <w:bCs/>
          <w:sz w:val="22"/>
          <w:szCs w:val="22"/>
          <w:lang w:val="en-US"/>
        </w:rPr>
        <w:t>Abstract</w:t>
      </w:r>
    </w:p>
    <w:p w:rsidR="00E21485" w:rsidRPr="00FC3844" w:rsidRDefault="00E21485" w:rsidP="007A6455">
      <w:pPr>
        <w:spacing w:line="276" w:lineRule="auto"/>
        <w:ind w:left="720" w:right="759"/>
        <w:jc w:val="both"/>
        <w:rPr>
          <w:rFonts w:asciiTheme="majorBidi" w:hAnsiTheme="majorBidi" w:cstheme="majorBidi"/>
          <w:b/>
          <w:sz w:val="22"/>
          <w:szCs w:val="22"/>
          <w:rtl/>
        </w:rPr>
      </w:pPr>
      <w:r w:rsidRPr="00FC3844">
        <w:rPr>
          <w:rFonts w:asciiTheme="majorBidi" w:hAnsiTheme="majorBidi" w:cstheme="majorBidi"/>
          <w:sz w:val="22"/>
          <w:szCs w:val="22"/>
        </w:rPr>
        <w:t>Housing has always been studied due to its role in the daily lives of humans.</w:t>
      </w:r>
      <w:r w:rsidR="007C43D9" w:rsidRPr="00FC3844">
        <w:rPr>
          <w:rFonts w:asciiTheme="majorBidi" w:hAnsiTheme="majorBidi" w:cstheme="majorBidi"/>
          <w:sz w:val="22"/>
          <w:szCs w:val="22"/>
        </w:rPr>
        <w:t xml:space="preserve"> This significant issue is a main subject of </w:t>
      </w:r>
      <w:r w:rsidR="001829A1" w:rsidRPr="00FC3844">
        <w:rPr>
          <w:rFonts w:asciiTheme="majorBidi" w:hAnsiTheme="majorBidi" w:cstheme="majorBidi"/>
          <w:sz w:val="22"/>
          <w:szCs w:val="22"/>
        </w:rPr>
        <w:t>architectural researches</w:t>
      </w:r>
      <w:r w:rsidR="007C43D9" w:rsidRPr="00FC3844">
        <w:rPr>
          <w:rFonts w:asciiTheme="majorBidi" w:hAnsiTheme="majorBidi" w:cstheme="majorBidi"/>
          <w:sz w:val="22"/>
          <w:szCs w:val="22"/>
        </w:rPr>
        <w:t xml:space="preserve">. Yet, each study investigates </w:t>
      </w:r>
      <w:r w:rsidR="001829A1" w:rsidRPr="00FC3844">
        <w:rPr>
          <w:rFonts w:asciiTheme="majorBidi" w:hAnsiTheme="majorBidi" w:cstheme="majorBidi"/>
          <w:sz w:val="22"/>
          <w:szCs w:val="22"/>
        </w:rPr>
        <w:t>limited</w:t>
      </w:r>
      <w:r w:rsidR="007C43D9" w:rsidRPr="00FC3844">
        <w:rPr>
          <w:rFonts w:asciiTheme="majorBidi" w:hAnsiTheme="majorBidi" w:cstheme="majorBidi"/>
          <w:sz w:val="22"/>
          <w:szCs w:val="22"/>
        </w:rPr>
        <w:t xml:space="preserve"> number of factors effecting houses.</w:t>
      </w:r>
      <w:r w:rsidRPr="00FC3844">
        <w:rPr>
          <w:rFonts w:asciiTheme="majorBidi" w:hAnsiTheme="majorBidi" w:cstheme="majorBidi"/>
          <w:sz w:val="22"/>
          <w:szCs w:val="22"/>
        </w:rPr>
        <w:t xml:space="preserve"> </w:t>
      </w:r>
      <w:r w:rsidR="007A6455" w:rsidRPr="00FC3844">
        <w:rPr>
          <w:rFonts w:asciiTheme="majorBidi" w:hAnsiTheme="majorBidi" w:cstheme="majorBidi"/>
          <w:bCs/>
          <w:sz w:val="22"/>
          <w:szCs w:val="22"/>
        </w:rPr>
        <w:t>The main aim of this study is to comprehensively investigate different subjects about housing determined by researchers and experts in Iran and other countries. Having an explicit list of important housing variables can help study the works in this scientific area to a high context and provide researchers with new ideas as well.</w:t>
      </w:r>
      <w:r w:rsidRPr="00FC3844">
        <w:rPr>
          <w:rFonts w:asciiTheme="majorBidi" w:hAnsiTheme="majorBidi" w:cstheme="majorBidi"/>
          <w:sz w:val="22"/>
          <w:szCs w:val="22"/>
        </w:rPr>
        <w:t xml:space="preserve"> </w:t>
      </w:r>
      <w:r w:rsidR="00CF149F" w:rsidRPr="00FC3844">
        <w:rPr>
          <w:rFonts w:asciiTheme="majorBidi" w:hAnsiTheme="majorBidi" w:cstheme="majorBidi"/>
          <w:sz w:val="22"/>
          <w:szCs w:val="22"/>
        </w:rPr>
        <w:t>Heading forward</w:t>
      </w:r>
      <w:r w:rsidR="001829A1" w:rsidRPr="00FC3844">
        <w:rPr>
          <w:rFonts w:asciiTheme="majorBidi" w:hAnsiTheme="majorBidi" w:cstheme="majorBidi"/>
          <w:sz w:val="22"/>
          <w:szCs w:val="22"/>
        </w:rPr>
        <w:t xml:space="preserve">, </w:t>
      </w:r>
      <w:r w:rsidR="004E6B14" w:rsidRPr="00FC3844">
        <w:rPr>
          <w:rFonts w:asciiTheme="majorBidi" w:hAnsiTheme="majorBidi" w:cstheme="majorBidi"/>
          <w:sz w:val="22"/>
          <w:szCs w:val="22"/>
        </w:rPr>
        <w:t>187</w:t>
      </w:r>
      <w:r w:rsidRPr="00FC3844">
        <w:rPr>
          <w:rFonts w:asciiTheme="majorBidi" w:hAnsiTheme="majorBidi" w:cstheme="majorBidi"/>
          <w:sz w:val="22"/>
          <w:szCs w:val="22"/>
        </w:rPr>
        <w:t xml:space="preserve"> articles published in 15 Iranian scientific-research journals, along with </w:t>
      </w:r>
      <w:r w:rsidR="00CF0E24" w:rsidRPr="00FC3844">
        <w:rPr>
          <w:rFonts w:asciiTheme="majorBidi" w:hAnsiTheme="majorBidi" w:cstheme="majorBidi"/>
          <w:sz w:val="22"/>
          <w:szCs w:val="22"/>
        </w:rPr>
        <w:t>276</w:t>
      </w:r>
      <w:r w:rsidRPr="00FC3844">
        <w:rPr>
          <w:rFonts w:asciiTheme="majorBidi" w:hAnsiTheme="majorBidi" w:cstheme="majorBidi"/>
          <w:sz w:val="22"/>
          <w:szCs w:val="22"/>
        </w:rPr>
        <w:t xml:space="preserve"> international </w:t>
      </w:r>
      <w:r w:rsidR="001829A1" w:rsidRPr="00FC3844">
        <w:rPr>
          <w:rFonts w:asciiTheme="majorBidi" w:hAnsiTheme="majorBidi" w:cstheme="majorBidi"/>
          <w:sz w:val="22"/>
          <w:szCs w:val="22"/>
        </w:rPr>
        <w:t>papers</w:t>
      </w:r>
      <w:r w:rsidRPr="00FC3844">
        <w:rPr>
          <w:rFonts w:asciiTheme="majorBidi" w:hAnsiTheme="majorBidi" w:cstheme="majorBidi"/>
          <w:sz w:val="22"/>
          <w:szCs w:val="22"/>
        </w:rPr>
        <w:t xml:space="preserve"> from 15 Q1 and Q2 journals published in 2013-2017 were </w:t>
      </w:r>
      <w:r w:rsidR="001829A1" w:rsidRPr="00FC3844">
        <w:rPr>
          <w:rFonts w:asciiTheme="majorBidi" w:hAnsiTheme="majorBidi" w:cstheme="majorBidi"/>
          <w:sz w:val="22"/>
          <w:szCs w:val="22"/>
        </w:rPr>
        <w:t>investigated</w:t>
      </w:r>
      <w:r w:rsidRPr="00FC3844">
        <w:rPr>
          <w:rFonts w:asciiTheme="majorBidi" w:hAnsiTheme="majorBidi" w:cstheme="majorBidi"/>
          <w:sz w:val="22"/>
          <w:szCs w:val="22"/>
        </w:rPr>
        <w:t xml:space="preserve">. </w:t>
      </w:r>
      <w:r w:rsidR="00CF149F" w:rsidRPr="00FC3844">
        <w:rPr>
          <w:rFonts w:asciiTheme="majorBidi" w:hAnsiTheme="majorBidi" w:cstheme="majorBidi"/>
          <w:sz w:val="22"/>
          <w:szCs w:val="22"/>
        </w:rPr>
        <w:t>To find out the importance and ranking of each variable,</w:t>
      </w:r>
      <w:r w:rsidRPr="00FC3844">
        <w:rPr>
          <w:rFonts w:asciiTheme="majorBidi" w:hAnsiTheme="majorBidi" w:cstheme="majorBidi"/>
          <w:sz w:val="22"/>
          <w:szCs w:val="22"/>
        </w:rPr>
        <w:t xml:space="preserve"> </w:t>
      </w:r>
      <w:r w:rsidR="00CF149F" w:rsidRPr="00FC3844">
        <w:rPr>
          <w:rFonts w:asciiTheme="majorBidi" w:hAnsiTheme="majorBidi" w:cstheme="majorBidi"/>
          <w:sz w:val="22"/>
          <w:szCs w:val="22"/>
        </w:rPr>
        <w:t xml:space="preserve">this study, as a </w:t>
      </w:r>
      <w:r w:rsidRPr="00FC3844">
        <w:rPr>
          <w:rFonts w:asciiTheme="majorBidi" w:hAnsiTheme="majorBidi" w:cstheme="majorBidi"/>
          <w:sz w:val="22"/>
          <w:szCs w:val="22"/>
        </w:rPr>
        <w:t xml:space="preserve">systematic literature review </w:t>
      </w:r>
      <w:r w:rsidR="00CF149F" w:rsidRPr="00FC3844">
        <w:rPr>
          <w:rFonts w:asciiTheme="majorBidi" w:hAnsiTheme="majorBidi" w:cstheme="majorBidi"/>
          <w:sz w:val="22"/>
          <w:szCs w:val="22"/>
        </w:rPr>
        <w:t xml:space="preserve">implements </w:t>
      </w:r>
      <w:r w:rsidRPr="00FC3844">
        <w:rPr>
          <w:rFonts w:asciiTheme="majorBidi" w:hAnsiTheme="majorBidi" w:cstheme="majorBidi"/>
          <w:sz w:val="22"/>
          <w:szCs w:val="22"/>
        </w:rPr>
        <w:t xml:space="preserve">Shannon’s entropy method. </w:t>
      </w:r>
      <w:r w:rsidR="00CF149F" w:rsidRPr="00FC3844">
        <w:rPr>
          <w:rFonts w:asciiTheme="majorBidi" w:hAnsiTheme="majorBidi" w:cstheme="majorBidi"/>
          <w:sz w:val="22"/>
          <w:szCs w:val="22"/>
        </w:rPr>
        <w:t>This methodology is a weighting tool</w:t>
      </w:r>
      <w:r w:rsidRPr="00FC3844">
        <w:rPr>
          <w:rFonts w:asciiTheme="majorBidi" w:hAnsiTheme="majorBidi" w:cstheme="majorBidi"/>
          <w:sz w:val="22"/>
          <w:szCs w:val="22"/>
        </w:rPr>
        <w:t xml:space="preserve"> </w:t>
      </w:r>
      <w:r w:rsidR="00CF149F" w:rsidRPr="00FC3844">
        <w:rPr>
          <w:rFonts w:asciiTheme="majorBidi" w:hAnsiTheme="majorBidi" w:cstheme="majorBidi"/>
          <w:sz w:val="22"/>
          <w:szCs w:val="22"/>
        </w:rPr>
        <w:t xml:space="preserve">to indicate the amount of uncertainty and challenge of </w:t>
      </w:r>
      <w:r w:rsidRPr="00FC3844">
        <w:rPr>
          <w:rFonts w:asciiTheme="majorBidi" w:hAnsiTheme="majorBidi" w:cstheme="majorBidi"/>
          <w:sz w:val="22"/>
          <w:szCs w:val="22"/>
        </w:rPr>
        <w:t>components</w:t>
      </w:r>
      <w:r w:rsidR="00CF149F" w:rsidRPr="00FC3844">
        <w:rPr>
          <w:rFonts w:asciiTheme="majorBidi" w:hAnsiTheme="majorBidi" w:cstheme="majorBidi"/>
          <w:sz w:val="22"/>
          <w:szCs w:val="22"/>
        </w:rPr>
        <w:t xml:space="preserve"> in a continuous probability</w:t>
      </w:r>
      <w:r w:rsidRPr="00FC3844">
        <w:rPr>
          <w:rFonts w:asciiTheme="majorBidi" w:hAnsiTheme="majorBidi" w:cstheme="majorBidi"/>
          <w:sz w:val="22"/>
          <w:szCs w:val="22"/>
        </w:rPr>
        <w:t xml:space="preserve"> </w:t>
      </w:r>
      <w:r w:rsidR="00CF149F" w:rsidRPr="00FC3844">
        <w:rPr>
          <w:rFonts w:asciiTheme="majorBidi" w:hAnsiTheme="majorBidi" w:cstheme="majorBidi"/>
          <w:sz w:val="22"/>
          <w:szCs w:val="22"/>
        </w:rPr>
        <w:t xml:space="preserve">distribution. All the factors </w:t>
      </w:r>
      <w:r w:rsidRPr="00FC3844">
        <w:rPr>
          <w:rFonts w:asciiTheme="majorBidi" w:hAnsiTheme="majorBidi" w:cstheme="majorBidi"/>
          <w:sz w:val="22"/>
          <w:szCs w:val="22"/>
        </w:rPr>
        <w:t>measured, described or presented</w:t>
      </w:r>
      <w:r w:rsidR="00CF149F" w:rsidRPr="00FC3844">
        <w:rPr>
          <w:rFonts w:asciiTheme="majorBidi" w:hAnsiTheme="majorBidi" w:cstheme="majorBidi"/>
          <w:sz w:val="22"/>
          <w:szCs w:val="22"/>
        </w:rPr>
        <w:t xml:space="preserve"> extracted from</w:t>
      </w:r>
      <w:r w:rsidRPr="00FC3844">
        <w:rPr>
          <w:rFonts w:asciiTheme="majorBidi" w:hAnsiTheme="majorBidi" w:cstheme="majorBidi"/>
          <w:sz w:val="22"/>
          <w:szCs w:val="22"/>
        </w:rPr>
        <w:t xml:space="preserve"> Iranian</w:t>
      </w:r>
      <w:r w:rsidR="00CF149F" w:rsidRPr="00FC3844">
        <w:rPr>
          <w:rFonts w:asciiTheme="majorBidi" w:hAnsiTheme="majorBidi" w:cstheme="majorBidi"/>
          <w:sz w:val="22"/>
          <w:szCs w:val="22"/>
        </w:rPr>
        <w:t xml:space="preserve"> and international </w:t>
      </w:r>
      <w:r w:rsidRPr="00FC3844">
        <w:rPr>
          <w:rFonts w:asciiTheme="majorBidi" w:hAnsiTheme="majorBidi" w:cstheme="majorBidi"/>
          <w:sz w:val="22"/>
          <w:szCs w:val="22"/>
        </w:rPr>
        <w:t>papers were</w:t>
      </w:r>
      <w:r w:rsidR="00CF149F" w:rsidRPr="00FC3844">
        <w:rPr>
          <w:rFonts w:asciiTheme="majorBidi" w:hAnsiTheme="majorBidi" w:cstheme="majorBidi"/>
          <w:sz w:val="22"/>
          <w:szCs w:val="22"/>
        </w:rPr>
        <w:t xml:space="preserve"> respectively</w:t>
      </w:r>
      <w:r w:rsidRPr="00FC3844">
        <w:rPr>
          <w:rFonts w:asciiTheme="majorBidi" w:hAnsiTheme="majorBidi" w:cstheme="majorBidi"/>
          <w:sz w:val="22"/>
          <w:szCs w:val="22"/>
        </w:rPr>
        <w:t xml:space="preserve"> 264 and </w:t>
      </w:r>
      <w:r w:rsidR="00CF149F" w:rsidRPr="00FC3844">
        <w:rPr>
          <w:rFonts w:asciiTheme="majorBidi" w:hAnsiTheme="majorBidi" w:cstheme="majorBidi"/>
          <w:sz w:val="22"/>
          <w:szCs w:val="22"/>
        </w:rPr>
        <w:t>281. Based on resemblance</w:t>
      </w:r>
      <w:r w:rsidR="007A6455" w:rsidRPr="00FC3844">
        <w:rPr>
          <w:rFonts w:asciiTheme="majorBidi" w:hAnsiTheme="majorBidi" w:cstheme="majorBidi"/>
          <w:sz w:val="22"/>
          <w:szCs w:val="22"/>
        </w:rPr>
        <w:t xml:space="preserve"> of concepts,</w:t>
      </w:r>
      <w:r w:rsidR="00CF149F" w:rsidRPr="00FC3844">
        <w:rPr>
          <w:rFonts w:asciiTheme="majorBidi" w:hAnsiTheme="majorBidi" w:cstheme="majorBidi"/>
          <w:sz w:val="22"/>
          <w:szCs w:val="22"/>
        </w:rPr>
        <w:t xml:space="preserve"> they were classified in different</w:t>
      </w:r>
      <w:r w:rsidRPr="00FC3844">
        <w:rPr>
          <w:rFonts w:asciiTheme="majorBidi" w:hAnsiTheme="majorBidi" w:cstheme="majorBidi"/>
          <w:sz w:val="22"/>
          <w:szCs w:val="22"/>
        </w:rPr>
        <w:t xml:space="preserve"> categories of environmental factors, architectural elements, geometry and proportions, fundamental concepts of architecture, standards and codes and psychological and social concepts. Among these categories, </w:t>
      </w:r>
      <w:r w:rsidR="007A6455" w:rsidRPr="00FC3844">
        <w:rPr>
          <w:rFonts w:asciiTheme="majorBidi" w:hAnsiTheme="majorBidi" w:cstheme="majorBidi"/>
          <w:sz w:val="22"/>
          <w:szCs w:val="22"/>
        </w:rPr>
        <w:t>the tangible</w:t>
      </w:r>
      <w:r w:rsidRPr="00FC3844">
        <w:rPr>
          <w:rFonts w:asciiTheme="majorBidi" w:hAnsiTheme="majorBidi" w:cstheme="majorBidi"/>
          <w:sz w:val="22"/>
          <w:szCs w:val="22"/>
        </w:rPr>
        <w:t xml:space="preserve"> physical </w:t>
      </w:r>
      <w:r w:rsidR="007A6455" w:rsidRPr="00FC3844">
        <w:rPr>
          <w:rFonts w:asciiTheme="majorBidi" w:hAnsiTheme="majorBidi" w:cstheme="majorBidi"/>
          <w:sz w:val="22"/>
          <w:szCs w:val="22"/>
        </w:rPr>
        <w:t>areas</w:t>
      </w:r>
      <w:r w:rsidRPr="00FC3844">
        <w:rPr>
          <w:rFonts w:asciiTheme="majorBidi" w:hAnsiTheme="majorBidi" w:cstheme="majorBidi"/>
          <w:sz w:val="22"/>
          <w:szCs w:val="22"/>
        </w:rPr>
        <w:t xml:space="preserve"> including environmental factors and standards and codes have been considered in international papers in a quantitative perspective which should be further explored in Iranian studies. In contrast, qualitative and intangible factors such as the fundamental concepts of architecture and psychological and social concepts, which include variables that require more time to be understood, have been more challenging in Iranian articles. </w:t>
      </w:r>
      <w:r w:rsidR="00FE4A97" w:rsidRPr="00FC3844">
        <w:rPr>
          <w:rFonts w:asciiTheme="majorBidi" w:hAnsiTheme="majorBidi" w:cstheme="majorBidi"/>
          <w:sz w:val="22"/>
          <w:szCs w:val="22"/>
        </w:rPr>
        <w:t xml:space="preserve">With the use of SPSS and 0.771 </w:t>
      </w:r>
      <w:r w:rsidR="00FE4A97" w:rsidRPr="00FC3844">
        <w:rPr>
          <w:rFonts w:asciiTheme="majorBidi" w:hAnsiTheme="majorBidi" w:cstheme="majorBidi"/>
          <w:sz w:val="22"/>
          <w:szCs w:val="22"/>
          <w:lang w:val="en"/>
        </w:rPr>
        <w:t xml:space="preserve">Cohen Kappa agreement coefficient </w:t>
      </w:r>
      <w:r w:rsidR="00FE4A97" w:rsidRPr="00FC3844">
        <w:rPr>
          <w:rFonts w:asciiTheme="majorBidi" w:hAnsiTheme="majorBidi" w:cstheme="majorBidi"/>
          <w:sz w:val="22"/>
          <w:szCs w:val="22"/>
        </w:rPr>
        <w:t xml:space="preserve">and Shannon Entropy tool, </w:t>
      </w:r>
      <w:r w:rsidR="007A6455" w:rsidRPr="00FC3844">
        <w:rPr>
          <w:rFonts w:asciiTheme="majorBidi" w:hAnsiTheme="majorBidi" w:cstheme="majorBidi"/>
          <w:sz w:val="22"/>
          <w:szCs w:val="22"/>
        </w:rPr>
        <w:t>in Iranian studies,</w:t>
      </w:r>
      <w:r w:rsidRPr="00FC3844">
        <w:rPr>
          <w:rFonts w:asciiTheme="majorBidi" w:hAnsiTheme="majorBidi" w:cstheme="majorBidi"/>
          <w:sz w:val="22"/>
          <w:szCs w:val="22"/>
        </w:rPr>
        <w:t xml:space="preserve"> the components of privacy, culture, area, lifestyle, mental and emotional comfort, satisfaction, security, identity, territory and meaning have been more important and got the</w:t>
      </w:r>
      <w:r w:rsidR="007A6455" w:rsidRPr="00FC3844">
        <w:rPr>
          <w:rFonts w:asciiTheme="majorBidi" w:hAnsiTheme="majorBidi" w:cstheme="majorBidi"/>
          <w:sz w:val="22"/>
          <w:szCs w:val="22"/>
        </w:rPr>
        <w:t xml:space="preserve"> highest attention, and can</w:t>
      </w:r>
      <w:r w:rsidRPr="00FC3844">
        <w:rPr>
          <w:rFonts w:asciiTheme="majorBidi" w:hAnsiTheme="majorBidi" w:cstheme="majorBidi"/>
          <w:sz w:val="22"/>
          <w:szCs w:val="22"/>
        </w:rPr>
        <w:t xml:space="preserve"> be </w:t>
      </w:r>
      <w:r w:rsidR="007A6455" w:rsidRPr="00FC3844">
        <w:rPr>
          <w:rFonts w:asciiTheme="majorBidi" w:hAnsiTheme="majorBidi" w:cstheme="majorBidi"/>
          <w:sz w:val="22"/>
          <w:szCs w:val="22"/>
        </w:rPr>
        <w:t xml:space="preserve">recommended to be </w:t>
      </w:r>
      <w:r w:rsidRPr="00FC3844">
        <w:rPr>
          <w:rFonts w:asciiTheme="majorBidi" w:hAnsiTheme="majorBidi" w:cstheme="majorBidi"/>
          <w:sz w:val="22"/>
          <w:szCs w:val="22"/>
        </w:rPr>
        <w:t>addressed in international papers.</w:t>
      </w:r>
      <w:r w:rsidR="007A6455" w:rsidRPr="00FC3844">
        <w:rPr>
          <w:rFonts w:asciiTheme="majorBidi" w:hAnsiTheme="majorBidi" w:cstheme="majorBidi"/>
          <w:sz w:val="22"/>
          <w:szCs w:val="22"/>
        </w:rPr>
        <w:t xml:space="preserve"> Whereas, light, ventilation, sustainability, climate, sunlight, temperature, green space, energy consumption, thermal comfort and wind are the most debated factors in international journals and can be focused more in Iranian articles. </w:t>
      </w:r>
    </w:p>
    <w:p w:rsidR="00121DEF" w:rsidRPr="00FC3844" w:rsidRDefault="00121DEF" w:rsidP="007A6455">
      <w:pPr>
        <w:spacing w:line="276" w:lineRule="auto"/>
        <w:ind w:left="720" w:right="759"/>
        <w:jc w:val="both"/>
        <w:rPr>
          <w:rFonts w:asciiTheme="majorBidi" w:hAnsiTheme="majorBidi" w:cstheme="majorBidi"/>
          <w:b/>
          <w:bCs/>
          <w:color w:val="FF0000"/>
          <w:sz w:val="22"/>
          <w:szCs w:val="22"/>
        </w:rPr>
      </w:pPr>
    </w:p>
    <w:p w:rsidR="00121DEF" w:rsidRDefault="00E21485" w:rsidP="007A6455">
      <w:pPr>
        <w:pStyle w:val="Keywords"/>
        <w:spacing w:line="276" w:lineRule="auto"/>
        <w:rPr>
          <w:rFonts w:asciiTheme="majorBidi" w:hAnsiTheme="majorBidi" w:cstheme="majorBidi"/>
          <w:szCs w:val="22"/>
        </w:rPr>
      </w:pPr>
      <w:r w:rsidRPr="00FC3844">
        <w:rPr>
          <w:rFonts w:asciiTheme="majorBidi" w:hAnsiTheme="majorBidi" w:cstheme="majorBidi"/>
          <w:b/>
          <w:bCs/>
          <w:szCs w:val="22"/>
        </w:rPr>
        <w:t>Keywords:</w:t>
      </w:r>
      <w:r w:rsidR="004F458B" w:rsidRPr="00FC3844">
        <w:rPr>
          <w:rFonts w:asciiTheme="majorBidi" w:hAnsiTheme="majorBidi" w:cstheme="majorBidi"/>
          <w:szCs w:val="22"/>
        </w:rPr>
        <w:t xml:space="preserve"> housing</w:t>
      </w:r>
      <w:r w:rsidR="00C31CD9" w:rsidRPr="00FC3844">
        <w:rPr>
          <w:rFonts w:asciiTheme="majorBidi" w:hAnsiTheme="majorBidi" w:cstheme="majorBidi"/>
          <w:szCs w:val="22"/>
        </w:rPr>
        <w:t xml:space="preserve"> variables</w:t>
      </w:r>
      <w:r w:rsidR="004F458B" w:rsidRPr="00FC3844">
        <w:rPr>
          <w:rFonts w:asciiTheme="majorBidi" w:hAnsiTheme="majorBidi" w:cstheme="majorBidi"/>
          <w:szCs w:val="22"/>
        </w:rPr>
        <w:t xml:space="preserve">, </w:t>
      </w:r>
      <w:r w:rsidR="00C31CD9" w:rsidRPr="00FC3844">
        <w:rPr>
          <w:rFonts w:asciiTheme="majorBidi" w:hAnsiTheme="majorBidi" w:cstheme="majorBidi"/>
          <w:szCs w:val="22"/>
        </w:rPr>
        <w:t>dwelling, systematic review.</w:t>
      </w:r>
    </w:p>
    <w:p w:rsidR="007A6455" w:rsidRPr="007A6455" w:rsidRDefault="007A6455" w:rsidP="007A6455">
      <w:pPr>
        <w:pStyle w:val="Paragraph"/>
      </w:pPr>
    </w:p>
    <w:p w:rsidR="00E21485" w:rsidRPr="00FC3844" w:rsidRDefault="00121DEF" w:rsidP="00980E46">
      <w:pPr>
        <w:spacing w:line="276" w:lineRule="auto"/>
        <w:jc w:val="both"/>
        <w:rPr>
          <w:rFonts w:asciiTheme="majorBidi" w:hAnsiTheme="majorBidi" w:cstheme="majorBidi"/>
          <w:b/>
          <w:bCs/>
          <w:sz w:val="22"/>
          <w:szCs w:val="22"/>
          <w:rtl/>
        </w:rPr>
      </w:pPr>
      <w:r w:rsidRPr="00FC3844">
        <w:rPr>
          <w:rFonts w:asciiTheme="majorBidi" w:hAnsiTheme="majorBidi" w:cstheme="majorBidi"/>
          <w:b/>
          <w:sz w:val="22"/>
          <w:szCs w:val="22"/>
          <w:lang w:val="en-US"/>
        </w:rPr>
        <w:lastRenderedPageBreak/>
        <w:t xml:space="preserve">1. </w:t>
      </w:r>
      <w:r w:rsidR="00E21485" w:rsidRPr="00FC3844">
        <w:rPr>
          <w:rFonts w:asciiTheme="majorBidi" w:hAnsiTheme="majorBidi" w:cstheme="majorBidi"/>
          <w:b/>
          <w:sz w:val="22"/>
          <w:szCs w:val="22"/>
        </w:rPr>
        <w:t>Introduction</w:t>
      </w:r>
    </w:p>
    <w:p w:rsidR="00A677C2" w:rsidRPr="00FC3844" w:rsidRDefault="00E21485" w:rsidP="00B9631B">
      <w:pPr>
        <w:spacing w:line="276" w:lineRule="auto"/>
        <w:jc w:val="both"/>
        <w:rPr>
          <w:rFonts w:asciiTheme="majorBidi" w:hAnsiTheme="majorBidi" w:cstheme="majorBidi"/>
          <w:sz w:val="22"/>
          <w:szCs w:val="22"/>
        </w:rPr>
      </w:pPr>
      <w:r w:rsidRPr="00FC3844">
        <w:rPr>
          <w:rFonts w:asciiTheme="majorBidi" w:hAnsiTheme="majorBidi" w:cstheme="majorBidi"/>
          <w:sz w:val="22"/>
          <w:szCs w:val="22"/>
        </w:rPr>
        <w:t xml:space="preserve">The </w:t>
      </w:r>
      <w:r w:rsidR="00B9631B" w:rsidRPr="00FC3844">
        <w:rPr>
          <w:rFonts w:asciiTheme="majorBidi" w:hAnsiTheme="majorBidi" w:cstheme="majorBidi"/>
          <w:sz w:val="22"/>
          <w:szCs w:val="22"/>
        </w:rPr>
        <w:t>subject</w:t>
      </w:r>
      <w:r w:rsidRPr="00FC3844">
        <w:rPr>
          <w:rFonts w:asciiTheme="majorBidi" w:hAnsiTheme="majorBidi" w:cstheme="majorBidi"/>
          <w:sz w:val="22"/>
          <w:szCs w:val="22"/>
        </w:rPr>
        <w:t xml:space="preserve"> of housing in architecture is one of the </w:t>
      </w:r>
      <w:r w:rsidR="00B9631B" w:rsidRPr="00FC3844">
        <w:rPr>
          <w:rFonts w:asciiTheme="majorBidi" w:hAnsiTheme="majorBidi" w:cstheme="majorBidi"/>
          <w:sz w:val="22"/>
          <w:szCs w:val="22"/>
        </w:rPr>
        <w:t>issues</w:t>
      </w:r>
      <w:r w:rsidRPr="00FC3844">
        <w:rPr>
          <w:rFonts w:asciiTheme="majorBidi" w:hAnsiTheme="majorBidi" w:cstheme="majorBidi"/>
          <w:sz w:val="22"/>
          <w:szCs w:val="22"/>
        </w:rPr>
        <w:t xml:space="preserve"> that has always been considered qualitatively and quantitatively in various studies due to its close association with daily lives of humans. Iran is a country with thousands of years of civilization having residential buildings from different historical periods as unique examples of human residence meeting the needs of their inhabitants at different levels</w:t>
      </w:r>
      <w:r w:rsidR="00906891" w:rsidRPr="00FC3844">
        <w:rPr>
          <w:rFonts w:asciiTheme="majorBidi" w:hAnsiTheme="majorBidi" w:cstheme="majorBidi"/>
          <w:sz w:val="22"/>
          <w:szCs w:val="22"/>
        </w:rPr>
        <w:t xml:space="preserve"> </w:t>
      </w:r>
      <w:r w:rsidR="00121DEF" w:rsidRPr="00FC3844">
        <w:rPr>
          <w:rFonts w:asciiTheme="majorBidi" w:hAnsiTheme="majorBidi" w:cstheme="majorBidi"/>
          <w:sz w:val="22"/>
          <w:szCs w:val="22"/>
        </w:rPr>
        <w:t>[1].</w:t>
      </w:r>
      <w:r w:rsidRPr="00FC3844">
        <w:rPr>
          <w:rFonts w:asciiTheme="majorBidi" w:hAnsiTheme="majorBidi" w:cstheme="majorBidi"/>
          <w:sz w:val="22"/>
          <w:szCs w:val="22"/>
        </w:rPr>
        <w:t xml:space="preserve"> These buildings have been investigated from different perspectives and researchers have been trying to discover </w:t>
      </w:r>
      <w:r w:rsidR="00B9631B" w:rsidRPr="00FC3844">
        <w:rPr>
          <w:rFonts w:asciiTheme="majorBidi" w:hAnsiTheme="majorBidi" w:cstheme="majorBidi"/>
          <w:sz w:val="22"/>
          <w:szCs w:val="22"/>
        </w:rPr>
        <w:t xml:space="preserve">the principles hidden within them </w:t>
      </w:r>
      <w:r w:rsidRPr="00FC3844">
        <w:rPr>
          <w:rFonts w:asciiTheme="majorBidi" w:hAnsiTheme="majorBidi" w:cstheme="majorBidi"/>
          <w:sz w:val="22"/>
          <w:szCs w:val="22"/>
        </w:rPr>
        <w:t xml:space="preserve">from </w:t>
      </w:r>
      <w:r w:rsidR="00B9631B" w:rsidRPr="00FC3844">
        <w:rPr>
          <w:rFonts w:asciiTheme="majorBidi" w:hAnsiTheme="majorBidi" w:cstheme="majorBidi"/>
          <w:sz w:val="22"/>
          <w:szCs w:val="22"/>
        </w:rPr>
        <w:t>different viewpoints</w:t>
      </w:r>
      <w:r w:rsidRPr="00FC3844">
        <w:rPr>
          <w:rFonts w:asciiTheme="majorBidi" w:hAnsiTheme="majorBidi" w:cstheme="majorBidi"/>
          <w:sz w:val="22"/>
          <w:szCs w:val="22"/>
        </w:rPr>
        <w:t xml:space="preserve">. On the one hand, today’s housing construction has been accelerated by the use of technology, and although the quantity is increasing, human needs have been less widely considered in these new </w:t>
      </w:r>
      <w:r w:rsidR="00906891" w:rsidRPr="00FC3844">
        <w:rPr>
          <w:rFonts w:asciiTheme="majorBidi" w:hAnsiTheme="majorBidi" w:cstheme="majorBidi"/>
          <w:sz w:val="22"/>
          <w:szCs w:val="22"/>
        </w:rPr>
        <w:t xml:space="preserve">houses </w:t>
      </w:r>
      <w:r w:rsidR="00121DEF" w:rsidRPr="00FC3844">
        <w:rPr>
          <w:rFonts w:asciiTheme="majorBidi" w:hAnsiTheme="majorBidi" w:cstheme="majorBidi"/>
          <w:sz w:val="22"/>
          <w:szCs w:val="22"/>
        </w:rPr>
        <w:t>[2]</w:t>
      </w:r>
      <w:r w:rsidRPr="00FC3844">
        <w:rPr>
          <w:rFonts w:asciiTheme="majorBidi" w:hAnsiTheme="majorBidi" w:cstheme="majorBidi"/>
          <w:sz w:val="22"/>
          <w:szCs w:val="22"/>
        </w:rPr>
        <w:t>. With regard to this, there has been much research to find the shortcomings of contemporary housing and the ways to compensate for it. Along with these studies in Iran, housing has b</w:t>
      </w:r>
      <w:r w:rsidR="00A677C2" w:rsidRPr="00FC3844">
        <w:rPr>
          <w:rFonts w:asciiTheme="majorBidi" w:hAnsiTheme="majorBidi" w:cstheme="majorBidi"/>
          <w:sz w:val="22"/>
          <w:szCs w:val="22"/>
        </w:rPr>
        <w:t>een studied in other countries.</w:t>
      </w:r>
    </w:p>
    <w:p w:rsidR="00A677C2" w:rsidRPr="00FC3844" w:rsidRDefault="00E21485" w:rsidP="007D18B2">
      <w:pPr>
        <w:spacing w:line="276" w:lineRule="auto"/>
        <w:jc w:val="both"/>
        <w:rPr>
          <w:rFonts w:asciiTheme="majorBidi" w:hAnsiTheme="majorBidi" w:cstheme="majorBidi"/>
          <w:sz w:val="22"/>
          <w:szCs w:val="22"/>
        </w:rPr>
      </w:pPr>
      <w:r w:rsidRPr="00FC3844">
        <w:rPr>
          <w:rFonts w:asciiTheme="majorBidi" w:hAnsiTheme="majorBidi" w:cstheme="majorBidi"/>
          <w:sz w:val="22"/>
          <w:szCs w:val="22"/>
        </w:rPr>
        <w:t xml:space="preserve">This study tries to compare the differences in the </w:t>
      </w:r>
      <w:r w:rsidR="007D18B2" w:rsidRPr="00FC3844">
        <w:rPr>
          <w:rFonts w:asciiTheme="majorBidi" w:hAnsiTheme="majorBidi" w:cstheme="majorBidi"/>
          <w:sz w:val="22"/>
          <w:szCs w:val="22"/>
        </w:rPr>
        <w:t>perception</w:t>
      </w:r>
      <w:r w:rsidRPr="00FC3844">
        <w:rPr>
          <w:rFonts w:asciiTheme="majorBidi" w:hAnsiTheme="majorBidi" w:cstheme="majorBidi"/>
          <w:sz w:val="22"/>
          <w:szCs w:val="22"/>
        </w:rPr>
        <w:t xml:space="preserve"> towards housing in Iran and other </w:t>
      </w:r>
      <w:r w:rsidR="007D18B2" w:rsidRPr="00FC3844">
        <w:rPr>
          <w:rFonts w:asciiTheme="majorBidi" w:hAnsiTheme="majorBidi" w:cstheme="majorBidi"/>
          <w:sz w:val="22"/>
          <w:szCs w:val="22"/>
        </w:rPr>
        <w:t>countries;</w:t>
      </w:r>
      <w:r w:rsidRPr="00FC3844">
        <w:rPr>
          <w:rFonts w:asciiTheme="majorBidi" w:hAnsiTheme="majorBidi" w:cstheme="majorBidi"/>
          <w:sz w:val="22"/>
          <w:szCs w:val="22"/>
        </w:rPr>
        <w:t xml:space="preserve"> explore the weaknesses an</w:t>
      </w:r>
      <w:r w:rsidR="007D18B2" w:rsidRPr="00FC3844">
        <w:rPr>
          <w:rFonts w:asciiTheme="majorBidi" w:hAnsiTheme="majorBidi" w:cstheme="majorBidi"/>
          <w:sz w:val="22"/>
          <w:szCs w:val="22"/>
        </w:rPr>
        <w:t>d strengths of each perspective</w:t>
      </w:r>
      <w:r w:rsidRPr="00FC3844">
        <w:rPr>
          <w:rFonts w:asciiTheme="majorBidi" w:hAnsiTheme="majorBidi" w:cstheme="majorBidi"/>
          <w:sz w:val="22"/>
          <w:szCs w:val="22"/>
        </w:rPr>
        <w:t xml:space="preserve"> and analyse them to find the gaps in housing research in Iran and other countries. Various components and variables have been studied in the field of housing in recent years. Some of these components have been challenged while the others have been ignored to some extent. But in general, each study has taken a specific approach to housing and considered one or more variables and their relationships. The comparison of components to find their significance is one of the issues that </w:t>
      </w:r>
      <w:r w:rsidR="007D18B2" w:rsidRPr="00FC3844">
        <w:rPr>
          <w:rFonts w:asciiTheme="majorBidi" w:hAnsiTheme="majorBidi" w:cstheme="majorBidi"/>
          <w:sz w:val="22"/>
          <w:szCs w:val="22"/>
        </w:rPr>
        <w:t>have</w:t>
      </w:r>
      <w:r w:rsidRPr="00FC3844">
        <w:rPr>
          <w:rFonts w:asciiTheme="majorBidi" w:hAnsiTheme="majorBidi" w:cstheme="majorBidi"/>
          <w:sz w:val="22"/>
          <w:szCs w:val="22"/>
        </w:rPr>
        <w:t xml:space="preserve"> not been dealt with in housing studies. </w:t>
      </w:r>
    </w:p>
    <w:p w:rsidR="00E21485" w:rsidRPr="00FC3844" w:rsidRDefault="00E21485" w:rsidP="000D08A7">
      <w:pPr>
        <w:spacing w:line="276" w:lineRule="auto"/>
        <w:jc w:val="both"/>
        <w:rPr>
          <w:rFonts w:asciiTheme="majorBidi" w:hAnsiTheme="majorBidi" w:cstheme="majorBidi"/>
          <w:sz w:val="22"/>
          <w:szCs w:val="22"/>
          <w:rtl/>
        </w:rPr>
      </w:pPr>
      <w:r w:rsidRPr="00FC3844">
        <w:rPr>
          <w:rFonts w:asciiTheme="majorBidi" w:hAnsiTheme="majorBidi" w:cstheme="majorBidi"/>
          <w:sz w:val="22"/>
          <w:szCs w:val="22"/>
        </w:rPr>
        <w:t>Various sources such as books, journals, etc. may have addressed a number of variables, but the best way to fully comprehend a subject is through evidence-based study and archival analysis of infor</w:t>
      </w:r>
      <w:r w:rsidR="00906891" w:rsidRPr="00FC3844">
        <w:rPr>
          <w:rFonts w:asciiTheme="majorBidi" w:hAnsiTheme="majorBidi" w:cstheme="majorBidi"/>
          <w:sz w:val="22"/>
          <w:szCs w:val="22"/>
        </w:rPr>
        <w:t xml:space="preserve">mation </w:t>
      </w:r>
      <w:r w:rsidR="00121DEF" w:rsidRPr="00FC3844">
        <w:rPr>
          <w:rFonts w:asciiTheme="majorBidi" w:hAnsiTheme="majorBidi" w:cstheme="majorBidi"/>
          <w:sz w:val="22"/>
          <w:szCs w:val="22"/>
        </w:rPr>
        <w:t>[3]</w:t>
      </w:r>
      <w:r w:rsidRPr="00FC3844">
        <w:rPr>
          <w:rFonts w:asciiTheme="majorBidi" w:hAnsiTheme="majorBidi" w:cstheme="majorBidi"/>
          <w:sz w:val="22"/>
          <w:szCs w:val="22"/>
        </w:rPr>
        <w:t>. However, due to the increasing speed of publications in the present day, it is not possible to review the articles in all fields on a particular subject, such as housing, which is itself a widespr</w:t>
      </w:r>
      <w:r w:rsidR="00906891" w:rsidRPr="00FC3844">
        <w:rPr>
          <w:rFonts w:asciiTheme="majorBidi" w:hAnsiTheme="majorBidi" w:cstheme="majorBidi"/>
          <w:sz w:val="22"/>
          <w:szCs w:val="22"/>
        </w:rPr>
        <w:t xml:space="preserve">ead subject </w:t>
      </w:r>
      <w:r w:rsidR="000D5E66" w:rsidRPr="00FC3844">
        <w:rPr>
          <w:rFonts w:asciiTheme="majorBidi" w:hAnsiTheme="majorBidi" w:cstheme="majorBidi"/>
          <w:sz w:val="22"/>
          <w:szCs w:val="22"/>
        </w:rPr>
        <w:t>[4]</w:t>
      </w:r>
      <w:r w:rsidR="007D18B2" w:rsidRPr="00FC3844">
        <w:rPr>
          <w:rFonts w:asciiTheme="majorBidi" w:hAnsiTheme="majorBidi" w:cstheme="majorBidi"/>
          <w:sz w:val="22"/>
          <w:szCs w:val="22"/>
        </w:rPr>
        <w:t xml:space="preserve">. To satisfy this need and also recognize the importance of </w:t>
      </w:r>
      <w:r w:rsidR="007D18B2" w:rsidRPr="00FC3844">
        <w:rPr>
          <w:rFonts w:asciiTheme="majorBidi" w:hAnsiTheme="majorBidi" w:cstheme="majorBidi"/>
          <w:sz w:val="22"/>
          <w:szCs w:val="22"/>
          <w:lang w:val="en-US" w:bidi="fa-IR"/>
        </w:rPr>
        <w:t>housing subsections values,</w:t>
      </w:r>
      <w:r w:rsidRPr="00FC3844">
        <w:rPr>
          <w:rFonts w:asciiTheme="majorBidi" w:hAnsiTheme="majorBidi" w:cstheme="majorBidi"/>
          <w:sz w:val="22"/>
          <w:szCs w:val="22"/>
        </w:rPr>
        <w:t xml:space="preserve"> </w:t>
      </w:r>
      <w:r w:rsidR="000D08A7" w:rsidRPr="00FC3844">
        <w:rPr>
          <w:rFonts w:asciiTheme="majorBidi" w:hAnsiTheme="majorBidi" w:cstheme="majorBidi"/>
          <w:sz w:val="22"/>
          <w:szCs w:val="22"/>
        </w:rPr>
        <w:t>"</w:t>
      </w:r>
      <w:r w:rsidRPr="00FC3844">
        <w:rPr>
          <w:rFonts w:asciiTheme="majorBidi" w:hAnsiTheme="majorBidi" w:cstheme="majorBidi"/>
          <w:sz w:val="22"/>
          <w:szCs w:val="22"/>
        </w:rPr>
        <w:t>review articles</w:t>
      </w:r>
      <w:r w:rsidR="000D08A7" w:rsidRPr="00FC3844">
        <w:rPr>
          <w:rFonts w:asciiTheme="majorBidi" w:hAnsiTheme="majorBidi" w:cstheme="majorBidi"/>
          <w:sz w:val="22"/>
          <w:szCs w:val="22"/>
        </w:rPr>
        <w:t>"</w:t>
      </w:r>
      <w:r w:rsidRPr="00FC3844">
        <w:rPr>
          <w:rFonts w:asciiTheme="majorBidi" w:hAnsiTheme="majorBidi" w:cstheme="majorBidi"/>
          <w:sz w:val="22"/>
          <w:szCs w:val="22"/>
        </w:rPr>
        <w:t xml:space="preserve"> are </w:t>
      </w:r>
      <w:r w:rsidR="007D18B2" w:rsidRPr="00FC3844">
        <w:rPr>
          <w:rFonts w:asciiTheme="majorBidi" w:hAnsiTheme="majorBidi" w:cstheme="majorBidi"/>
          <w:sz w:val="22"/>
          <w:szCs w:val="22"/>
        </w:rPr>
        <w:t>considered</w:t>
      </w:r>
      <w:r w:rsidRPr="00FC3844">
        <w:rPr>
          <w:rFonts w:asciiTheme="majorBidi" w:hAnsiTheme="majorBidi" w:cstheme="majorBidi"/>
          <w:sz w:val="22"/>
          <w:szCs w:val="22"/>
        </w:rPr>
        <w:t xml:space="preserve"> </w:t>
      </w:r>
      <w:r w:rsidR="000D08A7" w:rsidRPr="00FC3844">
        <w:rPr>
          <w:rFonts w:asciiTheme="majorBidi" w:hAnsiTheme="majorBidi" w:cstheme="majorBidi"/>
          <w:sz w:val="22"/>
          <w:szCs w:val="22"/>
        </w:rPr>
        <w:t>an implement to</w:t>
      </w:r>
      <w:r w:rsidRPr="00FC3844">
        <w:rPr>
          <w:rFonts w:asciiTheme="majorBidi" w:hAnsiTheme="majorBidi" w:cstheme="majorBidi"/>
          <w:sz w:val="22"/>
          <w:szCs w:val="22"/>
        </w:rPr>
        <w:t xml:space="preserve"> </w:t>
      </w:r>
      <w:r w:rsidR="007D18B2" w:rsidRPr="00FC3844">
        <w:rPr>
          <w:rFonts w:asciiTheme="majorBidi" w:hAnsiTheme="majorBidi" w:cstheme="majorBidi"/>
          <w:sz w:val="22"/>
          <w:szCs w:val="22"/>
        </w:rPr>
        <w:t>evaluate</w:t>
      </w:r>
      <w:r w:rsidRPr="00FC3844">
        <w:rPr>
          <w:rFonts w:asciiTheme="majorBidi" w:hAnsiTheme="majorBidi" w:cstheme="majorBidi"/>
          <w:sz w:val="22"/>
          <w:szCs w:val="22"/>
        </w:rPr>
        <w:t xml:space="preserve"> the latest scientific evidence</w:t>
      </w:r>
      <w:r w:rsidR="000D08A7" w:rsidRPr="00FC3844">
        <w:rPr>
          <w:rFonts w:asciiTheme="majorBidi" w:hAnsiTheme="majorBidi" w:cstheme="majorBidi"/>
          <w:sz w:val="22"/>
          <w:szCs w:val="22"/>
        </w:rPr>
        <w:t>s</w:t>
      </w:r>
      <w:r w:rsidRPr="00FC3844">
        <w:rPr>
          <w:rFonts w:asciiTheme="majorBidi" w:hAnsiTheme="majorBidi" w:cstheme="majorBidi"/>
          <w:sz w:val="22"/>
          <w:szCs w:val="22"/>
        </w:rPr>
        <w:t xml:space="preserve">. </w:t>
      </w:r>
      <w:r w:rsidR="000D08A7" w:rsidRPr="00FC3844">
        <w:rPr>
          <w:rFonts w:asciiTheme="majorBidi" w:hAnsiTheme="majorBidi" w:cstheme="majorBidi"/>
          <w:sz w:val="22"/>
          <w:szCs w:val="22"/>
        </w:rPr>
        <w:t>They</w:t>
      </w:r>
      <w:r w:rsidRPr="00FC3844">
        <w:rPr>
          <w:rFonts w:asciiTheme="majorBidi" w:hAnsiTheme="majorBidi" w:cstheme="majorBidi"/>
          <w:sz w:val="22"/>
          <w:szCs w:val="22"/>
        </w:rPr>
        <w:t xml:space="preserve"> are in fact a review of the studies published on a particular subject and show how much progress has been made in recent years on that </w:t>
      </w:r>
      <w:r w:rsidR="000D08A7" w:rsidRPr="00FC3844">
        <w:rPr>
          <w:rFonts w:asciiTheme="majorBidi" w:hAnsiTheme="majorBidi" w:cstheme="majorBidi"/>
          <w:sz w:val="22"/>
          <w:szCs w:val="22"/>
        </w:rPr>
        <w:t>specific</w:t>
      </w:r>
      <w:r w:rsidR="00906891" w:rsidRPr="00FC3844">
        <w:rPr>
          <w:rFonts w:asciiTheme="majorBidi" w:hAnsiTheme="majorBidi" w:cstheme="majorBidi"/>
          <w:sz w:val="22"/>
          <w:szCs w:val="22"/>
        </w:rPr>
        <w:t xml:space="preserve"> subject </w:t>
      </w:r>
      <w:r w:rsidR="000D5E66" w:rsidRPr="00FC3844">
        <w:rPr>
          <w:rFonts w:asciiTheme="majorBidi" w:hAnsiTheme="majorBidi" w:cstheme="majorBidi"/>
          <w:sz w:val="22"/>
          <w:szCs w:val="22"/>
        </w:rPr>
        <w:t>[5]</w:t>
      </w:r>
      <w:r w:rsidRPr="00FC3844">
        <w:rPr>
          <w:rFonts w:asciiTheme="majorBidi" w:hAnsiTheme="majorBidi" w:cstheme="majorBidi"/>
          <w:sz w:val="22"/>
          <w:szCs w:val="22"/>
        </w:rPr>
        <w:t xml:space="preserve">. There are different categories of review articles. From a methodological point of view, these articles are written in three ways: narrative, evidence-based and systematic </w:t>
      </w:r>
      <w:r w:rsidR="000D5E66" w:rsidRPr="00FC3844">
        <w:rPr>
          <w:rFonts w:asciiTheme="majorBidi" w:hAnsiTheme="majorBidi" w:cstheme="majorBidi"/>
          <w:sz w:val="22"/>
          <w:szCs w:val="22"/>
        </w:rPr>
        <w:t>[6].</w:t>
      </w:r>
    </w:p>
    <w:p w:rsidR="00FC3844" w:rsidRPr="00803B87" w:rsidRDefault="00E21485" w:rsidP="00803B87">
      <w:pPr>
        <w:spacing w:line="276" w:lineRule="auto"/>
        <w:jc w:val="both"/>
        <w:rPr>
          <w:rFonts w:asciiTheme="majorBidi" w:hAnsiTheme="majorBidi" w:cstheme="majorBidi"/>
          <w:sz w:val="22"/>
          <w:szCs w:val="22"/>
        </w:rPr>
      </w:pPr>
      <w:r w:rsidRPr="00FC3844">
        <w:rPr>
          <w:rFonts w:asciiTheme="majorBidi" w:hAnsiTheme="majorBidi" w:cstheme="majorBidi"/>
          <w:sz w:val="22"/>
          <w:szCs w:val="22"/>
        </w:rPr>
        <w:t xml:space="preserve">Narrative review generally summarizes and quantitatively evaluates limited resources on a general topic. These studies are usually conducted with the aim of updating readers’ information by reviewing new research in a specific field </w:t>
      </w:r>
      <w:r w:rsidR="000D5E66" w:rsidRPr="00FC3844">
        <w:rPr>
          <w:rFonts w:asciiTheme="majorBidi" w:hAnsiTheme="majorBidi" w:cstheme="majorBidi"/>
          <w:sz w:val="22"/>
          <w:szCs w:val="22"/>
        </w:rPr>
        <w:t>[4]</w:t>
      </w:r>
      <w:r w:rsidRPr="00FC3844">
        <w:rPr>
          <w:rFonts w:asciiTheme="majorBidi" w:hAnsiTheme="majorBidi" w:cstheme="majorBidi"/>
          <w:sz w:val="22"/>
          <w:szCs w:val="22"/>
        </w:rPr>
        <w:t xml:space="preserve">. Evidence-based review is based on the study of the research methods and the results of a number of articles </w:t>
      </w:r>
      <w:r w:rsidR="000D5E66" w:rsidRPr="00FC3844">
        <w:rPr>
          <w:rFonts w:asciiTheme="majorBidi" w:hAnsiTheme="majorBidi" w:cstheme="majorBidi"/>
          <w:sz w:val="22"/>
          <w:szCs w:val="22"/>
        </w:rPr>
        <w:t>[6]</w:t>
      </w:r>
      <w:r w:rsidRPr="00FC3844">
        <w:rPr>
          <w:rFonts w:asciiTheme="majorBidi" w:hAnsiTheme="majorBidi" w:cstheme="majorBidi"/>
          <w:sz w:val="22"/>
          <w:szCs w:val="22"/>
        </w:rPr>
        <w:t xml:space="preserve">. Systematic reviews and meta-analysis are articles that search for the sources through a structured search method, </w:t>
      </w:r>
      <w:r w:rsidR="00906891" w:rsidRPr="00FC3844">
        <w:rPr>
          <w:rFonts w:asciiTheme="majorBidi" w:hAnsiTheme="majorBidi" w:cstheme="majorBidi"/>
          <w:sz w:val="22"/>
          <w:szCs w:val="22"/>
        </w:rPr>
        <w:t>analyse</w:t>
      </w:r>
      <w:r w:rsidRPr="00FC3844">
        <w:rPr>
          <w:rFonts w:asciiTheme="majorBidi" w:hAnsiTheme="majorBidi" w:cstheme="majorBidi"/>
          <w:sz w:val="22"/>
          <w:szCs w:val="22"/>
        </w:rPr>
        <w:t xml:space="preserve"> the results, and have high value and credibility because of their reliability a</w:t>
      </w:r>
      <w:r w:rsidR="00906891" w:rsidRPr="00FC3844">
        <w:rPr>
          <w:rFonts w:asciiTheme="majorBidi" w:hAnsiTheme="majorBidi" w:cstheme="majorBidi"/>
          <w:sz w:val="22"/>
          <w:szCs w:val="22"/>
        </w:rPr>
        <w:t xml:space="preserve">nd repeatability </w:t>
      </w:r>
      <w:r w:rsidR="000D5E66" w:rsidRPr="00FC3844">
        <w:rPr>
          <w:rFonts w:asciiTheme="majorBidi" w:hAnsiTheme="majorBidi" w:cstheme="majorBidi"/>
          <w:sz w:val="22"/>
          <w:szCs w:val="22"/>
        </w:rPr>
        <w:t>[7]</w:t>
      </w:r>
      <w:r w:rsidRPr="00FC3844">
        <w:rPr>
          <w:rFonts w:asciiTheme="majorBidi" w:hAnsiTheme="majorBidi" w:cstheme="majorBidi"/>
          <w:sz w:val="22"/>
          <w:szCs w:val="22"/>
        </w:rPr>
        <w:t xml:space="preserve">. This study is a systematic review article that reviews all the papers in the field of housing in all Iranian scientific-research journals as well as all articles in international journals on the issue of housing published in the last five years (2013-2017). </w:t>
      </w:r>
      <w:r w:rsidR="000D08A7" w:rsidRPr="00FC3844">
        <w:rPr>
          <w:rFonts w:asciiTheme="majorBidi" w:hAnsiTheme="majorBidi" w:cstheme="majorBidi"/>
          <w:sz w:val="22"/>
          <w:szCs w:val="22"/>
        </w:rPr>
        <w:t>Investigating</w:t>
      </w:r>
      <w:r w:rsidRPr="00FC3844">
        <w:rPr>
          <w:rFonts w:asciiTheme="majorBidi" w:hAnsiTheme="majorBidi" w:cstheme="majorBidi"/>
          <w:sz w:val="22"/>
          <w:szCs w:val="22"/>
        </w:rPr>
        <w:t xml:space="preserve"> the results of this article will lead to the organization of future research on housing by indicating a clear research direction. Comparing Iranian articles with international studies, the points that have been forgotten in the field of housing in each of the two statistical populations will be discovered. On the one hand, comparing the traditional and contemporary Iranian housing will make it possible to discover the weaknesses of the contemporary housing, and, by </w:t>
      </w:r>
      <w:r w:rsidR="00906891" w:rsidRPr="00FC3844">
        <w:rPr>
          <w:rFonts w:asciiTheme="majorBidi" w:hAnsiTheme="majorBidi" w:cstheme="majorBidi"/>
          <w:sz w:val="22"/>
          <w:szCs w:val="22"/>
        </w:rPr>
        <w:t>modelling</w:t>
      </w:r>
      <w:r w:rsidRPr="00FC3844">
        <w:rPr>
          <w:rFonts w:asciiTheme="majorBidi" w:hAnsiTheme="majorBidi" w:cstheme="majorBidi"/>
          <w:sz w:val="22"/>
          <w:szCs w:val="22"/>
        </w:rPr>
        <w:t xml:space="preserve"> the strengths of the traditional housing, take a step towards eliminating the weaknesses and improving the condition of today’s houses.</w:t>
      </w:r>
      <w:r w:rsidRPr="00121DEF">
        <w:rPr>
          <w:rFonts w:asciiTheme="majorBidi" w:hAnsiTheme="majorBidi" w:cstheme="majorBidi"/>
          <w:sz w:val="22"/>
          <w:szCs w:val="22"/>
        </w:rPr>
        <w:t xml:space="preserve"> </w:t>
      </w:r>
    </w:p>
    <w:p w:rsidR="00803B87" w:rsidRDefault="00803B87" w:rsidP="00980E46">
      <w:pPr>
        <w:spacing w:line="276" w:lineRule="auto"/>
        <w:jc w:val="both"/>
        <w:rPr>
          <w:rFonts w:asciiTheme="majorBidi" w:hAnsiTheme="majorBidi" w:cstheme="majorBidi"/>
          <w:b/>
          <w:sz w:val="22"/>
          <w:szCs w:val="22"/>
        </w:rPr>
      </w:pPr>
    </w:p>
    <w:p w:rsidR="00E21485" w:rsidRPr="00121DEF" w:rsidRDefault="00121DEF" w:rsidP="00980E46">
      <w:pPr>
        <w:spacing w:line="276" w:lineRule="auto"/>
        <w:jc w:val="both"/>
        <w:rPr>
          <w:rFonts w:asciiTheme="majorBidi" w:hAnsiTheme="majorBidi" w:cstheme="majorBidi"/>
          <w:b/>
          <w:bCs/>
          <w:sz w:val="22"/>
          <w:szCs w:val="22"/>
          <w:rtl/>
        </w:rPr>
      </w:pPr>
      <w:r>
        <w:rPr>
          <w:rFonts w:asciiTheme="majorBidi" w:hAnsiTheme="majorBidi" w:cstheme="majorBidi"/>
          <w:b/>
          <w:sz w:val="22"/>
          <w:szCs w:val="22"/>
        </w:rPr>
        <w:lastRenderedPageBreak/>
        <w:t xml:space="preserve">2. </w:t>
      </w:r>
      <w:r w:rsidR="00E21485" w:rsidRPr="00121DEF">
        <w:rPr>
          <w:rFonts w:asciiTheme="majorBidi" w:hAnsiTheme="majorBidi" w:cstheme="majorBidi"/>
          <w:b/>
          <w:sz w:val="22"/>
          <w:szCs w:val="22"/>
        </w:rPr>
        <w:t>Study questions</w:t>
      </w:r>
    </w:p>
    <w:p w:rsidR="00E21485" w:rsidRPr="00121DEF" w:rsidRDefault="00E21485" w:rsidP="00980E46">
      <w:pPr>
        <w:spacing w:line="276" w:lineRule="auto"/>
        <w:jc w:val="both"/>
        <w:rPr>
          <w:rFonts w:asciiTheme="majorBidi" w:hAnsiTheme="majorBidi" w:cstheme="majorBidi"/>
          <w:sz w:val="22"/>
          <w:szCs w:val="22"/>
          <w:rtl/>
          <w:cs/>
        </w:rPr>
      </w:pPr>
      <w:r w:rsidRPr="00121DEF">
        <w:rPr>
          <w:rFonts w:asciiTheme="majorBidi" w:hAnsiTheme="majorBidi" w:cstheme="majorBidi"/>
          <w:sz w:val="22"/>
          <w:szCs w:val="22"/>
        </w:rPr>
        <w:t>Based on the points mentioned above, this paper answers three questions:</w:t>
      </w:r>
    </w:p>
    <w:p w:rsidR="00E21485" w:rsidRPr="00121DEF" w:rsidRDefault="00E21485" w:rsidP="00980E46">
      <w:pPr>
        <w:spacing w:line="276" w:lineRule="auto"/>
        <w:jc w:val="both"/>
        <w:rPr>
          <w:rFonts w:asciiTheme="majorBidi" w:hAnsiTheme="majorBidi" w:cstheme="majorBidi"/>
          <w:sz w:val="22"/>
          <w:szCs w:val="22"/>
          <w:rtl/>
          <w:cs/>
        </w:rPr>
      </w:pPr>
      <w:r w:rsidRPr="00121DEF">
        <w:rPr>
          <w:rFonts w:asciiTheme="majorBidi" w:hAnsiTheme="majorBidi" w:cstheme="majorBidi"/>
          <w:sz w:val="22"/>
          <w:szCs w:val="22"/>
        </w:rPr>
        <w:t>What factors have international articles considered in the field of housing?</w:t>
      </w:r>
    </w:p>
    <w:p w:rsidR="00E21485" w:rsidRPr="00121DEF" w:rsidRDefault="00E21485" w:rsidP="00980E46">
      <w:pPr>
        <w:spacing w:line="276" w:lineRule="auto"/>
        <w:jc w:val="both"/>
        <w:rPr>
          <w:rFonts w:asciiTheme="majorBidi" w:hAnsiTheme="majorBidi" w:cstheme="majorBidi"/>
          <w:sz w:val="22"/>
          <w:szCs w:val="22"/>
          <w:rtl/>
          <w:cs/>
        </w:rPr>
      </w:pPr>
      <w:r w:rsidRPr="00121DEF">
        <w:rPr>
          <w:rFonts w:asciiTheme="majorBidi" w:hAnsiTheme="majorBidi" w:cstheme="majorBidi"/>
          <w:sz w:val="22"/>
          <w:szCs w:val="22"/>
        </w:rPr>
        <w:t>How challenging are the variables of housing in Iran’s scientific publications?</w:t>
      </w:r>
    </w:p>
    <w:p w:rsidR="00E21485" w:rsidRDefault="00E21485" w:rsidP="00980E46">
      <w:pPr>
        <w:spacing w:line="276" w:lineRule="auto"/>
        <w:jc w:val="both"/>
        <w:rPr>
          <w:rFonts w:asciiTheme="majorBidi" w:hAnsiTheme="majorBidi" w:cstheme="majorBidi"/>
          <w:sz w:val="22"/>
          <w:szCs w:val="22"/>
        </w:rPr>
      </w:pPr>
      <w:r w:rsidRPr="00121DEF">
        <w:rPr>
          <w:rFonts w:asciiTheme="majorBidi" w:hAnsiTheme="majorBidi" w:cstheme="majorBidi"/>
          <w:sz w:val="22"/>
          <w:szCs w:val="22"/>
        </w:rPr>
        <w:t>How different is the perspective on housing in Iranian studies and international research?</w:t>
      </w:r>
    </w:p>
    <w:p w:rsidR="00FC3844" w:rsidRDefault="00FC3844" w:rsidP="00980E46">
      <w:pPr>
        <w:spacing w:line="276" w:lineRule="auto"/>
        <w:jc w:val="both"/>
        <w:rPr>
          <w:rFonts w:asciiTheme="majorBidi" w:hAnsiTheme="majorBidi" w:cstheme="majorBidi"/>
          <w:sz w:val="22"/>
          <w:szCs w:val="22"/>
        </w:rPr>
      </w:pPr>
    </w:p>
    <w:p w:rsidR="00F176BD" w:rsidRPr="00FC3844" w:rsidRDefault="00121DEF" w:rsidP="00980E46">
      <w:pPr>
        <w:spacing w:line="276" w:lineRule="auto"/>
        <w:jc w:val="both"/>
        <w:rPr>
          <w:rFonts w:asciiTheme="majorBidi" w:hAnsiTheme="majorBidi" w:cstheme="majorBidi"/>
          <w:b/>
          <w:bCs/>
          <w:sz w:val="22"/>
          <w:szCs w:val="22"/>
          <w:rtl/>
        </w:rPr>
      </w:pPr>
      <w:r w:rsidRPr="00FC3844">
        <w:rPr>
          <w:rFonts w:asciiTheme="majorBidi" w:hAnsiTheme="majorBidi" w:cstheme="majorBidi"/>
          <w:b/>
          <w:bCs/>
          <w:sz w:val="22"/>
          <w:szCs w:val="22"/>
        </w:rPr>
        <w:t xml:space="preserve">3. </w:t>
      </w:r>
      <w:r w:rsidR="00F176BD" w:rsidRPr="00FC3844">
        <w:rPr>
          <w:rFonts w:asciiTheme="majorBidi" w:hAnsiTheme="majorBidi" w:cstheme="majorBidi"/>
          <w:b/>
          <w:bCs/>
          <w:sz w:val="22"/>
          <w:szCs w:val="22"/>
        </w:rPr>
        <w:t>Methodology</w:t>
      </w:r>
    </w:p>
    <w:p w:rsidR="00A677C2" w:rsidRPr="00FC3844" w:rsidRDefault="00F176BD" w:rsidP="00C129F1">
      <w:pPr>
        <w:spacing w:line="276" w:lineRule="auto"/>
        <w:jc w:val="both"/>
        <w:rPr>
          <w:rFonts w:asciiTheme="majorBidi" w:hAnsiTheme="majorBidi" w:cstheme="majorBidi"/>
          <w:sz w:val="22"/>
          <w:szCs w:val="22"/>
        </w:rPr>
      </w:pPr>
      <w:r w:rsidRPr="00FC3844">
        <w:rPr>
          <w:rFonts w:asciiTheme="majorBidi" w:hAnsiTheme="majorBidi" w:cstheme="majorBidi"/>
          <w:sz w:val="22"/>
          <w:szCs w:val="22"/>
        </w:rPr>
        <w:t>Based on the list of prestigio</w:t>
      </w:r>
      <w:r w:rsidR="000D5E66" w:rsidRPr="00FC3844">
        <w:rPr>
          <w:rFonts w:asciiTheme="majorBidi" w:hAnsiTheme="majorBidi" w:cstheme="majorBidi"/>
          <w:sz w:val="22"/>
          <w:szCs w:val="22"/>
        </w:rPr>
        <w:t>us scientific journals</w:t>
      </w:r>
      <w:r w:rsidRPr="00FC3844">
        <w:rPr>
          <w:rFonts w:asciiTheme="majorBidi" w:hAnsiTheme="majorBidi" w:cstheme="majorBidi"/>
          <w:sz w:val="22"/>
          <w:szCs w:val="22"/>
        </w:rPr>
        <w:t xml:space="preserve"> published by the Research and Technology Deputy of the Ministry of Science, Research and Technology of Iran, 16 scientific-research journals in the field of architecture are being published in Iran: Bagh-e Nazar, Islamic Architectural Researches, Soffeh, Urban Management, Maremat &amp; Memari-e Iran, Journal of Housing and Rural Environment, Journal of Studies on Iranian-Islamic City, Urban Studies, Iranian Architectural Studies, Architecture and Urbanism, Armanshahr Architecture &amp; Urban Development, Iranian Architecture and Urbanism, Journal of Architecture and Urban Planning, Naghsh-e Jahan, Hoviatshahr, and International Journal of Architectural Engineering and Urban Planning</w:t>
      </w:r>
      <w:r w:rsidR="000D5E66" w:rsidRPr="00FC3844">
        <w:rPr>
          <w:rFonts w:asciiTheme="majorBidi" w:hAnsiTheme="majorBidi" w:cstheme="majorBidi"/>
          <w:sz w:val="22"/>
          <w:szCs w:val="22"/>
        </w:rPr>
        <w:t xml:space="preserve"> [8]</w:t>
      </w:r>
      <w:r w:rsidRPr="00FC3844">
        <w:rPr>
          <w:rFonts w:asciiTheme="majorBidi" w:hAnsiTheme="majorBidi" w:cstheme="majorBidi"/>
          <w:sz w:val="22"/>
          <w:szCs w:val="22"/>
        </w:rPr>
        <w:t>. In this study, all these journals are reviewed as the first statistical population. Among the above journals, “Iranian Architectural Studies” had not published any papers on housing and was thus excluded from the statistical population.</w:t>
      </w:r>
      <w:r w:rsidR="00677E3B" w:rsidRPr="00FC3844">
        <w:rPr>
          <w:rFonts w:asciiTheme="majorBidi" w:hAnsiTheme="majorBidi" w:cstheme="majorBidi"/>
          <w:sz w:val="22"/>
          <w:szCs w:val="22"/>
        </w:rPr>
        <w:t xml:space="preserve"> Non-probability sampling was used to </w:t>
      </w:r>
      <w:r w:rsidR="00C129F1" w:rsidRPr="00FC3844">
        <w:rPr>
          <w:rFonts w:asciiTheme="majorBidi" w:hAnsiTheme="majorBidi" w:cstheme="majorBidi"/>
          <w:sz w:val="22"/>
          <w:szCs w:val="22"/>
        </w:rPr>
        <w:t>specify</w:t>
      </w:r>
      <w:r w:rsidR="00677E3B" w:rsidRPr="00FC3844">
        <w:rPr>
          <w:rFonts w:asciiTheme="majorBidi" w:hAnsiTheme="majorBidi" w:cstheme="majorBidi"/>
          <w:sz w:val="22"/>
          <w:szCs w:val="22"/>
        </w:rPr>
        <w:t xml:space="preserve"> papers. To reach a more reliable conclusion, a</w:t>
      </w:r>
      <w:r w:rsidRPr="00FC3844">
        <w:rPr>
          <w:rFonts w:asciiTheme="majorBidi" w:hAnsiTheme="majorBidi" w:cstheme="majorBidi"/>
          <w:sz w:val="22"/>
          <w:szCs w:val="22"/>
        </w:rPr>
        <w:t xml:space="preserve">ll the </w:t>
      </w:r>
      <w:r w:rsidR="00677E3B" w:rsidRPr="00FC3844">
        <w:rPr>
          <w:rFonts w:asciiTheme="majorBidi" w:hAnsiTheme="majorBidi" w:cstheme="majorBidi"/>
          <w:sz w:val="22"/>
          <w:szCs w:val="22"/>
        </w:rPr>
        <w:t>articles</w:t>
      </w:r>
      <w:r w:rsidRPr="00FC3844">
        <w:rPr>
          <w:rFonts w:asciiTheme="majorBidi" w:hAnsiTheme="majorBidi" w:cstheme="majorBidi"/>
          <w:sz w:val="22"/>
          <w:szCs w:val="22"/>
        </w:rPr>
        <w:t xml:space="preserve"> published in other 15 journals from 2013 to 2017 in the field of housing were </w:t>
      </w:r>
      <w:r w:rsidR="00677E3B" w:rsidRPr="00FC3844">
        <w:rPr>
          <w:rFonts w:asciiTheme="majorBidi" w:hAnsiTheme="majorBidi" w:cstheme="majorBidi"/>
          <w:sz w:val="22"/>
          <w:szCs w:val="22"/>
        </w:rPr>
        <w:t xml:space="preserve">comprehensively </w:t>
      </w:r>
      <w:r w:rsidRPr="00FC3844">
        <w:rPr>
          <w:rFonts w:asciiTheme="majorBidi" w:hAnsiTheme="majorBidi" w:cstheme="majorBidi"/>
          <w:sz w:val="22"/>
          <w:szCs w:val="22"/>
        </w:rPr>
        <w:t>considered as the statistical sample.</w:t>
      </w:r>
      <w:r w:rsidR="00677E3B" w:rsidRPr="00FC3844">
        <w:rPr>
          <w:rFonts w:asciiTheme="majorBidi" w:hAnsiTheme="majorBidi" w:cstheme="majorBidi"/>
          <w:sz w:val="22"/>
          <w:szCs w:val="22"/>
        </w:rPr>
        <w:t xml:space="preserve"> They were selected </w:t>
      </w:r>
      <w:r w:rsidR="00C129F1" w:rsidRPr="00FC3844">
        <w:rPr>
          <w:rFonts w:asciiTheme="majorBidi" w:hAnsiTheme="majorBidi" w:cstheme="majorBidi"/>
          <w:sz w:val="22"/>
          <w:szCs w:val="22"/>
        </w:rPr>
        <w:t>exerting</w:t>
      </w:r>
      <w:r w:rsidR="00677E3B" w:rsidRPr="00FC3844">
        <w:rPr>
          <w:rFonts w:asciiTheme="majorBidi" w:hAnsiTheme="majorBidi" w:cstheme="majorBidi"/>
          <w:sz w:val="22"/>
          <w:szCs w:val="22"/>
        </w:rPr>
        <w:t xml:space="preserve"> judgemental sampling based on the usage </w:t>
      </w:r>
      <w:r w:rsidR="00C129F1" w:rsidRPr="00FC3844">
        <w:rPr>
          <w:rFonts w:asciiTheme="majorBidi" w:hAnsiTheme="majorBidi" w:cstheme="majorBidi"/>
          <w:sz w:val="22"/>
          <w:szCs w:val="22"/>
        </w:rPr>
        <w:t>of</w:t>
      </w:r>
      <w:r w:rsidR="00677E3B" w:rsidRPr="00FC3844">
        <w:rPr>
          <w:rFonts w:asciiTheme="majorBidi" w:hAnsiTheme="majorBidi" w:cstheme="majorBidi"/>
          <w:sz w:val="22"/>
          <w:szCs w:val="22"/>
        </w:rPr>
        <w:t xml:space="preserve"> any words related to </w:t>
      </w:r>
      <w:r w:rsidR="00C129F1" w:rsidRPr="00FC3844">
        <w:rPr>
          <w:rFonts w:asciiTheme="majorBidi" w:hAnsiTheme="majorBidi" w:cstheme="majorBidi"/>
          <w:sz w:val="22"/>
          <w:szCs w:val="22"/>
        </w:rPr>
        <w:t>"</w:t>
      </w:r>
      <w:r w:rsidR="00677E3B" w:rsidRPr="00FC3844">
        <w:rPr>
          <w:rFonts w:asciiTheme="majorBidi" w:hAnsiTheme="majorBidi" w:cstheme="majorBidi"/>
          <w:sz w:val="22"/>
          <w:szCs w:val="22"/>
        </w:rPr>
        <w:t>housing</w:t>
      </w:r>
      <w:r w:rsidR="00C129F1" w:rsidRPr="00FC3844">
        <w:rPr>
          <w:rFonts w:asciiTheme="majorBidi" w:hAnsiTheme="majorBidi" w:cstheme="majorBidi"/>
          <w:sz w:val="22"/>
          <w:szCs w:val="22"/>
        </w:rPr>
        <w:t>"</w:t>
      </w:r>
      <w:r w:rsidR="00677E3B" w:rsidRPr="00FC3844">
        <w:rPr>
          <w:rFonts w:asciiTheme="majorBidi" w:hAnsiTheme="majorBidi" w:cstheme="majorBidi"/>
          <w:sz w:val="22"/>
          <w:szCs w:val="22"/>
        </w:rPr>
        <w:t xml:space="preserve"> in the titles, abstracts and key words</w:t>
      </w:r>
      <w:r w:rsidR="00C129F1" w:rsidRPr="00FC3844">
        <w:rPr>
          <w:rFonts w:asciiTheme="majorBidi" w:hAnsiTheme="majorBidi" w:cstheme="majorBidi"/>
          <w:sz w:val="22"/>
          <w:szCs w:val="22"/>
        </w:rPr>
        <w:t xml:space="preserve"> of papers</w:t>
      </w:r>
      <w:r w:rsidR="00677E3B" w:rsidRPr="00FC3844">
        <w:rPr>
          <w:rFonts w:asciiTheme="majorBidi" w:hAnsiTheme="majorBidi" w:cstheme="majorBidi"/>
          <w:sz w:val="22"/>
          <w:szCs w:val="22"/>
        </w:rPr>
        <w:t>.</w:t>
      </w:r>
      <w:r w:rsidRPr="00FC3844">
        <w:rPr>
          <w:rFonts w:asciiTheme="majorBidi" w:hAnsiTheme="majorBidi" w:cstheme="majorBidi"/>
          <w:sz w:val="22"/>
          <w:szCs w:val="22"/>
        </w:rPr>
        <w:t xml:space="preserve"> It should be noted that the number of reviewed articles, i.e. the sample size, was 187.</w:t>
      </w:r>
    </w:p>
    <w:p w:rsidR="00803B87" w:rsidRDefault="00F176BD" w:rsidP="00FC3844">
      <w:pPr>
        <w:spacing w:line="276" w:lineRule="auto"/>
        <w:jc w:val="both"/>
        <w:rPr>
          <w:rFonts w:asciiTheme="majorBidi" w:hAnsiTheme="majorBidi" w:cstheme="majorBidi"/>
          <w:sz w:val="22"/>
          <w:szCs w:val="22"/>
        </w:rPr>
      </w:pPr>
      <w:r w:rsidRPr="00FC3844">
        <w:rPr>
          <w:rFonts w:asciiTheme="majorBidi" w:hAnsiTheme="majorBidi" w:cstheme="majorBidi"/>
          <w:sz w:val="22"/>
          <w:szCs w:val="22"/>
        </w:rPr>
        <w:t>In order to compare the issues of housing in Iran and other countries, 15 international journals should be considered as the second statistical population. The international publications are very extensive. Therefore, we referred to the Scientific Journal Ranking (SJR) system to limit the number of journals (Figure 1). SJR is a public-access portal in which the journals are ranked based on articles published. Journals’ ranking was observed in the subject area of ​​engineering and the category of architecture in all regions and countries in 2017.</w:t>
      </w:r>
    </w:p>
    <w:p w:rsidR="00F176BD" w:rsidRDefault="00F176BD" w:rsidP="00FC3844">
      <w:pPr>
        <w:spacing w:line="276" w:lineRule="auto"/>
        <w:jc w:val="both"/>
        <w:rPr>
          <w:rFonts w:asciiTheme="majorBidi" w:hAnsiTheme="majorBidi" w:cstheme="majorBidi"/>
          <w:sz w:val="22"/>
          <w:szCs w:val="22"/>
        </w:rPr>
      </w:pPr>
      <w:r w:rsidRPr="00FC3844">
        <w:rPr>
          <w:rFonts w:asciiTheme="majorBidi" w:hAnsiTheme="majorBidi" w:cstheme="majorBidi"/>
          <w:sz w:val="22"/>
          <w:szCs w:val="22"/>
        </w:rPr>
        <w:t>Among the publ</w:t>
      </w:r>
      <w:r w:rsidR="00FC3844">
        <w:rPr>
          <w:rFonts w:asciiTheme="majorBidi" w:hAnsiTheme="majorBidi" w:cstheme="majorBidi"/>
          <w:sz w:val="22"/>
          <w:szCs w:val="22"/>
        </w:rPr>
        <w:t xml:space="preserve">ications, the first 15 cases </w:t>
      </w:r>
      <w:r w:rsidRPr="00FC3844">
        <w:rPr>
          <w:rFonts w:asciiTheme="majorBidi" w:hAnsiTheme="majorBidi" w:cstheme="majorBidi"/>
          <w:sz w:val="22"/>
          <w:szCs w:val="22"/>
        </w:rPr>
        <w:t>that had published at least one paper on housing and, on this basis, had had research activities in the field of housing, were selected as th</w:t>
      </w:r>
      <w:r w:rsidR="00FC3844">
        <w:rPr>
          <w:rFonts w:asciiTheme="majorBidi" w:hAnsiTheme="majorBidi" w:cstheme="majorBidi"/>
          <w:sz w:val="22"/>
          <w:szCs w:val="22"/>
        </w:rPr>
        <w:t>e second statistical population, named respectively</w:t>
      </w:r>
      <w:r w:rsidR="00FC3844" w:rsidRPr="00FC3844">
        <w:rPr>
          <w:rFonts w:asciiTheme="majorBidi" w:hAnsiTheme="majorBidi" w:cstheme="majorBidi"/>
          <w:sz w:val="22"/>
          <w:szCs w:val="22"/>
        </w:rPr>
        <w:t xml:space="preserve"> Journal of Building Performance Simulation,</w:t>
      </w:r>
      <w:r w:rsidR="00FC3844">
        <w:rPr>
          <w:rFonts w:asciiTheme="majorBidi" w:hAnsiTheme="majorBidi" w:cstheme="majorBidi"/>
          <w:sz w:val="22"/>
          <w:szCs w:val="22"/>
        </w:rPr>
        <w:t xml:space="preserve"> </w:t>
      </w:r>
      <w:r w:rsidR="00FC3844" w:rsidRPr="00FC3844">
        <w:rPr>
          <w:rFonts w:asciiTheme="majorBidi" w:hAnsiTheme="majorBidi" w:cstheme="majorBidi"/>
          <w:sz w:val="22"/>
          <w:szCs w:val="22"/>
        </w:rPr>
        <w:t>Architectural Science Review, Journal of Building Engineering, Construction Innovation, International Journal of Architectural Heritage, Facilities, Frontiers of Architectural Research, Architectural Engineering and Design Management, CoDesign, International Journal of Low Carbon Technologies, Journal of Asian Architecture and Building Engineering, Journal of Architectural Engineering, Journal of Civil, Architectural and Environmental Engineering, Architectural Design and Spatium</w:t>
      </w:r>
      <w:r w:rsidRPr="00FC3844">
        <w:rPr>
          <w:rFonts w:asciiTheme="majorBidi" w:hAnsiTheme="majorBidi" w:cstheme="majorBidi"/>
          <w:sz w:val="22"/>
          <w:szCs w:val="22"/>
        </w:rPr>
        <w:t xml:space="preserve">. </w:t>
      </w:r>
      <w:r w:rsidR="00C129F1" w:rsidRPr="00FC3844">
        <w:rPr>
          <w:rFonts w:asciiTheme="majorBidi" w:hAnsiTheme="majorBidi" w:cstheme="majorBidi"/>
          <w:sz w:val="22"/>
          <w:szCs w:val="22"/>
        </w:rPr>
        <w:t>Using the same sampling method as mentioned before, all the articles which referred to</w:t>
      </w:r>
      <w:r w:rsidRPr="00FC3844">
        <w:rPr>
          <w:rFonts w:asciiTheme="majorBidi" w:hAnsiTheme="majorBidi" w:cstheme="majorBidi"/>
          <w:sz w:val="22"/>
          <w:szCs w:val="22"/>
        </w:rPr>
        <w:t xml:space="preserve"> </w:t>
      </w:r>
      <w:r w:rsidR="00C129F1" w:rsidRPr="00FC3844">
        <w:rPr>
          <w:rFonts w:asciiTheme="majorBidi" w:hAnsiTheme="majorBidi" w:cstheme="majorBidi"/>
          <w:sz w:val="22"/>
          <w:szCs w:val="22"/>
        </w:rPr>
        <w:t>"</w:t>
      </w:r>
      <w:r w:rsidRPr="00FC3844">
        <w:rPr>
          <w:rFonts w:asciiTheme="majorBidi" w:hAnsiTheme="majorBidi" w:cstheme="majorBidi"/>
          <w:sz w:val="22"/>
          <w:szCs w:val="22"/>
        </w:rPr>
        <w:t>housing</w:t>
      </w:r>
      <w:r w:rsidR="00C129F1" w:rsidRPr="00FC3844">
        <w:rPr>
          <w:rFonts w:asciiTheme="majorBidi" w:hAnsiTheme="majorBidi" w:cstheme="majorBidi"/>
          <w:sz w:val="22"/>
          <w:szCs w:val="22"/>
        </w:rPr>
        <w:t>" in titles, abstracts and key words</w:t>
      </w:r>
      <w:r w:rsidRPr="00FC3844">
        <w:rPr>
          <w:rFonts w:asciiTheme="majorBidi" w:hAnsiTheme="majorBidi" w:cstheme="majorBidi"/>
          <w:sz w:val="22"/>
          <w:szCs w:val="22"/>
        </w:rPr>
        <w:t xml:space="preserve"> in these journals published in the five years period from 2013 to 2017 consisted the second statistical sample of the study with a size of 276.</w:t>
      </w:r>
      <w:r w:rsidR="00C129F1" w:rsidRPr="00FC3844">
        <w:rPr>
          <w:rFonts w:asciiTheme="majorBidi" w:hAnsiTheme="majorBidi" w:cstheme="majorBidi"/>
          <w:sz w:val="22"/>
          <w:szCs w:val="22"/>
        </w:rPr>
        <w:t xml:space="preserve"> </w:t>
      </w:r>
      <w:r w:rsidR="00FC3844" w:rsidRPr="00FC3844">
        <w:rPr>
          <w:rFonts w:asciiTheme="majorBidi" w:hAnsiTheme="majorBidi" w:cstheme="majorBidi"/>
          <w:sz w:val="22"/>
          <w:szCs w:val="22"/>
        </w:rPr>
        <w:t>This makes</w:t>
      </w:r>
      <w:r w:rsidR="00C129F1" w:rsidRPr="00FC3844">
        <w:rPr>
          <w:rFonts w:asciiTheme="majorBidi" w:hAnsiTheme="majorBidi" w:cstheme="majorBidi"/>
          <w:sz w:val="22"/>
          <w:szCs w:val="22"/>
        </w:rPr>
        <w:t xml:space="preserve"> the whole sample size to 463 Iranian and International articles.</w:t>
      </w:r>
    </w:p>
    <w:p w:rsidR="00FC3844" w:rsidRDefault="00FC3844" w:rsidP="00FC3844">
      <w:pPr>
        <w:rPr>
          <w:sz w:val="20"/>
          <w:szCs w:val="20"/>
        </w:rPr>
      </w:pPr>
    </w:p>
    <w:p w:rsidR="00803B87" w:rsidRDefault="00803B87" w:rsidP="00FC3844">
      <w:pPr>
        <w:rPr>
          <w:sz w:val="20"/>
          <w:szCs w:val="20"/>
        </w:rPr>
      </w:pPr>
    </w:p>
    <w:p w:rsidR="00803B87" w:rsidRDefault="00803B87" w:rsidP="00FC3844">
      <w:pPr>
        <w:rPr>
          <w:sz w:val="20"/>
          <w:szCs w:val="20"/>
        </w:rPr>
      </w:pPr>
    </w:p>
    <w:p w:rsidR="00803B87" w:rsidRDefault="00803B87" w:rsidP="00FC3844">
      <w:pPr>
        <w:rPr>
          <w:sz w:val="20"/>
          <w:szCs w:val="20"/>
        </w:rPr>
      </w:pPr>
    </w:p>
    <w:p w:rsidR="00A677C2" w:rsidRPr="002911ED" w:rsidRDefault="00162F87" w:rsidP="00FC3844">
      <w:pPr>
        <w:jc w:val="center"/>
        <w:rPr>
          <w:sz w:val="18"/>
          <w:szCs w:val="18"/>
        </w:rPr>
      </w:pPr>
      <w:r w:rsidRPr="002911ED">
        <w:rPr>
          <w:sz w:val="18"/>
          <w:szCs w:val="18"/>
        </w:rPr>
        <w:lastRenderedPageBreak/>
        <w:t>Figure</w:t>
      </w:r>
      <w:r w:rsidR="00A677C2" w:rsidRPr="002911ED">
        <w:rPr>
          <w:sz w:val="18"/>
          <w:szCs w:val="18"/>
        </w:rPr>
        <w:t>1. Domain of studies in Iranian and International journals</w:t>
      </w:r>
    </w:p>
    <w:p w:rsidR="00A677C2" w:rsidRPr="00C129F1" w:rsidRDefault="00A677C2" w:rsidP="00C129F1">
      <w:pPr>
        <w:jc w:val="center"/>
      </w:pPr>
      <w:r w:rsidRPr="00FC3844">
        <w:rPr>
          <w:noProof/>
          <w:lang w:val="en-US" w:eastAsia="en-US" w:bidi="fa-IR"/>
        </w:rPr>
        <mc:AlternateContent>
          <mc:Choice Requires="wps">
            <w:drawing>
              <wp:anchor distT="0" distB="0" distL="114300" distR="114300" simplePos="0" relativeHeight="251659264" behindDoc="0" locked="0" layoutInCell="1" allowOverlap="1" wp14:anchorId="7D207146" wp14:editId="60A68BAE">
                <wp:simplePos x="0" y="0"/>
                <wp:positionH relativeFrom="column">
                  <wp:posOffset>2522220</wp:posOffset>
                </wp:positionH>
                <wp:positionV relativeFrom="paragraph">
                  <wp:posOffset>965200</wp:posOffset>
                </wp:positionV>
                <wp:extent cx="259080" cy="175260"/>
                <wp:effectExtent l="76200" t="38100" r="7620" b="110490"/>
                <wp:wrapNone/>
                <wp:docPr id="3" name="Left Arrow 3"/>
                <wp:cNvGraphicFramePr/>
                <a:graphic xmlns:a="http://schemas.openxmlformats.org/drawingml/2006/main">
                  <a:graphicData uri="http://schemas.microsoft.com/office/word/2010/wordprocessingShape">
                    <wps:wsp>
                      <wps:cNvSpPr/>
                      <wps:spPr>
                        <a:xfrm>
                          <a:off x="0" y="0"/>
                          <a:ext cx="259080" cy="175260"/>
                        </a:xfrm>
                        <a:prstGeom prst="leftArrow">
                          <a:avLst/>
                        </a:prstGeom>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3" o:spid="_x0000_s1026" type="#_x0000_t66" style="position:absolute;left:0;text-align:left;margin-left:198.6pt;margin-top:76pt;width:20.4pt;height:13.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" adj="7306" fillcolor="#9a4906 [1641]" stroked="f">
                <v:fill color2="#f68a32 [3017]" rotate="t" angle="180" colors="0 #cb6c1d;52429f #ff8f2a;1 #ff8f26" focus="100%" type="gradient">
                  <o:fill v:ext="view" type="gradientUnscaled"/>
                </v:fill>
                <v:shadow on="t" color="black" opacity="22937f" origin=",.5" offset="0,.63889mm"/>
              </v:shape>
            </w:pict>
          </mc:Fallback>
        </mc:AlternateContent>
      </w:r>
      <w:r w:rsidRPr="00FC3844">
        <w:rPr>
          <w:noProof/>
          <w:lang w:val="en-US" w:eastAsia="en-US" w:bidi="fa-IR"/>
        </w:rPr>
        <w:drawing>
          <wp:inline distT="0" distB="0" distL="0" distR="0" wp14:anchorId="704978C9" wp14:editId="4DABAA69">
            <wp:extent cx="2189018" cy="1246909"/>
            <wp:effectExtent l="0" t="0" r="20955" b="1079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Pr="00FC3844">
        <w:t xml:space="preserve">            </w:t>
      </w:r>
      <w:r w:rsidRPr="00FC3844">
        <w:rPr>
          <w:noProof/>
          <w:lang w:val="en-US" w:eastAsia="en-US" w:bidi="fa-IR"/>
        </w:rPr>
        <w:drawing>
          <wp:inline distT="0" distB="0" distL="0" distR="0" wp14:anchorId="4DB54D7E" wp14:editId="3F6AC253">
            <wp:extent cx="2479963" cy="1226127"/>
            <wp:effectExtent l="0" t="0" r="0" b="127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F176BD" w:rsidRPr="00803B87" w:rsidRDefault="00F176BD" w:rsidP="00D8465B">
      <w:pPr>
        <w:spacing w:line="276" w:lineRule="auto"/>
        <w:jc w:val="both"/>
        <w:rPr>
          <w:rFonts w:asciiTheme="majorBidi" w:hAnsiTheme="majorBidi" w:cstheme="majorBidi"/>
          <w:sz w:val="22"/>
          <w:szCs w:val="22"/>
          <w:rtl/>
        </w:rPr>
      </w:pPr>
      <w:r w:rsidRPr="00803B87">
        <w:rPr>
          <w:rFonts w:asciiTheme="majorBidi" w:hAnsiTheme="majorBidi" w:cstheme="majorBidi"/>
          <w:sz w:val="22"/>
          <w:szCs w:val="22"/>
        </w:rPr>
        <w:t xml:space="preserve">Content analysis was used to review the </w:t>
      </w:r>
      <w:r w:rsidR="00637880" w:rsidRPr="00803B87">
        <w:rPr>
          <w:rFonts w:asciiTheme="majorBidi" w:hAnsiTheme="majorBidi" w:cstheme="majorBidi"/>
          <w:sz w:val="22"/>
          <w:szCs w:val="22"/>
        </w:rPr>
        <w:t>value</w:t>
      </w:r>
      <w:r w:rsidRPr="00803B87">
        <w:rPr>
          <w:rFonts w:asciiTheme="majorBidi" w:hAnsiTheme="majorBidi" w:cstheme="majorBidi"/>
          <w:sz w:val="22"/>
          <w:szCs w:val="22"/>
        </w:rPr>
        <w:t xml:space="preserve"> of the data from these articles. Content analysis is a method to study and </w:t>
      </w:r>
      <w:r w:rsidR="00637880" w:rsidRPr="00803B87">
        <w:rPr>
          <w:rFonts w:asciiTheme="majorBidi" w:hAnsiTheme="majorBidi" w:cstheme="majorBidi"/>
          <w:sz w:val="22"/>
          <w:szCs w:val="22"/>
        </w:rPr>
        <w:t>investigate</w:t>
      </w:r>
      <w:r w:rsidRPr="00803B87">
        <w:rPr>
          <w:rFonts w:asciiTheme="majorBidi" w:hAnsiTheme="majorBidi" w:cstheme="majorBidi"/>
          <w:sz w:val="22"/>
          <w:szCs w:val="22"/>
        </w:rPr>
        <w:t xml:space="preserve"> communications in a systematic, objective and quantitative manner with the aim of measuring variable</w:t>
      </w:r>
      <w:r w:rsidR="00906891" w:rsidRPr="00803B87">
        <w:rPr>
          <w:rFonts w:asciiTheme="majorBidi" w:hAnsiTheme="majorBidi" w:cstheme="majorBidi"/>
          <w:sz w:val="22"/>
          <w:szCs w:val="22"/>
        </w:rPr>
        <w:t xml:space="preserve">s </w:t>
      </w:r>
      <w:r w:rsidR="000D5E66" w:rsidRPr="00803B87">
        <w:rPr>
          <w:rFonts w:asciiTheme="majorBidi" w:hAnsiTheme="majorBidi" w:cstheme="majorBidi"/>
          <w:sz w:val="22"/>
          <w:szCs w:val="22"/>
        </w:rPr>
        <w:t>[9]</w:t>
      </w:r>
      <w:r w:rsidRPr="00803B87">
        <w:rPr>
          <w:rFonts w:asciiTheme="majorBidi" w:hAnsiTheme="majorBidi" w:cstheme="majorBidi"/>
          <w:sz w:val="22"/>
          <w:szCs w:val="22"/>
        </w:rPr>
        <w:t xml:space="preserve">. As a method, content analysis is unique because it involves both quantitative and qualitative methodologies and can be used in deductive and inductive methods </w:t>
      </w:r>
      <w:r w:rsidR="000D5E66" w:rsidRPr="00803B87">
        <w:rPr>
          <w:rFonts w:asciiTheme="majorBidi" w:hAnsiTheme="majorBidi" w:cstheme="majorBidi"/>
          <w:sz w:val="22"/>
          <w:szCs w:val="22"/>
        </w:rPr>
        <w:t>[10]</w:t>
      </w:r>
      <w:r w:rsidRPr="00803B87">
        <w:rPr>
          <w:rFonts w:asciiTheme="majorBidi" w:hAnsiTheme="majorBidi" w:cstheme="majorBidi"/>
          <w:sz w:val="22"/>
          <w:szCs w:val="22"/>
        </w:rPr>
        <w:t>. This method is applic</w:t>
      </w:r>
      <w:r w:rsidR="00637880" w:rsidRPr="00803B87">
        <w:rPr>
          <w:rFonts w:asciiTheme="majorBidi" w:hAnsiTheme="majorBidi" w:cstheme="majorBidi"/>
          <w:sz w:val="22"/>
          <w:szCs w:val="22"/>
        </w:rPr>
        <w:t>able to three areas of research. Firstly,</w:t>
      </w:r>
      <w:r w:rsidRPr="00803B87">
        <w:rPr>
          <w:rFonts w:asciiTheme="majorBidi" w:hAnsiTheme="majorBidi" w:cstheme="majorBidi"/>
          <w:sz w:val="22"/>
          <w:szCs w:val="22"/>
        </w:rPr>
        <w:t xml:space="preserve"> </w:t>
      </w:r>
      <w:r w:rsidR="00637880" w:rsidRPr="00803B87">
        <w:rPr>
          <w:rFonts w:asciiTheme="majorBidi" w:hAnsiTheme="majorBidi" w:cstheme="majorBidi"/>
          <w:sz w:val="22"/>
          <w:szCs w:val="22"/>
        </w:rPr>
        <w:t>when</w:t>
      </w:r>
      <w:r w:rsidRPr="00803B87">
        <w:rPr>
          <w:rFonts w:asciiTheme="majorBidi" w:hAnsiTheme="majorBidi" w:cstheme="majorBidi"/>
          <w:sz w:val="22"/>
          <w:szCs w:val="22"/>
        </w:rPr>
        <w:t xml:space="preserve"> </w:t>
      </w:r>
      <w:r w:rsidR="00637880" w:rsidRPr="00803B87">
        <w:rPr>
          <w:rFonts w:asciiTheme="majorBidi" w:hAnsiTheme="majorBidi" w:cstheme="majorBidi"/>
          <w:sz w:val="22"/>
          <w:szCs w:val="22"/>
        </w:rPr>
        <w:t>the</w:t>
      </w:r>
      <w:r w:rsidRPr="00803B87">
        <w:rPr>
          <w:rFonts w:asciiTheme="majorBidi" w:hAnsiTheme="majorBidi" w:cstheme="majorBidi"/>
          <w:sz w:val="22"/>
          <w:szCs w:val="22"/>
        </w:rPr>
        <w:t xml:space="preserve"> </w:t>
      </w:r>
      <w:r w:rsidR="00637880" w:rsidRPr="00803B87">
        <w:rPr>
          <w:rFonts w:asciiTheme="majorBidi" w:hAnsiTheme="majorBidi" w:cstheme="majorBidi"/>
          <w:sz w:val="22"/>
          <w:szCs w:val="22"/>
        </w:rPr>
        <w:t xml:space="preserve">required </w:t>
      </w:r>
      <w:r w:rsidRPr="00803B87">
        <w:rPr>
          <w:rFonts w:asciiTheme="majorBidi" w:hAnsiTheme="majorBidi" w:cstheme="majorBidi"/>
          <w:sz w:val="22"/>
          <w:szCs w:val="22"/>
        </w:rPr>
        <w:t>data is limited to documentary evidence</w:t>
      </w:r>
      <w:r w:rsidR="00637880" w:rsidRPr="00803B87">
        <w:rPr>
          <w:rFonts w:asciiTheme="majorBidi" w:hAnsiTheme="majorBidi" w:cstheme="majorBidi"/>
          <w:sz w:val="22"/>
          <w:szCs w:val="22"/>
        </w:rPr>
        <w:t xml:space="preserve"> and there is only direct access to the subject matter, researchers</w:t>
      </w:r>
      <w:r w:rsidRPr="00803B87">
        <w:rPr>
          <w:rFonts w:asciiTheme="majorBidi" w:hAnsiTheme="majorBidi" w:cstheme="majorBidi"/>
          <w:sz w:val="22"/>
          <w:szCs w:val="22"/>
        </w:rPr>
        <w:t xml:space="preserve"> can </w:t>
      </w:r>
      <w:r w:rsidR="00637880" w:rsidRPr="00803B87">
        <w:rPr>
          <w:rFonts w:asciiTheme="majorBidi" w:hAnsiTheme="majorBidi" w:cstheme="majorBidi"/>
          <w:sz w:val="22"/>
          <w:szCs w:val="22"/>
        </w:rPr>
        <w:t>gather</w:t>
      </w:r>
      <w:r w:rsidRPr="00803B87">
        <w:rPr>
          <w:rFonts w:asciiTheme="majorBidi" w:hAnsiTheme="majorBidi" w:cstheme="majorBidi"/>
          <w:sz w:val="22"/>
          <w:szCs w:val="22"/>
        </w:rPr>
        <w:t xml:space="preserve"> information through content analysis.</w:t>
      </w:r>
      <w:r w:rsidR="00637880" w:rsidRPr="00803B87">
        <w:rPr>
          <w:rFonts w:asciiTheme="majorBidi" w:hAnsiTheme="majorBidi" w:cstheme="majorBidi"/>
          <w:sz w:val="22"/>
          <w:szCs w:val="22"/>
        </w:rPr>
        <w:t xml:space="preserve"> Also,</w:t>
      </w:r>
      <w:r w:rsidRPr="00803B87">
        <w:rPr>
          <w:rFonts w:asciiTheme="majorBidi" w:hAnsiTheme="majorBidi" w:cstheme="majorBidi"/>
          <w:sz w:val="22"/>
          <w:szCs w:val="22"/>
        </w:rPr>
        <w:t xml:space="preserve"> </w:t>
      </w:r>
      <w:r w:rsidR="00637880" w:rsidRPr="00803B87">
        <w:rPr>
          <w:rFonts w:asciiTheme="majorBidi" w:hAnsiTheme="majorBidi" w:cstheme="majorBidi"/>
          <w:sz w:val="22"/>
          <w:szCs w:val="22"/>
        </w:rPr>
        <w:t>if</w:t>
      </w:r>
      <w:r w:rsidRPr="00803B87">
        <w:rPr>
          <w:rFonts w:asciiTheme="majorBidi" w:hAnsiTheme="majorBidi" w:cstheme="majorBidi"/>
          <w:sz w:val="22"/>
          <w:szCs w:val="22"/>
        </w:rPr>
        <w:t xml:space="preserve"> the aim is to find recurring criteria, values ​​and subjects at a </w:t>
      </w:r>
      <w:r w:rsidR="00D8465B" w:rsidRPr="00803B87">
        <w:rPr>
          <w:rFonts w:asciiTheme="majorBidi" w:hAnsiTheme="majorBidi" w:cstheme="majorBidi"/>
          <w:sz w:val="22"/>
          <w:szCs w:val="22"/>
        </w:rPr>
        <w:t>certain</w:t>
      </w:r>
      <w:r w:rsidRPr="00803B87">
        <w:rPr>
          <w:rFonts w:asciiTheme="majorBidi" w:hAnsiTheme="majorBidi" w:cstheme="majorBidi"/>
          <w:sz w:val="22"/>
          <w:szCs w:val="22"/>
        </w:rPr>
        <w:t xml:space="preserve"> time, and </w:t>
      </w:r>
      <w:r w:rsidR="00D8465B" w:rsidRPr="00803B87">
        <w:rPr>
          <w:rFonts w:asciiTheme="majorBidi" w:hAnsiTheme="majorBidi" w:cstheme="majorBidi"/>
          <w:sz w:val="22"/>
          <w:szCs w:val="22"/>
        </w:rPr>
        <w:t xml:space="preserve">some </w:t>
      </w:r>
      <w:r w:rsidRPr="00803B87">
        <w:rPr>
          <w:rFonts w:asciiTheme="majorBidi" w:hAnsiTheme="majorBidi" w:cstheme="majorBidi"/>
          <w:sz w:val="22"/>
          <w:szCs w:val="22"/>
        </w:rPr>
        <w:t xml:space="preserve">reasons </w:t>
      </w:r>
      <w:r w:rsidR="00D8465B" w:rsidRPr="00803B87">
        <w:rPr>
          <w:rFonts w:asciiTheme="majorBidi" w:hAnsiTheme="majorBidi" w:cstheme="majorBidi"/>
          <w:sz w:val="22"/>
          <w:szCs w:val="22"/>
        </w:rPr>
        <w:t>like the impact of continuous mutual interaction between the analyst and the subject matter on the nature of the responses are substantial</w:t>
      </w:r>
      <w:r w:rsidRPr="00803B87">
        <w:rPr>
          <w:rFonts w:asciiTheme="majorBidi" w:hAnsiTheme="majorBidi" w:cstheme="majorBidi"/>
          <w:sz w:val="22"/>
          <w:szCs w:val="22"/>
        </w:rPr>
        <w:t>, content analysis will be a useful way to collect data. In the third area, this method can be a suitable tool for completing the data, so that researchers can study the results of the data collected in various ways such as questionnaires or interviews by comparing them through the content analysis of studi</w:t>
      </w:r>
      <w:r w:rsidR="00906891" w:rsidRPr="00803B87">
        <w:rPr>
          <w:rFonts w:asciiTheme="majorBidi" w:hAnsiTheme="majorBidi" w:cstheme="majorBidi"/>
          <w:sz w:val="22"/>
          <w:szCs w:val="22"/>
        </w:rPr>
        <w:t xml:space="preserve">ed sources </w:t>
      </w:r>
      <w:r w:rsidR="000D5E66" w:rsidRPr="00803B87">
        <w:rPr>
          <w:rFonts w:asciiTheme="majorBidi" w:hAnsiTheme="majorBidi" w:cstheme="majorBidi"/>
          <w:sz w:val="22"/>
          <w:szCs w:val="22"/>
        </w:rPr>
        <w:t>[11].</w:t>
      </w:r>
      <w:r w:rsidRPr="00803B87">
        <w:rPr>
          <w:rFonts w:asciiTheme="majorBidi" w:hAnsiTheme="majorBidi" w:cstheme="majorBidi"/>
          <w:sz w:val="22"/>
          <w:szCs w:val="22"/>
        </w:rPr>
        <w:t xml:space="preserve"> In this research, content analysis is used to collect, </w:t>
      </w:r>
      <w:r w:rsidR="00906891" w:rsidRPr="00803B87">
        <w:rPr>
          <w:rFonts w:asciiTheme="majorBidi" w:hAnsiTheme="majorBidi" w:cstheme="majorBidi"/>
          <w:sz w:val="22"/>
          <w:szCs w:val="22"/>
        </w:rPr>
        <w:t>analyse</w:t>
      </w:r>
      <w:r w:rsidRPr="00803B87">
        <w:rPr>
          <w:rFonts w:asciiTheme="majorBidi" w:hAnsiTheme="majorBidi" w:cstheme="majorBidi"/>
          <w:sz w:val="22"/>
          <w:szCs w:val="22"/>
        </w:rPr>
        <w:t xml:space="preserve"> and valuate data obtained from articles in the field of housing.</w:t>
      </w:r>
    </w:p>
    <w:p w:rsidR="009A32F7" w:rsidRDefault="00F176BD" w:rsidP="007115E2">
      <w:pPr>
        <w:spacing w:line="276" w:lineRule="auto"/>
        <w:jc w:val="both"/>
        <w:rPr>
          <w:rFonts w:asciiTheme="majorBidi" w:hAnsiTheme="majorBidi" w:cstheme="majorBidi"/>
          <w:sz w:val="22"/>
          <w:szCs w:val="22"/>
        </w:rPr>
      </w:pPr>
      <w:r w:rsidRPr="00803B87">
        <w:rPr>
          <w:rFonts w:asciiTheme="majorBidi" w:hAnsiTheme="majorBidi" w:cstheme="majorBidi"/>
          <w:sz w:val="22"/>
          <w:szCs w:val="22"/>
        </w:rPr>
        <w:t xml:space="preserve">Entropy, as an essential concept in physical science, social science and systems, was used in the second part of the study. Entropy </w:t>
      </w:r>
      <w:r w:rsidR="009A32F7" w:rsidRPr="00803B87">
        <w:rPr>
          <w:rFonts w:asciiTheme="majorBidi" w:hAnsiTheme="majorBidi" w:cstheme="majorBidi"/>
          <w:sz w:val="22"/>
          <w:szCs w:val="22"/>
        </w:rPr>
        <w:t xml:space="preserve">as a weighting method </w:t>
      </w:r>
      <w:r w:rsidRPr="00803B87">
        <w:rPr>
          <w:rFonts w:asciiTheme="majorBidi" w:hAnsiTheme="majorBidi" w:cstheme="majorBidi"/>
          <w:sz w:val="22"/>
          <w:szCs w:val="22"/>
        </w:rPr>
        <w:t>represents the level of uncertainty resulting from the content of a message.</w:t>
      </w:r>
      <w:r w:rsidR="009A32F7" w:rsidRPr="00803B87">
        <w:rPr>
          <w:rFonts w:asciiTheme="majorBidi" w:hAnsiTheme="majorBidi" w:cstheme="majorBidi"/>
          <w:sz w:val="22"/>
          <w:szCs w:val="22"/>
        </w:rPr>
        <w:t xml:space="preserve"> It can show the randomness of attributes [</w:t>
      </w:r>
      <w:r w:rsidR="007115E2" w:rsidRPr="00803B87">
        <w:rPr>
          <w:rFonts w:asciiTheme="majorBidi" w:hAnsiTheme="majorBidi" w:cstheme="majorBidi"/>
          <w:sz w:val="22"/>
          <w:szCs w:val="22"/>
        </w:rPr>
        <w:t>12</w:t>
      </w:r>
      <w:r w:rsidR="009A32F7" w:rsidRPr="00803B87">
        <w:rPr>
          <w:rFonts w:asciiTheme="majorBidi" w:hAnsiTheme="majorBidi" w:cstheme="majorBidi"/>
          <w:sz w:val="22"/>
          <w:szCs w:val="22"/>
        </w:rPr>
        <w:t>]. The greater the measure of entropy corresponding to an attribute, the sm</w:t>
      </w:r>
      <w:r w:rsidR="007115E2" w:rsidRPr="00803B87">
        <w:rPr>
          <w:rFonts w:asciiTheme="majorBidi" w:hAnsiTheme="majorBidi" w:cstheme="majorBidi"/>
          <w:sz w:val="22"/>
          <w:szCs w:val="22"/>
        </w:rPr>
        <w:t>aller the attribute weight</w:t>
      </w:r>
      <w:r w:rsidR="009A32F7" w:rsidRPr="00803B87">
        <w:rPr>
          <w:rFonts w:asciiTheme="majorBidi" w:hAnsiTheme="majorBidi" w:cstheme="majorBidi"/>
          <w:sz w:val="22"/>
          <w:szCs w:val="22"/>
        </w:rPr>
        <w:t>.</w:t>
      </w:r>
      <w:r w:rsidRPr="00803B87">
        <w:rPr>
          <w:rFonts w:asciiTheme="majorBidi" w:hAnsiTheme="majorBidi" w:cstheme="majorBidi"/>
          <w:sz w:val="22"/>
          <w:szCs w:val="22"/>
        </w:rPr>
        <w:t xml:space="preserve"> In other words, in information theory, entropy is an index for measuring uncertainty expressed through a probability </w:t>
      </w:r>
      <w:r w:rsidR="00906891" w:rsidRPr="00803B87">
        <w:rPr>
          <w:rFonts w:asciiTheme="majorBidi" w:hAnsiTheme="majorBidi" w:cstheme="majorBidi"/>
          <w:sz w:val="22"/>
          <w:szCs w:val="22"/>
        </w:rPr>
        <w:t xml:space="preserve">distribution </w:t>
      </w:r>
      <w:r w:rsidR="000D5E66" w:rsidRPr="00803B87">
        <w:rPr>
          <w:rFonts w:asciiTheme="majorBidi" w:hAnsiTheme="majorBidi" w:cstheme="majorBidi"/>
          <w:sz w:val="22"/>
          <w:szCs w:val="22"/>
        </w:rPr>
        <w:t>[</w:t>
      </w:r>
      <w:r w:rsidR="007115E2" w:rsidRPr="00803B87">
        <w:rPr>
          <w:rFonts w:asciiTheme="majorBidi" w:hAnsiTheme="majorBidi" w:cstheme="majorBidi"/>
          <w:sz w:val="22"/>
          <w:szCs w:val="22"/>
        </w:rPr>
        <w:t>13</w:t>
      </w:r>
      <w:r w:rsidR="000D5E66" w:rsidRPr="00803B87">
        <w:rPr>
          <w:rFonts w:asciiTheme="majorBidi" w:hAnsiTheme="majorBidi" w:cstheme="majorBidi"/>
          <w:sz w:val="22"/>
          <w:szCs w:val="22"/>
        </w:rPr>
        <w:t>]</w:t>
      </w:r>
      <w:r w:rsidRPr="00803B87">
        <w:rPr>
          <w:rFonts w:asciiTheme="majorBidi" w:hAnsiTheme="majorBidi" w:cstheme="majorBidi"/>
          <w:sz w:val="22"/>
          <w:szCs w:val="22"/>
        </w:rPr>
        <w:t xml:space="preserve">. In this research, the entropy statistical tool based on the systems theory is used to </w:t>
      </w:r>
      <w:r w:rsidR="00906891" w:rsidRPr="00803B87">
        <w:rPr>
          <w:rFonts w:asciiTheme="majorBidi" w:hAnsiTheme="majorBidi" w:cstheme="majorBidi"/>
          <w:sz w:val="22"/>
          <w:szCs w:val="22"/>
        </w:rPr>
        <w:t>analyse</w:t>
      </w:r>
      <w:r w:rsidRPr="00803B87">
        <w:rPr>
          <w:rFonts w:asciiTheme="majorBidi" w:hAnsiTheme="majorBidi" w:cstheme="majorBidi"/>
          <w:sz w:val="22"/>
          <w:szCs w:val="22"/>
        </w:rPr>
        <w:t xml:space="preserve"> the content of the data and process the results. It is also known as Shannon’s entropy which provides a new perspective based on which data analysis will be far stronger and reliable. In this tool, entropy is an index for measuring uncertainty, which is described by a probability distribution. The extracted and studied components are counted in terms of</w:t>
      </w:r>
      <w:r w:rsidR="00906891" w:rsidRPr="00803B87">
        <w:rPr>
          <w:rFonts w:asciiTheme="majorBidi" w:hAnsiTheme="majorBidi" w:cstheme="majorBidi"/>
          <w:sz w:val="22"/>
          <w:szCs w:val="22"/>
        </w:rPr>
        <w:t xml:space="preserve"> frequency</w:t>
      </w:r>
      <w:r w:rsidR="009A32F7" w:rsidRPr="00803B87">
        <w:rPr>
          <w:rFonts w:asciiTheme="majorBidi" w:hAnsiTheme="majorBidi" w:cstheme="majorBidi"/>
          <w:sz w:val="22"/>
          <w:szCs w:val="22"/>
        </w:rPr>
        <w:t xml:space="preserve"> and put into a matrix</w:t>
      </w:r>
      <w:r w:rsidR="00906891" w:rsidRPr="00803B87">
        <w:rPr>
          <w:rFonts w:asciiTheme="majorBidi" w:hAnsiTheme="majorBidi" w:cstheme="majorBidi"/>
          <w:sz w:val="22"/>
          <w:szCs w:val="22"/>
        </w:rPr>
        <w:t xml:space="preserve"> </w:t>
      </w:r>
      <w:r w:rsidR="000D5E66" w:rsidRPr="00803B87">
        <w:rPr>
          <w:rFonts w:asciiTheme="majorBidi" w:hAnsiTheme="majorBidi" w:cstheme="majorBidi"/>
          <w:sz w:val="22"/>
          <w:szCs w:val="22"/>
        </w:rPr>
        <w:t>[</w:t>
      </w:r>
      <w:r w:rsidR="007115E2" w:rsidRPr="00803B87">
        <w:rPr>
          <w:rFonts w:asciiTheme="majorBidi" w:hAnsiTheme="majorBidi" w:cstheme="majorBidi"/>
          <w:sz w:val="22"/>
          <w:szCs w:val="22"/>
        </w:rPr>
        <w:t>14</w:t>
      </w:r>
      <w:r w:rsidR="000D5E66" w:rsidRPr="00803B87">
        <w:rPr>
          <w:rFonts w:asciiTheme="majorBidi" w:hAnsiTheme="majorBidi" w:cstheme="majorBidi"/>
          <w:sz w:val="22"/>
          <w:szCs w:val="22"/>
        </w:rPr>
        <w:t>]</w:t>
      </w:r>
      <w:r w:rsidRPr="00803B87">
        <w:rPr>
          <w:rFonts w:asciiTheme="majorBidi" w:hAnsiTheme="majorBidi" w:cstheme="majorBidi"/>
          <w:sz w:val="22"/>
          <w:szCs w:val="22"/>
        </w:rPr>
        <w:t xml:space="preserve">. </w:t>
      </w:r>
      <w:r w:rsidR="009A32F7" w:rsidRPr="00803B87">
        <w:rPr>
          <w:rFonts w:asciiTheme="majorBidi" w:hAnsiTheme="majorBidi" w:cstheme="majorBidi"/>
          <w:sz w:val="22"/>
          <w:szCs w:val="22"/>
        </w:rPr>
        <w:t>In the first step, b</w:t>
      </w:r>
      <w:r w:rsidRPr="00803B87">
        <w:rPr>
          <w:rFonts w:asciiTheme="majorBidi" w:hAnsiTheme="majorBidi" w:cstheme="majorBidi"/>
          <w:sz w:val="22"/>
          <w:szCs w:val="22"/>
        </w:rPr>
        <w:t xml:space="preserve">ased on the data in frequency tables, </w:t>
      </w:r>
      <w:r w:rsidR="009A32F7" w:rsidRPr="00803B87">
        <w:rPr>
          <w:rFonts w:asciiTheme="majorBidi" w:hAnsiTheme="majorBidi" w:cstheme="majorBidi"/>
          <w:sz w:val="22"/>
          <w:szCs w:val="22"/>
        </w:rPr>
        <w:t>the decision</w:t>
      </w:r>
      <w:r w:rsidRPr="00803B87">
        <w:rPr>
          <w:rFonts w:asciiTheme="majorBidi" w:hAnsiTheme="majorBidi" w:cstheme="majorBidi"/>
          <w:sz w:val="22"/>
          <w:szCs w:val="22"/>
        </w:rPr>
        <w:t xml:space="preserve"> matri</w:t>
      </w:r>
      <w:r w:rsidR="009A32F7" w:rsidRPr="00803B87">
        <w:rPr>
          <w:rFonts w:asciiTheme="majorBidi" w:hAnsiTheme="majorBidi" w:cstheme="majorBidi"/>
          <w:sz w:val="22"/>
          <w:szCs w:val="22"/>
        </w:rPr>
        <w:t>x</w:t>
      </w:r>
      <w:r w:rsidRPr="00803B87">
        <w:rPr>
          <w:rFonts w:asciiTheme="majorBidi" w:hAnsiTheme="majorBidi" w:cstheme="majorBidi"/>
          <w:sz w:val="22"/>
          <w:szCs w:val="22"/>
        </w:rPr>
        <w:t xml:space="preserve"> </w:t>
      </w:r>
      <w:r w:rsidR="009A32F7" w:rsidRPr="00803B87">
        <w:rPr>
          <w:rFonts w:asciiTheme="majorBidi" w:hAnsiTheme="majorBidi" w:cstheme="majorBidi"/>
          <w:sz w:val="22"/>
          <w:szCs w:val="22"/>
        </w:rPr>
        <w:t>would be</w:t>
      </w:r>
      <w:r w:rsidRPr="00803B87">
        <w:rPr>
          <w:rFonts w:asciiTheme="majorBidi" w:hAnsiTheme="majorBidi" w:cstheme="majorBidi"/>
          <w:sz w:val="22"/>
          <w:szCs w:val="22"/>
        </w:rPr>
        <w:t xml:space="preserve"> ​​normalized </w:t>
      </w:r>
      <w:r w:rsidR="009A32F7" w:rsidRPr="00803B87">
        <w:rPr>
          <w:rFonts w:asciiTheme="majorBidi" w:hAnsiTheme="majorBidi" w:cstheme="majorBidi"/>
          <w:sz w:val="22"/>
          <w:szCs w:val="22"/>
        </w:rPr>
        <w:t>usin</w:t>
      </w:r>
      <w:r w:rsidR="00D02DC2" w:rsidRPr="00803B87">
        <w:rPr>
          <w:rFonts w:asciiTheme="majorBidi" w:hAnsiTheme="majorBidi" w:cstheme="majorBidi"/>
          <w:sz w:val="22"/>
          <w:szCs w:val="22"/>
        </w:rPr>
        <w:t xml:space="preserve">g the equation below, Where, </w:t>
      </w:r>
      <w:r w:rsidR="00D02DC2" w:rsidRPr="00803B87">
        <w:rPr>
          <w:rFonts w:asciiTheme="majorBidi" w:hAnsiTheme="majorBidi" w:cstheme="majorBidi"/>
          <w:i/>
          <w:iCs/>
          <w:sz w:val="22"/>
          <w:szCs w:val="22"/>
        </w:rPr>
        <w:t>X</w:t>
      </w:r>
      <w:r w:rsidR="00107F9F" w:rsidRPr="00803B87">
        <w:rPr>
          <w:rFonts w:ascii="Angsana New" w:hAnsi="Angsana New" w:cs="Angsana New"/>
          <w:i/>
          <w:iCs/>
          <w:sz w:val="22"/>
          <w:szCs w:val="22"/>
        </w:rPr>
        <w:t>ij</w:t>
      </w:r>
      <w:r w:rsidR="00D02DC2" w:rsidRPr="00803B87">
        <w:rPr>
          <w:rFonts w:asciiTheme="majorBidi" w:hAnsiTheme="majorBidi" w:cstheme="majorBidi"/>
          <w:sz w:val="22"/>
          <w:szCs w:val="22"/>
        </w:rPr>
        <w:t xml:space="preserve"> denotes the measure assigned to a value in an alternative,</w:t>
      </w:r>
      <w:r w:rsidR="001B5882" w:rsidRPr="00803B87">
        <w:rPr>
          <w:rFonts w:asciiTheme="majorBidi" w:hAnsiTheme="majorBidi" w:cstheme="majorBidi"/>
          <w:sz w:val="22"/>
          <w:szCs w:val="22"/>
        </w:rPr>
        <w:t xml:space="preserve"> </w:t>
      </w:r>
      <w:r w:rsidR="00D02DC2" w:rsidRPr="00803B87">
        <w:rPr>
          <w:rFonts w:asciiTheme="majorBidi" w:hAnsiTheme="majorBidi" w:cstheme="majorBidi"/>
          <w:i/>
          <w:iCs/>
          <w:sz w:val="22"/>
          <w:szCs w:val="22"/>
        </w:rPr>
        <w:t>P</w:t>
      </w:r>
      <w:r w:rsidR="00107F9F" w:rsidRPr="00803B87">
        <w:rPr>
          <w:rFonts w:ascii="Angsana New" w:hAnsi="Angsana New" w:cs="Angsana New"/>
          <w:i/>
          <w:iCs/>
          <w:sz w:val="22"/>
          <w:szCs w:val="22"/>
        </w:rPr>
        <w:t>ij</w:t>
      </w:r>
      <w:r w:rsidR="00107F9F" w:rsidRPr="00803B87">
        <w:rPr>
          <w:rFonts w:asciiTheme="majorBidi" w:hAnsiTheme="majorBidi" w:cstheme="majorBidi"/>
          <w:sz w:val="22"/>
          <w:szCs w:val="22"/>
        </w:rPr>
        <w:t xml:space="preserve"> </w:t>
      </w:r>
      <w:r w:rsidR="001B5882" w:rsidRPr="00803B87">
        <w:rPr>
          <w:rFonts w:asciiTheme="majorBidi" w:hAnsiTheme="majorBidi" w:cstheme="majorBidi"/>
          <w:sz w:val="22"/>
          <w:szCs w:val="22"/>
        </w:rPr>
        <w:t xml:space="preserve">is a normalized measure of </w:t>
      </w:r>
      <w:r w:rsidR="00D02DC2" w:rsidRPr="00803B87">
        <w:rPr>
          <w:rFonts w:asciiTheme="majorBidi" w:hAnsiTheme="majorBidi" w:cstheme="majorBidi"/>
          <w:sz w:val="22"/>
          <w:szCs w:val="22"/>
        </w:rPr>
        <w:t xml:space="preserve">X, </w:t>
      </w:r>
      <w:r w:rsidR="001B5882" w:rsidRPr="00803B87">
        <w:rPr>
          <w:rFonts w:asciiTheme="majorBidi" w:hAnsiTheme="majorBidi" w:cstheme="majorBidi"/>
          <w:sz w:val="22"/>
          <w:szCs w:val="22"/>
        </w:rPr>
        <w:t>"</w:t>
      </w:r>
      <w:r w:rsidR="00D02DC2" w:rsidRPr="00803B87">
        <w:rPr>
          <w:rFonts w:asciiTheme="majorBidi" w:hAnsiTheme="majorBidi" w:cstheme="majorBidi"/>
          <w:sz w:val="22"/>
          <w:szCs w:val="22"/>
        </w:rPr>
        <w:t>i</w:t>
      </w:r>
      <w:r w:rsidR="001B5882" w:rsidRPr="00803B87">
        <w:rPr>
          <w:rFonts w:asciiTheme="majorBidi" w:hAnsiTheme="majorBidi" w:cstheme="majorBidi"/>
          <w:sz w:val="22"/>
          <w:szCs w:val="22"/>
        </w:rPr>
        <w:t>"</w:t>
      </w:r>
      <w:r w:rsidR="00D02DC2" w:rsidRPr="00803B87">
        <w:rPr>
          <w:rFonts w:asciiTheme="majorBidi" w:hAnsiTheme="majorBidi" w:cstheme="majorBidi"/>
          <w:sz w:val="22"/>
          <w:szCs w:val="22"/>
        </w:rPr>
        <w:t xml:space="preserve"> the number of value and </w:t>
      </w:r>
      <w:r w:rsidR="001B5882" w:rsidRPr="00803B87">
        <w:rPr>
          <w:rFonts w:asciiTheme="majorBidi" w:hAnsiTheme="majorBidi" w:cstheme="majorBidi"/>
          <w:sz w:val="22"/>
          <w:szCs w:val="22"/>
        </w:rPr>
        <w:t>"</w:t>
      </w:r>
      <w:r w:rsidR="00D02DC2" w:rsidRPr="00803B87">
        <w:rPr>
          <w:rFonts w:asciiTheme="majorBidi" w:hAnsiTheme="majorBidi" w:cstheme="majorBidi"/>
          <w:sz w:val="22"/>
          <w:szCs w:val="22"/>
        </w:rPr>
        <w:t>j</w:t>
      </w:r>
      <w:r w:rsidR="001B5882" w:rsidRPr="00803B87">
        <w:rPr>
          <w:rFonts w:asciiTheme="majorBidi" w:hAnsiTheme="majorBidi" w:cstheme="majorBidi"/>
          <w:sz w:val="22"/>
          <w:szCs w:val="22"/>
        </w:rPr>
        <w:t>"</w:t>
      </w:r>
      <w:r w:rsidR="00D02DC2" w:rsidRPr="00803B87">
        <w:rPr>
          <w:rFonts w:asciiTheme="majorBidi" w:hAnsiTheme="majorBidi" w:cstheme="majorBidi"/>
          <w:sz w:val="22"/>
          <w:szCs w:val="22"/>
        </w:rPr>
        <w:t xml:space="preserve"> the</w:t>
      </w:r>
      <w:r w:rsidR="001B5882" w:rsidRPr="00803B87">
        <w:rPr>
          <w:rFonts w:asciiTheme="majorBidi" w:hAnsiTheme="majorBidi" w:cstheme="majorBidi"/>
          <w:sz w:val="22"/>
          <w:szCs w:val="22"/>
        </w:rPr>
        <w:t xml:space="preserve"> </w:t>
      </w:r>
      <w:r w:rsidR="00D02DC2" w:rsidRPr="00803B87">
        <w:rPr>
          <w:rFonts w:asciiTheme="majorBidi" w:hAnsiTheme="majorBidi" w:cstheme="majorBidi"/>
          <w:sz w:val="22"/>
          <w:szCs w:val="22"/>
        </w:rPr>
        <w:t>number of each alternative.</w:t>
      </w:r>
    </w:p>
    <w:p w:rsidR="00D02DC2" w:rsidRPr="00803B87" w:rsidRDefault="00D02DC2" w:rsidP="009A32F7">
      <w:pPr>
        <w:spacing w:line="276" w:lineRule="auto"/>
        <w:jc w:val="both"/>
        <w:rPr>
          <w:rFonts w:asciiTheme="majorBidi" w:hAnsiTheme="majorBidi" w:cstheme="majorBidi"/>
          <w:sz w:val="22"/>
          <w:szCs w:val="22"/>
        </w:rPr>
      </w:pPr>
      <w:r w:rsidRPr="00803B87">
        <w:rPr>
          <w:rFonts w:asciiTheme="majorBidi" w:hAnsiTheme="majorBidi" w:cstheme="majorBidi"/>
          <w:noProof/>
          <w:sz w:val="22"/>
          <w:szCs w:val="22"/>
          <w:lang w:val="en-US" w:eastAsia="en-US" w:bidi="fa-IR"/>
        </w:rPr>
        <w:drawing>
          <wp:inline distT="0" distB="0" distL="0" distR="0" wp14:anchorId="7DADC509" wp14:editId="0E6CF723">
            <wp:extent cx="2687781" cy="42229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3">
                      <a:extLst>
                        <a:ext uri="{28A0092B-C50C-407E-A947-70E740481C1C}">
                          <a14:useLocalDpi xmlns:a14="http://schemas.microsoft.com/office/drawing/2010/main" val="0"/>
                        </a:ext>
                      </a:extLst>
                    </a:blip>
                    <a:stretch>
                      <a:fillRect/>
                    </a:stretch>
                  </pic:blipFill>
                  <pic:spPr>
                    <a:xfrm>
                      <a:off x="0" y="0"/>
                      <a:ext cx="2720743" cy="427473"/>
                    </a:xfrm>
                    <a:prstGeom prst="rect">
                      <a:avLst/>
                    </a:prstGeom>
                  </pic:spPr>
                </pic:pic>
              </a:graphicData>
            </a:graphic>
          </wp:inline>
        </w:drawing>
      </w:r>
    </w:p>
    <w:p w:rsidR="00803B87" w:rsidRPr="00803B87" w:rsidRDefault="00B25087" w:rsidP="00803B87">
      <w:pPr>
        <w:spacing w:line="276" w:lineRule="auto"/>
        <w:jc w:val="both"/>
        <w:rPr>
          <w:rFonts w:asciiTheme="majorBidi" w:hAnsiTheme="majorBidi" w:cstheme="majorBidi"/>
          <w:sz w:val="22"/>
          <w:szCs w:val="22"/>
        </w:rPr>
      </w:pPr>
      <w:r w:rsidRPr="00803B87">
        <w:rPr>
          <w:rFonts w:asciiTheme="majorBidi" w:hAnsiTheme="majorBidi" w:cstheme="majorBidi"/>
          <w:sz w:val="22"/>
          <w:szCs w:val="22"/>
        </w:rPr>
        <w:t>In the next step, entropy of each value is calculated using the equation below, where h</w:t>
      </w:r>
      <w:r w:rsidRPr="00803B87">
        <w:rPr>
          <w:rFonts w:ascii="Angsana New" w:hAnsi="Angsana New" w:cs="Angsana New"/>
          <w:sz w:val="22"/>
          <w:szCs w:val="22"/>
        </w:rPr>
        <w:t>i</w:t>
      </w:r>
      <w:r w:rsidRPr="00803B87">
        <w:rPr>
          <w:rFonts w:asciiTheme="majorBidi" w:hAnsiTheme="majorBidi" w:cstheme="majorBidi"/>
          <w:sz w:val="22"/>
          <w:szCs w:val="22"/>
        </w:rPr>
        <w:t xml:space="preserve"> denotes the entropy of a given value and </w:t>
      </w:r>
      <w:r w:rsidRPr="00803B87">
        <w:rPr>
          <w:rFonts w:asciiTheme="majorBidi" w:hAnsiTheme="majorBidi" w:cstheme="majorBidi"/>
          <w:i/>
          <w:iCs/>
          <w:sz w:val="22"/>
          <w:szCs w:val="22"/>
        </w:rPr>
        <w:t>h</w:t>
      </w:r>
      <w:r w:rsidRPr="00803B87">
        <w:rPr>
          <w:rFonts w:ascii="Angsana New" w:hAnsi="Angsana New" w:cs="Angsana New"/>
          <w:i/>
          <w:iCs/>
          <w:sz w:val="22"/>
          <w:szCs w:val="22"/>
        </w:rPr>
        <w:t>o</w:t>
      </w:r>
      <w:r w:rsidRPr="00803B87">
        <w:rPr>
          <w:rFonts w:asciiTheme="majorBidi" w:hAnsiTheme="majorBidi" w:cstheme="majorBidi"/>
          <w:sz w:val="22"/>
          <w:szCs w:val="22"/>
        </w:rPr>
        <w:t xml:space="preserve"> is entropy constant. If </w:t>
      </w:r>
      <w:r w:rsidRPr="00803B87">
        <w:rPr>
          <w:rFonts w:asciiTheme="majorBidi" w:hAnsiTheme="majorBidi" w:cstheme="majorBidi"/>
          <w:i/>
          <w:iCs/>
          <w:sz w:val="22"/>
          <w:szCs w:val="22"/>
        </w:rPr>
        <w:t>P</w:t>
      </w:r>
      <w:r w:rsidRPr="00803B87">
        <w:rPr>
          <w:rFonts w:ascii="Angsana New" w:hAnsi="Angsana New" w:cs="Angsana New"/>
          <w:i/>
          <w:iCs/>
          <w:sz w:val="22"/>
          <w:szCs w:val="22"/>
        </w:rPr>
        <w:t>ij</w:t>
      </w:r>
      <w:r w:rsidRPr="00803B87">
        <w:rPr>
          <w:rFonts w:asciiTheme="majorBidi" w:hAnsiTheme="majorBidi" w:cstheme="majorBidi"/>
          <w:sz w:val="22"/>
          <w:szCs w:val="22"/>
        </w:rPr>
        <w:t xml:space="preserve"> is equal to 0, then ln </w:t>
      </w:r>
      <w:r w:rsidRPr="00803B87">
        <w:rPr>
          <w:rFonts w:asciiTheme="majorBidi" w:hAnsiTheme="majorBidi" w:cstheme="majorBidi"/>
          <w:i/>
          <w:iCs/>
          <w:sz w:val="22"/>
          <w:szCs w:val="22"/>
        </w:rPr>
        <w:t>P</w:t>
      </w:r>
      <w:r w:rsidRPr="00803B87">
        <w:rPr>
          <w:rFonts w:ascii="Angsana New" w:hAnsi="Angsana New" w:cs="Angsana New"/>
          <w:i/>
          <w:iCs/>
          <w:sz w:val="22"/>
          <w:szCs w:val="22"/>
        </w:rPr>
        <w:t>ij</w:t>
      </w:r>
      <w:r w:rsidRPr="00803B87">
        <w:rPr>
          <w:rFonts w:asciiTheme="majorBidi" w:hAnsiTheme="majorBidi" w:cstheme="majorBidi"/>
          <w:sz w:val="22"/>
          <w:szCs w:val="22"/>
        </w:rPr>
        <w:t xml:space="preserve"> can be set to 0.</w:t>
      </w:r>
    </w:p>
    <w:p w:rsidR="00803B87" w:rsidRDefault="00FE49F4" w:rsidP="00803B87">
      <w:pPr>
        <w:spacing w:line="276" w:lineRule="auto"/>
        <w:jc w:val="both"/>
        <w:rPr>
          <w:rFonts w:asciiTheme="majorBidi" w:hAnsiTheme="majorBidi" w:cstheme="majorBidi"/>
          <w:sz w:val="22"/>
          <w:szCs w:val="22"/>
        </w:rPr>
      </w:pPr>
      <w:r w:rsidRPr="00803B87">
        <w:rPr>
          <w:rFonts w:asciiTheme="majorBidi" w:hAnsiTheme="majorBidi" w:cstheme="majorBidi"/>
          <w:noProof/>
          <w:sz w:val="22"/>
          <w:szCs w:val="22"/>
          <w:lang w:val="en-US" w:eastAsia="en-US" w:bidi="fa-IR"/>
        </w:rPr>
        <w:drawing>
          <wp:inline distT="0" distB="0" distL="0" distR="0" wp14:anchorId="0F5701D9" wp14:editId="17EE966F">
            <wp:extent cx="2729345" cy="50372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24">
                      <a:extLst>
                        <a:ext uri="{28A0092B-C50C-407E-A947-70E740481C1C}">
                          <a14:useLocalDpi xmlns:a14="http://schemas.microsoft.com/office/drawing/2010/main" val="0"/>
                        </a:ext>
                      </a:extLst>
                    </a:blip>
                    <a:stretch>
                      <a:fillRect/>
                    </a:stretch>
                  </pic:blipFill>
                  <pic:spPr>
                    <a:xfrm>
                      <a:off x="0" y="0"/>
                      <a:ext cx="2746605" cy="506906"/>
                    </a:xfrm>
                    <a:prstGeom prst="rect">
                      <a:avLst/>
                    </a:prstGeom>
                  </pic:spPr>
                </pic:pic>
              </a:graphicData>
            </a:graphic>
          </wp:inline>
        </w:drawing>
      </w:r>
    </w:p>
    <w:p w:rsidR="00740318" w:rsidRDefault="00B25087" w:rsidP="00803B87">
      <w:pPr>
        <w:spacing w:line="276" w:lineRule="auto"/>
        <w:jc w:val="both"/>
        <w:rPr>
          <w:rFonts w:asciiTheme="majorBidi" w:hAnsiTheme="majorBidi" w:cstheme="majorBidi"/>
          <w:sz w:val="22"/>
          <w:szCs w:val="22"/>
        </w:rPr>
      </w:pPr>
      <w:r w:rsidRPr="00803B87">
        <w:rPr>
          <w:rFonts w:asciiTheme="majorBidi" w:hAnsiTheme="majorBidi" w:cstheme="majorBidi"/>
          <w:sz w:val="22"/>
          <w:szCs w:val="22"/>
        </w:rPr>
        <w:lastRenderedPageBreak/>
        <w:t xml:space="preserve">In </w:t>
      </w:r>
      <w:r w:rsidR="00FE49F4" w:rsidRPr="00803B87">
        <w:rPr>
          <w:rFonts w:asciiTheme="majorBidi" w:hAnsiTheme="majorBidi" w:cstheme="majorBidi"/>
          <w:sz w:val="22"/>
          <w:szCs w:val="22"/>
        </w:rPr>
        <w:t>the third step</w:t>
      </w:r>
      <w:r w:rsidRPr="00803B87">
        <w:rPr>
          <w:rFonts w:asciiTheme="majorBidi" w:hAnsiTheme="majorBidi" w:cstheme="majorBidi"/>
          <w:sz w:val="22"/>
          <w:szCs w:val="22"/>
        </w:rPr>
        <w:t xml:space="preserve">, </w:t>
      </w:r>
      <w:r w:rsidRPr="00803B87">
        <w:rPr>
          <w:rFonts w:asciiTheme="majorBidi" w:hAnsiTheme="majorBidi" w:cstheme="majorBidi"/>
          <w:i/>
          <w:iCs/>
          <w:sz w:val="22"/>
          <w:szCs w:val="22"/>
        </w:rPr>
        <w:t>d</w:t>
      </w:r>
      <w:r w:rsidR="00740318" w:rsidRPr="00803B87">
        <w:rPr>
          <w:rFonts w:ascii="Angsana New" w:hAnsi="Angsana New" w:cs="Angsana New"/>
          <w:i/>
          <w:iCs/>
          <w:sz w:val="22"/>
          <w:szCs w:val="22"/>
        </w:rPr>
        <w:t>i</w:t>
      </w:r>
      <w:r w:rsidR="00FE49F4" w:rsidRPr="00803B87">
        <w:rPr>
          <w:rFonts w:asciiTheme="majorBidi" w:hAnsiTheme="majorBidi" w:cstheme="majorBidi"/>
          <w:sz w:val="22"/>
          <w:szCs w:val="22"/>
        </w:rPr>
        <w:t xml:space="preserve"> </w:t>
      </w:r>
      <w:r w:rsidRPr="00803B87">
        <w:rPr>
          <w:rFonts w:asciiTheme="majorBidi" w:hAnsiTheme="majorBidi" w:cstheme="majorBidi"/>
          <w:sz w:val="22"/>
          <w:szCs w:val="22"/>
        </w:rPr>
        <w:t xml:space="preserve">that denotes the degree of </w:t>
      </w:r>
      <w:r w:rsidR="007A0C83" w:rsidRPr="00803B87">
        <w:rPr>
          <w:rFonts w:asciiTheme="majorBidi" w:hAnsiTheme="majorBidi" w:cstheme="majorBidi"/>
          <w:sz w:val="22"/>
          <w:szCs w:val="22"/>
        </w:rPr>
        <w:t>diversification</w:t>
      </w:r>
      <w:r w:rsidRPr="00803B87">
        <w:rPr>
          <w:rFonts w:asciiTheme="majorBidi" w:hAnsiTheme="majorBidi" w:cstheme="majorBidi"/>
          <w:sz w:val="22"/>
          <w:szCs w:val="22"/>
        </w:rPr>
        <w:t xml:space="preserve"> has to be</w:t>
      </w:r>
      <w:r w:rsidR="00740318" w:rsidRPr="00803B87">
        <w:rPr>
          <w:rFonts w:asciiTheme="majorBidi" w:hAnsiTheme="majorBidi" w:cstheme="majorBidi"/>
          <w:sz w:val="22"/>
          <w:szCs w:val="22"/>
        </w:rPr>
        <w:t xml:space="preserve"> </w:t>
      </w:r>
      <w:r w:rsidRPr="00803B87">
        <w:rPr>
          <w:rFonts w:asciiTheme="majorBidi" w:hAnsiTheme="majorBidi" w:cstheme="majorBidi"/>
          <w:sz w:val="22"/>
          <w:szCs w:val="22"/>
        </w:rPr>
        <w:t>calculated using the equation below:</w:t>
      </w:r>
    </w:p>
    <w:p w:rsidR="00740318" w:rsidRPr="00803B87" w:rsidRDefault="00740318" w:rsidP="00B25087">
      <w:pPr>
        <w:spacing w:line="276" w:lineRule="auto"/>
        <w:jc w:val="both"/>
        <w:rPr>
          <w:rFonts w:asciiTheme="majorBidi" w:hAnsiTheme="majorBidi" w:cstheme="majorBidi"/>
          <w:sz w:val="22"/>
          <w:szCs w:val="22"/>
        </w:rPr>
      </w:pPr>
      <w:r w:rsidRPr="00803B87">
        <w:rPr>
          <w:rFonts w:asciiTheme="majorBidi" w:hAnsiTheme="majorBidi" w:cstheme="majorBidi"/>
          <w:noProof/>
          <w:sz w:val="22"/>
          <w:szCs w:val="22"/>
          <w:lang w:val="en-US" w:eastAsia="en-US" w:bidi="fa-IR"/>
        </w:rPr>
        <w:drawing>
          <wp:inline distT="0" distB="0" distL="0" distR="0" wp14:anchorId="50984A3B" wp14:editId="7D6497D7">
            <wp:extent cx="1651083" cy="332509"/>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25">
                      <a:extLst>
                        <a:ext uri="{28A0092B-C50C-407E-A947-70E740481C1C}">
                          <a14:useLocalDpi xmlns:a14="http://schemas.microsoft.com/office/drawing/2010/main" val="0"/>
                        </a:ext>
                      </a:extLst>
                    </a:blip>
                    <a:stretch>
                      <a:fillRect/>
                    </a:stretch>
                  </pic:blipFill>
                  <pic:spPr>
                    <a:xfrm>
                      <a:off x="0" y="0"/>
                      <a:ext cx="1672256" cy="336773"/>
                    </a:xfrm>
                    <a:prstGeom prst="rect">
                      <a:avLst/>
                    </a:prstGeom>
                  </pic:spPr>
                </pic:pic>
              </a:graphicData>
            </a:graphic>
          </wp:inline>
        </w:drawing>
      </w:r>
    </w:p>
    <w:p w:rsidR="00740318" w:rsidRDefault="00740318" w:rsidP="00740318">
      <w:pPr>
        <w:spacing w:line="276" w:lineRule="auto"/>
        <w:jc w:val="both"/>
        <w:rPr>
          <w:rFonts w:asciiTheme="majorBidi" w:hAnsiTheme="majorBidi" w:cstheme="majorBidi"/>
          <w:sz w:val="22"/>
          <w:szCs w:val="22"/>
        </w:rPr>
      </w:pPr>
      <w:r w:rsidRPr="00803B87">
        <w:rPr>
          <w:rFonts w:asciiTheme="majorBidi" w:hAnsiTheme="majorBidi" w:cstheme="majorBidi"/>
          <w:sz w:val="22"/>
          <w:szCs w:val="22"/>
        </w:rPr>
        <w:t>To end, i</w:t>
      </w:r>
      <w:r w:rsidR="00B25087" w:rsidRPr="00803B87">
        <w:rPr>
          <w:rFonts w:asciiTheme="majorBidi" w:hAnsiTheme="majorBidi" w:cstheme="majorBidi"/>
          <w:sz w:val="22"/>
          <w:szCs w:val="22"/>
        </w:rPr>
        <w:t xml:space="preserve">n </w:t>
      </w:r>
      <w:r w:rsidRPr="00803B87">
        <w:rPr>
          <w:rFonts w:asciiTheme="majorBidi" w:hAnsiTheme="majorBidi" w:cstheme="majorBidi"/>
          <w:sz w:val="22"/>
          <w:szCs w:val="22"/>
        </w:rPr>
        <w:t>the last step</w:t>
      </w:r>
      <w:r w:rsidR="00B25087" w:rsidRPr="00803B87">
        <w:rPr>
          <w:rFonts w:asciiTheme="majorBidi" w:hAnsiTheme="majorBidi" w:cstheme="majorBidi"/>
          <w:sz w:val="22"/>
          <w:szCs w:val="22"/>
        </w:rPr>
        <w:t xml:space="preserve">, </w:t>
      </w:r>
      <w:r w:rsidR="00B25087" w:rsidRPr="00803B87">
        <w:rPr>
          <w:rFonts w:asciiTheme="majorBidi" w:hAnsiTheme="majorBidi" w:cstheme="majorBidi"/>
          <w:i/>
          <w:iCs/>
          <w:sz w:val="22"/>
          <w:szCs w:val="22"/>
        </w:rPr>
        <w:t>w</w:t>
      </w:r>
      <w:r w:rsidRPr="00803B87">
        <w:rPr>
          <w:rFonts w:ascii="Angsana New" w:hAnsi="Angsana New" w:cs="Angsana New"/>
          <w:i/>
          <w:iCs/>
          <w:sz w:val="22"/>
          <w:szCs w:val="22"/>
        </w:rPr>
        <w:t>i</w:t>
      </w:r>
      <w:r w:rsidRPr="00803B87">
        <w:rPr>
          <w:rFonts w:asciiTheme="majorBidi" w:hAnsiTheme="majorBidi" w:cstheme="majorBidi"/>
          <w:sz w:val="22"/>
          <w:szCs w:val="22"/>
        </w:rPr>
        <w:t xml:space="preserve"> </w:t>
      </w:r>
      <w:r w:rsidR="00B25087" w:rsidRPr="00803B87">
        <w:rPr>
          <w:rFonts w:asciiTheme="majorBidi" w:hAnsiTheme="majorBidi" w:cstheme="majorBidi"/>
          <w:sz w:val="22"/>
          <w:szCs w:val="22"/>
        </w:rPr>
        <w:t>as the weight of value, can be calculated using the</w:t>
      </w:r>
      <w:r w:rsidRPr="00803B87">
        <w:rPr>
          <w:rFonts w:asciiTheme="majorBidi" w:hAnsiTheme="majorBidi" w:cstheme="majorBidi"/>
          <w:sz w:val="22"/>
          <w:szCs w:val="22"/>
        </w:rPr>
        <w:t xml:space="preserve"> </w:t>
      </w:r>
      <w:r w:rsidR="00B25087" w:rsidRPr="00803B87">
        <w:rPr>
          <w:rFonts w:asciiTheme="majorBidi" w:hAnsiTheme="majorBidi" w:cstheme="majorBidi"/>
          <w:sz w:val="22"/>
          <w:szCs w:val="22"/>
        </w:rPr>
        <w:t>equation below:</w:t>
      </w:r>
    </w:p>
    <w:p w:rsidR="00740318" w:rsidRPr="00803B87" w:rsidRDefault="00740318" w:rsidP="00740318">
      <w:pPr>
        <w:spacing w:line="276" w:lineRule="auto"/>
        <w:jc w:val="both"/>
        <w:rPr>
          <w:rFonts w:asciiTheme="majorBidi" w:hAnsiTheme="majorBidi" w:cstheme="majorBidi"/>
          <w:sz w:val="22"/>
          <w:szCs w:val="22"/>
        </w:rPr>
      </w:pPr>
      <w:r w:rsidRPr="00803B87">
        <w:rPr>
          <w:rFonts w:asciiTheme="majorBidi" w:hAnsiTheme="majorBidi" w:cstheme="majorBidi"/>
          <w:noProof/>
          <w:sz w:val="22"/>
          <w:szCs w:val="22"/>
          <w:lang w:val="en-US" w:eastAsia="en-US" w:bidi="fa-IR"/>
        </w:rPr>
        <w:drawing>
          <wp:inline distT="0" distB="0" distL="0" distR="0" wp14:anchorId="17220E37" wp14:editId="1088183E">
            <wp:extent cx="1780930" cy="734291"/>
            <wp:effectExtent l="0" t="0" r="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26">
                      <a:extLst>
                        <a:ext uri="{28A0092B-C50C-407E-A947-70E740481C1C}">
                          <a14:useLocalDpi xmlns:a14="http://schemas.microsoft.com/office/drawing/2010/main" val="0"/>
                        </a:ext>
                      </a:extLst>
                    </a:blip>
                    <a:stretch>
                      <a:fillRect/>
                    </a:stretch>
                  </pic:blipFill>
                  <pic:spPr>
                    <a:xfrm>
                      <a:off x="0" y="0"/>
                      <a:ext cx="1793895" cy="739636"/>
                    </a:xfrm>
                    <a:prstGeom prst="rect">
                      <a:avLst/>
                    </a:prstGeom>
                  </pic:spPr>
                </pic:pic>
              </a:graphicData>
            </a:graphic>
          </wp:inline>
        </w:drawing>
      </w:r>
    </w:p>
    <w:p w:rsidR="00F176BD" w:rsidRPr="00121DEF" w:rsidRDefault="00740318" w:rsidP="007115E2">
      <w:pPr>
        <w:spacing w:line="276" w:lineRule="auto"/>
        <w:jc w:val="both"/>
        <w:rPr>
          <w:rFonts w:asciiTheme="majorBidi" w:hAnsiTheme="majorBidi" w:cstheme="majorBidi"/>
          <w:sz w:val="22"/>
          <w:szCs w:val="22"/>
          <w:rtl/>
        </w:rPr>
      </w:pPr>
      <w:r w:rsidRPr="00803B87">
        <w:rPr>
          <w:rFonts w:asciiTheme="majorBidi" w:hAnsiTheme="majorBidi" w:cstheme="majorBidi"/>
          <w:sz w:val="22"/>
          <w:szCs w:val="22"/>
        </w:rPr>
        <w:t>At last, a chart can be made out of the frequency of each component and their calculated significance. The conclusion derived from these calculations obtains</w:t>
      </w:r>
      <w:r w:rsidR="00F176BD" w:rsidRPr="00803B87">
        <w:rPr>
          <w:rFonts w:asciiTheme="majorBidi" w:hAnsiTheme="majorBidi" w:cstheme="majorBidi"/>
          <w:sz w:val="22"/>
          <w:szCs w:val="22"/>
        </w:rPr>
        <w:t xml:space="preserve"> the acceptability constant coefficient.</w:t>
      </w:r>
      <w:r w:rsidRPr="00803B87">
        <w:rPr>
          <w:rFonts w:asciiTheme="majorBidi" w:hAnsiTheme="majorBidi" w:cstheme="majorBidi"/>
          <w:sz w:val="22"/>
          <w:szCs w:val="22"/>
        </w:rPr>
        <w:t xml:space="preserve"> T</w:t>
      </w:r>
      <w:r w:rsidR="00F176BD" w:rsidRPr="00803B87">
        <w:rPr>
          <w:rFonts w:asciiTheme="majorBidi" w:hAnsiTheme="majorBidi" w:cstheme="majorBidi"/>
          <w:sz w:val="22"/>
          <w:szCs w:val="22"/>
        </w:rPr>
        <w:t>he information load of each category is computed and the coefficient of significance of each category is considered. Each category with more information load is more sig</w:t>
      </w:r>
      <w:r w:rsidR="00906891" w:rsidRPr="00803B87">
        <w:rPr>
          <w:rFonts w:asciiTheme="majorBidi" w:hAnsiTheme="majorBidi" w:cstheme="majorBidi"/>
          <w:sz w:val="22"/>
          <w:szCs w:val="22"/>
        </w:rPr>
        <w:t xml:space="preserve">nificant </w:t>
      </w:r>
      <w:r w:rsidR="000D5E66" w:rsidRPr="00803B87">
        <w:rPr>
          <w:rFonts w:asciiTheme="majorBidi" w:hAnsiTheme="majorBidi" w:cstheme="majorBidi"/>
          <w:sz w:val="22"/>
          <w:szCs w:val="22"/>
        </w:rPr>
        <w:t>[</w:t>
      </w:r>
      <w:r w:rsidR="007115E2" w:rsidRPr="00803B87">
        <w:rPr>
          <w:rFonts w:asciiTheme="majorBidi" w:hAnsiTheme="majorBidi" w:cstheme="majorBidi"/>
          <w:sz w:val="22"/>
          <w:szCs w:val="22"/>
        </w:rPr>
        <w:t>15</w:t>
      </w:r>
      <w:r w:rsidR="000D5E66" w:rsidRPr="00803B87">
        <w:rPr>
          <w:rFonts w:asciiTheme="majorBidi" w:hAnsiTheme="majorBidi" w:cstheme="majorBidi"/>
          <w:sz w:val="22"/>
          <w:szCs w:val="22"/>
        </w:rPr>
        <w:t>]</w:t>
      </w:r>
      <w:r w:rsidR="00F176BD" w:rsidRPr="00803B87">
        <w:rPr>
          <w:rFonts w:asciiTheme="majorBidi" w:hAnsiTheme="majorBidi" w:cstheme="majorBidi"/>
          <w:sz w:val="22"/>
          <w:szCs w:val="22"/>
        </w:rPr>
        <w:t>.</w:t>
      </w:r>
    </w:p>
    <w:p w:rsidR="00803B87" w:rsidRDefault="00803B87" w:rsidP="00980E46">
      <w:pPr>
        <w:spacing w:line="276" w:lineRule="auto"/>
        <w:jc w:val="both"/>
        <w:rPr>
          <w:rFonts w:asciiTheme="majorBidi" w:hAnsiTheme="majorBidi" w:cstheme="majorBidi"/>
          <w:b/>
          <w:sz w:val="22"/>
          <w:szCs w:val="22"/>
        </w:rPr>
      </w:pPr>
    </w:p>
    <w:p w:rsidR="00F176BD" w:rsidRPr="00803B87" w:rsidRDefault="00121DEF" w:rsidP="00980E46">
      <w:pPr>
        <w:spacing w:line="276" w:lineRule="auto"/>
        <w:jc w:val="both"/>
        <w:rPr>
          <w:rFonts w:asciiTheme="majorBidi" w:hAnsiTheme="majorBidi" w:cstheme="majorBidi"/>
          <w:b/>
          <w:bCs/>
          <w:sz w:val="22"/>
          <w:szCs w:val="22"/>
          <w:rtl/>
        </w:rPr>
      </w:pPr>
      <w:r w:rsidRPr="00803B87">
        <w:rPr>
          <w:rFonts w:asciiTheme="majorBidi" w:hAnsiTheme="majorBidi" w:cstheme="majorBidi"/>
          <w:b/>
          <w:sz w:val="22"/>
          <w:szCs w:val="22"/>
        </w:rPr>
        <w:t xml:space="preserve">4. </w:t>
      </w:r>
      <w:r w:rsidR="00F176BD" w:rsidRPr="00803B87">
        <w:rPr>
          <w:rFonts w:asciiTheme="majorBidi" w:hAnsiTheme="majorBidi" w:cstheme="majorBidi"/>
          <w:b/>
          <w:sz w:val="22"/>
          <w:szCs w:val="22"/>
        </w:rPr>
        <w:t>Discussion</w:t>
      </w:r>
    </w:p>
    <w:p w:rsidR="00F176BD" w:rsidRPr="00803B87" w:rsidRDefault="00F176BD" w:rsidP="00980E46">
      <w:pPr>
        <w:spacing w:line="276" w:lineRule="auto"/>
        <w:jc w:val="both"/>
        <w:rPr>
          <w:rFonts w:asciiTheme="majorBidi" w:hAnsiTheme="majorBidi" w:cstheme="majorBidi"/>
          <w:sz w:val="22"/>
          <w:szCs w:val="22"/>
          <w:rtl/>
        </w:rPr>
      </w:pPr>
      <w:r w:rsidRPr="00803B87">
        <w:rPr>
          <w:rFonts w:asciiTheme="majorBidi" w:hAnsiTheme="majorBidi" w:cstheme="majorBidi"/>
          <w:sz w:val="22"/>
          <w:szCs w:val="22"/>
        </w:rPr>
        <w:t>As mentioned earlier, 16 scientific-research journals are being published in Iran in the field of architecture. Among these, 15 journals have addressed housing with at least one article. On the other hand, 15 international journals in the field of architecture which had published articles on housing were also selected using the SJR system. Initially, all articles in these journals published in the last five years (2013-2017) were investigated and categorized in terms of content. And the articles on housing or referring to housing were selected to be studied. In the mentioned period, a total of 187 articles were published in Iranian journals and 276 articles were published in international journals. As shown in Figure 2, the number of articles published in Persian grew over the past five years, reaching 52 articles in 2017 from 27 articles in 2013. This upward trend is also observed in international journals, except for a slight decline in 2015. In any case, international journals have always been more concerned with housing than Iranian journals.</w:t>
      </w:r>
    </w:p>
    <w:p w:rsidR="00A677C2" w:rsidRPr="002911ED" w:rsidRDefault="00162F87" w:rsidP="00C5463D">
      <w:pPr>
        <w:jc w:val="center"/>
        <w:rPr>
          <w:sz w:val="18"/>
          <w:szCs w:val="18"/>
          <w:rtl/>
        </w:rPr>
      </w:pPr>
      <w:r w:rsidRPr="002911ED">
        <w:rPr>
          <w:sz w:val="18"/>
          <w:szCs w:val="18"/>
        </w:rPr>
        <w:t>Figure</w:t>
      </w:r>
      <w:r w:rsidR="00A677C2" w:rsidRPr="002911ED">
        <w:rPr>
          <w:sz w:val="18"/>
          <w:szCs w:val="18"/>
        </w:rPr>
        <w:t>2. Publication of Iran and international articles in the last five years</w:t>
      </w:r>
    </w:p>
    <w:p w:rsidR="00A677C2" w:rsidRPr="00803B87" w:rsidRDefault="00A677C2" w:rsidP="00A677C2">
      <w:pPr>
        <w:jc w:val="center"/>
      </w:pPr>
      <w:r w:rsidRPr="00803B87">
        <w:rPr>
          <w:noProof/>
          <w:rtl/>
          <w:lang w:val="en-US" w:eastAsia="en-US" w:bidi="fa-IR"/>
        </w:rPr>
        <w:drawing>
          <wp:inline distT="0" distB="0" distL="0" distR="0" wp14:anchorId="5016C835" wp14:editId="150B7040">
            <wp:extent cx="4752109" cy="1766454"/>
            <wp:effectExtent l="0" t="0" r="10795" b="2476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803B87" w:rsidRPr="00803B87" w:rsidRDefault="00803B87" w:rsidP="00803B87">
      <w:pPr>
        <w:spacing w:line="276" w:lineRule="auto"/>
        <w:jc w:val="both"/>
        <w:rPr>
          <w:rFonts w:asciiTheme="majorBidi" w:hAnsiTheme="majorBidi" w:cstheme="majorBidi"/>
          <w:sz w:val="22"/>
          <w:szCs w:val="22"/>
        </w:rPr>
      </w:pPr>
      <w:r w:rsidRPr="00803B87">
        <w:rPr>
          <w:rFonts w:asciiTheme="majorBidi" w:hAnsiTheme="majorBidi" w:cstheme="majorBidi"/>
          <w:sz w:val="22"/>
          <w:szCs w:val="22"/>
        </w:rPr>
        <w:t xml:space="preserve">Figure 3 shows the number of papers in the field of housing in each journal over the past 5 years. As outlined in the figure, in Iran, the Journal of Housing and Rural Environment, Hoviatshahr, Architecture and Urbanism, Bagh-e Nazar and Urban Management are the first five journals with most published articles in the field of housing in the last five years. The Journal of Asian Architecture and Building Engineering, Architectural Science Review, Frontiers of Architectural Research, Facilities, and Journal of Architectural Engineering are the 5 international journals with most published articles in the field of housing in the last five years. </w:t>
      </w:r>
      <w:r w:rsidRPr="00803B87">
        <w:rPr>
          <w:rFonts w:asciiTheme="majorBidi" w:hAnsiTheme="majorBidi" w:cstheme="majorBidi"/>
          <w:sz w:val="22"/>
          <w:szCs w:val="22"/>
        </w:rPr>
        <w:lastRenderedPageBreak/>
        <w:t>The most published articles in these journals are from Japan, the UK, Netherlands, and the US, respectively. All the 5 cases are Q1 journals. It is obvious that other journals in other areas of architecture have published more articles.</w:t>
      </w:r>
    </w:p>
    <w:p w:rsidR="00803B87" w:rsidRPr="00C5463D" w:rsidRDefault="00803B87" w:rsidP="00C5463D">
      <w:pPr>
        <w:spacing w:line="276" w:lineRule="auto"/>
        <w:jc w:val="both"/>
        <w:rPr>
          <w:rFonts w:asciiTheme="majorBidi" w:hAnsiTheme="majorBidi" w:cstheme="majorBidi"/>
          <w:sz w:val="22"/>
          <w:szCs w:val="22"/>
          <w:lang w:val="en-US"/>
        </w:rPr>
      </w:pPr>
      <w:r w:rsidRPr="00803B87">
        <w:rPr>
          <w:rFonts w:asciiTheme="majorBidi" w:hAnsiTheme="majorBidi" w:cstheme="majorBidi"/>
          <w:sz w:val="22"/>
          <w:szCs w:val="22"/>
        </w:rPr>
        <w:t xml:space="preserve">After recording the specifications of each article and its printing information, the key words that the authors themselves mentioned at the end of abstract of the paper were extracted, and the entire text of the all articles was carefully read and the variables which were measured, addressed or referred to in each article were haul out. These components were directly written in the body of paper or were understood from the context of a specific sentence or paragraph derived by this paper's authors. Also, some descriptions of the case study in each research are presented in the comments section. All components extracted from 187 Persian and 276 English articles were respectively 264 and 281. According to resemblance of the concept, meaning, function, etc. all the components were put together in different sectors. These categorizes then were named environmental factors, architectural elements, geometry and proportions, fundamental architectural concepts, standards, and psychological and social codes and concepts by authors based on their sub-components which are presented in Tables </w:t>
      </w:r>
      <w:r>
        <w:rPr>
          <w:rFonts w:asciiTheme="majorBidi" w:hAnsiTheme="majorBidi" w:cstheme="majorBidi"/>
          <w:sz w:val="22"/>
          <w:szCs w:val="22"/>
        </w:rPr>
        <w:t>1</w:t>
      </w:r>
      <w:r w:rsidRPr="00803B87">
        <w:rPr>
          <w:rFonts w:asciiTheme="majorBidi" w:hAnsiTheme="majorBidi" w:cstheme="majorBidi"/>
          <w:sz w:val="22"/>
          <w:szCs w:val="22"/>
        </w:rPr>
        <w:t xml:space="preserve"> and </w:t>
      </w:r>
      <w:r>
        <w:rPr>
          <w:rFonts w:asciiTheme="majorBidi" w:hAnsiTheme="majorBidi" w:cstheme="majorBidi"/>
          <w:sz w:val="22"/>
          <w:szCs w:val="22"/>
        </w:rPr>
        <w:t>2</w:t>
      </w:r>
      <w:r w:rsidRPr="00803B87">
        <w:rPr>
          <w:rFonts w:asciiTheme="majorBidi" w:hAnsiTheme="majorBidi" w:cstheme="majorBidi"/>
          <w:sz w:val="22"/>
          <w:szCs w:val="22"/>
        </w:rPr>
        <w:t>.</w:t>
      </w:r>
    </w:p>
    <w:p w:rsidR="00A677C2" w:rsidRPr="002911ED" w:rsidRDefault="00A677C2" w:rsidP="00A677C2">
      <w:pPr>
        <w:jc w:val="center"/>
        <w:rPr>
          <w:sz w:val="18"/>
          <w:szCs w:val="18"/>
          <w:lang w:bidi="fa-IR"/>
        </w:rPr>
      </w:pPr>
      <w:r w:rsidRPr="002911ED">
        <w:rPr>
          <w:sz w:val="18"/>
          <w:szCs w:val="18"/>
        </w:rPr>
        <w:t>Figur</w:t>
      </w:r>
      <w:r w:rsidR="00162F87" w:rsidRPr="002911ED">
        <w:rPr>
          <w:sz w:val="18"/>
          <w:szCs w:val="18"/>
        </w:rPr>
        <w:t>e</w:t>
      </w:r>
      <w:r w:rsidRPr="002911ED">
        <w:rPr>
          <w:sz w:val="18"/>
          <w:szCs w:val="18"/>
        </w:rPr>
        <w:t>3. Reviewed Iran and international Journals and their publication in 2013-2017</w:t>
      </w:r>
    </w:p>
    <w:p w:rsidR="00803B87" w:rsidRPr="00C5463D" w:rsidRDefault="00A677C2" w:rsidP="00C5463D">
      <w:pPr>
        <w:jc w:val="both"/>
        <w:rPr>
          <w:lang w:val="en-US" w:bidi="fa-IR"/>
        </w:rPr>
      </w:pPr>
      <w:r w:rsidRPr="00803B87">
        <w:rPr>
          <w:noProof/>
          <w:rtl/>
          <w:lang w:val="en-US" w:eastAsia="en-US" w:bidi="fa-IR"/>
        </w:rPr>
        <w:drawing>
          <wp:inline distT="0" distB="0" distL="0" distR="0" wp14:anchorId="5B720051" wp14:editId="3F830BF3">
            <wp:extent cx="2639291" cy="5576455"/>
            <wp:effectExtent l="0" t="0" r="27940" b="2476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03B87">
        <w:rPr>
          <w:rtl/>
          <w:lang w:bidi="fa-IR"/>
        </w:rPr>
        <w:t xml:space="preserve"> </w:t>
      </w:r>
      <w:r w:rsidRPr="00803B87">
        <w:rPr>
          <w:noProof/>
          <w:rtl/>
          <w:lang w:val="en-US" w:eastAsia="en-US" w:bidi="fa-IR"/>
        </w:rPr>
        <w:drawing>
          <wp:inline distT="0" distB="0" distL="0" distR="0" wp14:anchorId="216E5207" wp14:editId="204DADD6">
            <wp:extent cx="2632363" cy="5576455"/>
            <wp:effectExtent l="0" t="0" r="15875" b="2476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A677C2" w:rsidRPr="002911ED" w:rsidRDefault="00162F87" w:rsidP="00C5463D">
      <w:pPr>
        <w:jc w:val="center"/>
        <w:rPr>
          <w:sz w:val="18"/>
          <w:szCs w:val="18"/>
          <w:rtl/>
        </w:rPr>
      </w:pPr>
      <w:r w:rsidRPr="002911ED">
        <w:rPr>
          <w:sz w:val="18"/>
          <w:szCs w:val="18"/>
        </w:rPr>
        <w:lastRenderedPageBreak/>
        <w:t>Table</w:t>
      </w:r>
      <w:r w:rsidR="00C5463D" w:rsidRPr="002911ED">
        <w:rPr>
          <w:sz w:val="18"/>
          <w:szCs w:val="18"/>
        </w:rPr>
        <w:t>1</w:t>
      </w:r>
      <w:r w:rsidR="00A677C2" w:rsidRPr="002911ED">
        <w:rPr>
          <w:sz w:val="18"/>
          <w:szCs w:val="18"/>
        </w:rPr>
        <w:t>. Variables in the field of housing in Iranian articles and their general areas</w:t>
      </w:r>
    </w:p>
    <w:tbl>
      <w:tblPr>
        <w:tblStyle w:val="PlainTable2"/>
        <w:tblW w:w="0" w:type="auto"/>
        <w:tblLook w:val="04A0" w:firstRow="1" w:lastRow="0" w:firstColumn="1" w:lastColumn="0" w:noHBand="0" w:noVBand="1"/>
      </w:tblPr>
      <w:tblGrid>
        <w:gridCol w:w="460"/>
        <w:gridCol w:w="1472"/>
        <w:gridCol w:w="6783"/>
      </w:tblGrid>
      <w:tr w:rsidR="00A677C2" w:rsidRPr="00803B87" w:rsidTr="00A46E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 w:type="dxa"/>
            <w:vMerge w:val="restart"/>
            <w:textDirection w:val="tbRl"/>
            <w:vAlign w:val="bottom"/>
          </w:tcPr>
          <w:p w:rsidR="00A677C2" w:rsidRPr="00803B87" w:rsidRDefault="00A677C2" w:rsidP="00A46E80">
            <w:pPr>
              <w:spacing w:line="240" w:lineRule="auto"/>
              <w:ind w:left="113" w:right="113"/>
              <w:jc w:val="center"/>
              <w:rPr>
                <w:rFonts w:ascii="Arial"/>
                <w:b w:val="0"/>
                <w:bCs w:val="0"/>
                <w:sz w:val="19"/>
                <w:szCs w:val="19"/>
                <w:rtl/>
              </w:rPr>
            </w:pPr>
            <w:r w:rsidRPr="00803B87">
              <w:rPr>
                <w:bCs w:val="0"/>
                <w:sz w:val="19"/>
                <w:szCs w:val="19"/>
              </w:rPr>
              <w:t>Areas studied in Iranian housing</w:t>
            </w:r>
          </w:p>
        </w:tc>
        <w:tc>
          <w:tcPr>
            <w:tcW w:w="1483" w:type="dxa"/>
          </w:tcPr>
          <w:p w:rsidR="00A677C2" w:rsidRPr="00803B87" w:rsidRDefault="00A677C2" w:rsidP="00A46E80">
            <w:pPr>
              <w:spacing w:line="240" w:lineRule="auto"/>
              <w:jc w:val="both"/>
              <w:cnfStyle w:val="100000000000" w:firstRow="1" w:lastRow="0" w:firstColumn="0" w:lastColumn="0" w:oddVBand="0" w:evenVBand="0" w:oddHBand="0" w:evenHBand="0" w:firstRowFirstColumn="0" w:firstRowLastColumn="0" w:lastRowFirstColumn="0" w:lastRowLastColumn="0"/>
              <w:rPr>
                <w:sz w:val="19"/>
                <w:szCs w:val="19"/>
              </w:rPr>
            </w:pPr>
            <w:r w:rsidRPr="00803B87">
              <w:rPr>
                <w:sz w:val="19"/>
                <w:szCs w:val="19"/>
              </w:rPr>
              <w:t>Environmental factors</w:t>
            </w:r>
          </w:p>
        </w:tc>
        <w:tc>
          <w:tcPr>
            <w:tcW w:w="7423" w:type="dxa"/>
          </w:tcPr>
          <w:p w:rsidR="00A677C2" w:rsidRPr="00803B87" w:rsidRDefault="00A677C2" w:rsidP="00387918">
            <w:pPr>
              <w:spacing w:line="240" w:lineRule="auto"/>
              <w:jc w:val="both"/>
              <w:cnfStyle w:val="100000000000" w:firstRow="1" w:lastRow="0" w:firstColumn="0" w:lastColumn="0" w:oddVBand="0" w:evenVBand="0" w:oddHBand="0" w:evenHBand="0" w:firstRowFirstColumn="0" w:firstRowLastColumn="0" w:lastRowFirstColumn="0" w:lastRowLastColumn="0"/>
              <w:rPr>
                <w:rFonts w:ascii="Arial"/>
                <w:b w:val="0"/>
                <w:bCs w:val="0"/>
                <w:sz w:val="19"/>
                <w:szCs w:val="19"/>
                <w:rtl/>
              </w:rPr>
            </w:pPr>
            <w:r w:rsidRPr="00803B87">
              <w:rPr>
                <w:b w:val="0"/>
                <w:bCs w:val="0"/>
                <w:sz w:val="19"/>
                <w:szCs w:val="19"/>
              </w:rPr>
              <w:t>Climate, habitat, nature, plants, green space, trees, light, radiation angle, lighting, glare, air, ventilation, sky, landscape, aspect, perspective, vision, home orientation, orientation, position, space direction, location, energy efficiency, energy, thermal comfort, climate comfort, thermal performance, physical comfort, acoustic comfort, materials, local materials, technology, durability, strength, resistance, construct, structure, usage, neighborhood, surrounding environment, access, environmental coordination</w:t>
            </w:r>
          </w:p>
        </w:tc>
      </w:tr>
      <w:tr w:rsidR="00A677C2" w:rsidRPr="00803B87" w:rsidTr="00A46E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 w:type="dxa"/>
            <w:vMerge/>
          </w:tcPr>
          <w:p w:rsidR="00A677C2" w:rsidRPr="00803B87" w:rsidRDefault="00A677C2" w:rsidP="00A46E80">
            <w:pPr>
              <w:spacing w:line="240" w:lineRule="auto"/>
              <w:jc w:val="both"/>
              <w:rPr>
                <w:rFonts w:ascii="Arial"/>
                <w:sz w:val="19"/>
                <w:szCs w:val="19"/>
                <w:rtl/>
              </w:rPr>
            </w:pPr>
          </w:p>
        </w:tc>
        <w:tc>
          <w:tcPr>
            <w:tcW w:w="1483" w:type="dxa"/>
          </w:tcPr>
          <w:p w:rsidR="00A677C2" w:rsidRPr="00803B87" w:rsidRDefault="00A677C2" w:rsidP="00A46E80">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b/>
                <w:bCs/>
                <w:sz w:val="19"/>
                <w:szCs w:val="19"/>
                <w:rtl/>
              </w:rPr>
            </w:pPr>
            <w:r w:rsidRPr="00803B87">
              <w:rPr>
                <w:b/>
                <w:bCs/>
                <w:sz w:val="19"/>
                <w:szCs w:val="19"/>
              </w:rPr>
              <w:t>Architectural elements</w:t>
            </w:r>
          </w:p>
        </w:tc>
        <w:tc>
          <w:tcPr>
            <w:tcW w:w="7423" w:type="dxa"/>
          </w:tcPr>
          <w:p w:rsidR="00A677C2" w:rsidRPr="00803B87" w:rsidRDefault="00A677C2" w:rsidP="00A46E80">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sz w:val="19"/>
                <w:szCs w:val="19"/>
                <w:rtl/>
              </w:rPr>
            </w:pPr>
            <w:r w:rsidRPr="00803B87">
              <w:rPr>
                <w:sz w:val="19"/>
                <w:szCs w:val="19"/>
              </w:rPr>
              <w:t>open space, closed space, exterior space, interior space, intermediate and communication space, semi-private open space, guest space, distinct space, open and semi-open space interaction, court communication, spatial relationships, relationship between spaces, interconnection of spaces, joint space, courtyard, central courtyard, rooftop, louvre, wind tower, wind catcher, atrium, parlor, shading elements, porch, room, light well, window, terrace, bedchamber, furniture, solar chimney, chiasm, behavioral center, sash, sash window</w:t>
            </w:r>
          </w:p>
        </w:tc>
      </w:tr>
      <w:tr w:rsidR="00A677C2" w:rsidRPr="00803B87" w:rsidTr="00A46E80">
        <w:tc>
          <w:tcPr>
            <w:cnfStyle w:val="001000000000" w:firstRow="0" w:lastRow="0" w:firstColumn="1" w:lastColumn="0" w:oddVBand="0" w:evenVBand="0" w:oddHBand="0" w:evenHBand="0" w:firstRowFirstColumn="0" w:firstRowLastColumn="0" w:lastRowFirstColumn="0" w:lastRowLastColumn="0"/>
            <w:tcW w:w="454" w:type="dxa"/>
            <w:vMerge/>
          </w:tcPr>
          <w:p w:rsidR="00A677C2" w:rsidRPr="00803B87" w:rsidRDefault="00A677C2" w:rsidP="00A46E80">
            <w:pPr>
              <w:spacing w:line="240" w:lineRule="auto"/>
              <w:jc w:val="both"/>
              <w:rPr>
                <w:rFonts w:ascii="Arial"/>
                <w:sz w:val="19"/>
                <w:szCs w:val="19"/>
                <w:rtl/>
              </w:rPr>
            </w:pPr>
          </w:p>
        </w:tc>
        <w:tc>
          <w:tcPr>
            <w:tcW w:w="1483" w:type="dxa"/>
          </w:tcPr>
          <w:p w:rsidR="00A677C2" w:rsidRPr="00803B87" w:rsidRDefault="00A677C2" w:rsidP="00A46E80">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b/>
                <w:bCs/>
                <w:sz w:val="19"/>
                <w:szCs w:val="19"/>
                <w:rtl/>
              </w:rPr>
            </w:pPr>
            <w:r w:rsidRPr="00803B87">
              <w:rPr>
                <w:b/>
                <w:bCs/>
                <w:sz w:val="19"/>
                <w:szCs w:val="19"/>
              </w:rPr>
              <w:t>Geometry and proportions</w:t>
            </w:r>
          </w:p>
        </w:tc>
        <w:tc>
          <w:tcPr>
            <w:tcW w:w="7423" w:type="dxa"/>
          </w:tcPr>
          <w:p w:rsidR="00A677C2" w:rsidRPr="00803B87" w:rsidRDefault="00A677C2" w:rsidP="00387918">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sz w:val="19"/>
                <w:szCs w:val="19"/>
                <w:rtl/>
              </w:rPr>
            </w:pPr>
            <w:r w:rsidRPr="00803B87">
              <w:rPr>
                <w:sz w:val="19"/>
                <w:szCs w:val="19"/>
              </w:rPr>
              <w:t>Proportions, niyaresh</w:t>
            </w:r>
            <w:r w:rsidR="00387918" w:rsidRPr="00803B87">
              <w:rPr>
                <w:rStyle w:val="FootnoteReference"/>
                <w:sz w:val="19"/>
                <w:szCs w:val="19"/>
              </w:rPr>
              <w:footnoteReference w:id="2"/>
            </w:r>
            <w:r w:rsidRPr="00803B87">
              <w:rPr>
                <w:sz w:val="19"/>
                <w:szCs w:val="19"/>
              </w:rPr>
              <w:t xml:space="preserve"> </w:t>
            </w:r>
            <w:r w:rsidR="00387918" w:rsidRPr="00803B87">
              <w:rPr>
                <w:sz w:val="19"/>
                <w:szCs w:val="19"/>
              </w:rPr>
              <w:t>modulus, module, gaz</w:t>
            </w:r>
            <w:r w:rsidR="00387918" w:rsidRPr="00803B87">
              <w:rPr>
                <w:rStyle w:val="FootnoteReference"/>
                <w:sz w:val="19"/>
                <w:szCs w:val="19"/>
              </w:rPr>
              <w:footnoteReference w:id="3"/>
            </w:r>
            <w:r w:rsidRPr="00803B87">
              <w:rPr>
                <w:sz w:val="19"/>
                <w:szCs w:val="19"/>
              </w:rPr>
              <w:t>, human scale, Iranian golden rectangle, geometry, dimensions, size, height, area, centrality, geometric composition, composition, spatial order, motion, symmetry, balance, principle of composition, proximity, weight, functional centrality, form, shape, decoration, color, skyline, detail, image, motif, statuesque building, hierarchy, spatial hierarchy, access hierarchy, access gradation, inviting quality, barrier, climate design, mass and space system, shape grammar, parametric grammar, spatial arrangement, spatial deployment, spatial distribution, space layout, space syntax, spatial separation, space organization, spatial opening, home functional model</w:t>
            </w:r>
          </w:p>
        </w:tc>
      </w:tr>
      <w:tr w:rsidR="00A677C2" w:rsidRPr="00803B87" w:rsidTr="00A46E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 w:type="dxa"/>
            <w:vMerge/>
          </w:tcPr>
          <w:p w:rsidR="00A677C2" w:rsidRPr="00803B87" w:rsidRDefault="00A677C2" w:rsidP="00A46E80">
            <w:pPr>
              <w:spacing w:line="240" w:lineRule="auto"/>
              <w:jc w:val="both"/>
              <w:rPr>
                <w:rFonts w:ascii="Arial"/>
                <w:sz w:val="19"/>
                <w:szCs w:val="19"/>
                <w:rtl/>
              </w:rPr>
            </w:pPr>
          </w:p>
        </w:tc>
        <w:tc>
          <w:tcPr>
            <w:tcW w:w="1483" w:type="dxa"/>
          </w:tcPr>
          <w:p w:rsidR="00A677C2" w:rsidRPr="00803B87" w:rsidRDefault="00A677C2" w:rsidP="00A46E80">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b/>
                <w:bCs/>
                <w:sz w:val="19"/>
                <w:szCs w:val="19"/>
                <w:rtl/>
              </w:rPr>
            </w:pPr>
            <w:r w:rsidRPr="00803B87">
              <w:rPr>
                <w:b/>
                <w:bCs/>
                <w:sz w:val="19"/>
                <w:szCs w:val="19"/>
              </w:rPr>
              <w:t>Fundamental concepts of architecture</w:t>
            </w:r>
          </w:p>
        </w:tc>
        <w:tc>
          <w:tcPr>
            <w:tcW w:w="7423" w:type="dxa"/>
          </w:tcPr>
          <w:p w:rsidR="00A677C2" w:rsidRPr="00803B87" w:rsidRDefault="00A677C2" w:rsidP="00F511BB">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sz w:val="19"/>
                <w:szCs w:val="19"/>
                <w:rtl/>
              </w:rPr>
            </w:pPr>
            <w:r w:rsidRPr="00803B87">
              <w:rPr>
                <w:sz w:val="19"/>
                <w:szCs w:val="19"/>
              </w:rPr>
              <w:t>Privacy, territory</w:t>
            </w:r>
            <w:r w:rsidR="00F511BB" w:rsidRPr="00803B87">
              <w:rPr>
                <w:sz w:val="19"/>
                <w:szCs w:val="19"/>
              </w:rPr>
              <w:t>, nobility, visibility control</w:t>
            </w:r>
            <w:r w:rsidRPr="00803B87">
              <w:rPr>
                <w:sz w:val="19"/>
                <w:szCs w:val="19"/>
              </w:rPr>
              <w:t>, visual communication, visual space, transparency, visual field, visual compatibility, visual attraction, visual focus, visual diversity, visual comfort, visual effect, visual order, quietness, realm, territory, territoriality, personal space, personalization, security, psychological security, order, simplicity unity, reflection, centralism, differentiation, diversity, perfection, sign, meaning, symbol, code, allegory, thinking possibility, content, abstraction</w:t>
            </w:r>
          </w:p>
        </w:tc>
      </w:tr>
      <w:tr w:rsidR="00A677C2" w:rsidRPr="00803B87" w:rsidTr="00A46E80">
        <w:tc>
          <w:tcPr>
            <w:cnfStyle w:val="001000000000" w:firstRow="0" w:lastRow="0" w:firstColumn="1" w:lastColumn="0" w:oddVBand="0" w:evenVBand="0" w:oddHBand="0" w:evenHBand="0" w:firstRowFirstColumn="0" w:firstRowLastColumn="0" w:lastRowFirstColumn="0" w:lastRowLastColumn="0"/>
            <w:tcW w:w="454" w:type="dxa"/>
            <w:vMerge/>
          </w:tcPr>
          <w:p w:rsidR="00A677C2" w:rsidRPr="00803B87" w:rsidRDefault="00A677C2" w:rsidP="00A46E80">
            <w:pPr>
              <w:spacing w:line="240" w:lineRule="auto"/>
              <w:jc w:val="both"/>
              <w:rPr>
                <w:rFonts w:ascii="Arial"/>
                <w:sz w:val="19"/>
                <w:szCs w:val="19"/>
                <w:rtl/>
              </w:rPr>
            </w:pPr>
          </w:p>
        </w:tc>
        <w:tc>
          <w:tcPr>
            <w:tcW w:w="1483" w:type="dxa"/>
          </w:tcPr>
          <w:p w:rsidR="00A677C2" w:rsidRPr="00803B87" w:rsidRDefault="00A677C2" w:rsidP="00A46E80">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b/>
                <w:bCs/>
                <w:sz w:val="19"/>
                <w:szCs w:val="19"/>
                <w:rtl/>
              </w:rPr>
            </w:pPr>
            <w:r w:rsidRPr="00803B87">
              <w:rPr>
                <w:b/>
                <w:bCs/>
                <w:sz w:val="19"/>
                <w:szCs w:val="19"/>
              </w:rPr>
              <w:t>Standards and codes</w:t>
            </w:r>
          </w:p>
        </w:tc>
        <w:tc>
          <w:tcPr>
            <w:tcW w:w="7423" w:type="dxa"/>
          </w:tcPr>
          <w:p w:rsidR="00A677C2" w:rsidRPr="00803B87" w:rsidRDefault="00A677C2" w:rsidP="00A46E80">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sz w:val="19"/>
                <w:szCs w:val="19"/>
                <w:rtl/>
              </w:rPr>
            </w:pPr>
            <w:r w:rsidRPr="00803B87">
              <w:rPr>
                <w:sz w:val="19"/>
                <w:szCs w:val="19"/>
              </w:rPr>
              <w:t>Household density, surplus density, household size, per capita infrastructure, occupancy level, population density, construction density, housing density, infrastructure, housing capacity, building age, ownership, ownership type, multi-family housing, construction participation, crisis management, intelligent growth of the city, value added, municipality tax, housing prices, housing market, economic value, no damage rule, installations, facilities, public services, welfare, sound and noise insulation, safety, implementation manner, light working, manufacturing technology, continuity and durability</w:t>
            </w:r>
          </w:p>
        </w:tc>
      </w:tr>
      <w:tr w:rsidR="00A677C2" w:rsidRPr="00803B87" w:rsidTr="00A46E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 w:type="dxa"/>
            <w:vMerge/>
          </w:tcPr>
          <w:p w:rsidR="00A677C2" w:rsidRPr="00803B87" w:rsidRDefault="00A677C2" w:rsidP="00A46E80">
            <w:pPr>
              <w:spacing w:line="240" w:lineRule="auto"/>
              <w:jc w:val="both"/>
              <w:rPr>
                <w:rFonts w:ascii="Arial"/>
                <w:sz w:val="19"/>
                <w:szCs w:val="19"/>
                <w:rtl/>
              </w:rPr>
            </w:pPr>
          </w:p>
        </w:tc>
        <w:tc>
          <w:tcPr>
            <w:tcW w:w="1483" w:type="dxa"/>
          </w:tcPr>
          <w:p w:rsidR="00A677C2" w:rsidRPr="00803B87" w:rsidRDefault="00A677C2" w:rsidP="00A46E80">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b/>
                <w:bCs/>
                <w:sz w:val="19"/>
                <w:szCs w:val="19"/>
                <w:rtl/>
              </w:rPr>
            </w:pPr>
            <w:r w:rsidRPr="00803B87">
              <w:rPr>
                <w:b/>
                <w:bCs/>
                <w:sz w:val="19"/>
                <w:szCs w:val="19"/>
              </w:rPr>
              <w:t>Psychological and social concepts</w:t>
            </w:r>
          </w:p>
        </w:tc>
        <w:tc>
          <w:tcPr>
            <w:tcW w:w="7423" w:type="dxa"/>
          </w:tcPr>
          <w:p w:rsidR="00A677C2" w:rsidRPr="00803B87" w:rsidRDefault="00A677C2" w:rsidP="00A46E80">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sz w:val="19"/>
                <w:szCs w:val="19"/>
                <w:rtl/>
              </w:rPr>
            </w:pPr>
            <w:r w:rsidRPr="00803B87">
              <w:rPr>
                <w:sz w:val="19"/>
                <w:szCs w:val="19"/>
              </w:rPr>
              <w:t>Place attachment, the sense of place, the spirit of place, sense of belonging, attachment, feeling rooted, recollection, memorization, fixation, experience, self-expression, intimacy, satisfaction, compatibility, adaptability, readability, flexibility, permeability, place desirability, functionality, identity, spatial identity, Islamic identity, culture, introversion, simultaneous introversion and extroversion, quality of life, lifestyle, mental relaxation, psychological well-being, mental comfort, emotional assessment, mental health, modesty, aesthetics, spirituality, sacramental principles, humanism, avoidance of frivolity, self-sufficiency, social interaction, hospitality, family interaction, social interest, neighborhood relationships, social solidarity, liking people, collective feeling, family relationships, social respect and affirmation, socialization, interactivity, family orientation, creativity, vitality, efficiency</w:t>
            </w:r>
          </w:p>
        </w:tc>
      </w:tr>
    </w:tbl>
    <w:p w:rsidR="00F511BB" w:rsidRDefault="00F511BB" w:rsidP="00A677C2">
      <w:pPr>
        <w:jc w:val="center"/>
        <w:rPr>
          <w:sz w:val="20"/>
          <w:szCs w:val="20"/>
        </w:rPr>
      </w:pPr>
    </w:p>
    <w:p w:rsidR="002911ED" w:rsidRDefault="002911ED" w:rsidP="00A677C2">
      <w:pPr>
        <w:jc w:val="center"/>
        <w:rPr>
          <w:sz w:val="20"/>
          <w:szCs w:val="20"/>
        </w:rPr>
      </w:pPr>
    </w:p>
    <w:p w:rsidR="00803B87" w:rsidRPr="00803B87" w:rsidRDefault="00803B87" w:rsidP="00A677C2">
      <w:pPr>
        <w:jc w:val="center"/>
        <w:rPr>
          <w:sz w:val="20"/>
          <w:szCs w:val="20"/>
        </w:rPr>
      </w:pPr>
    </w:p>
    <w:p w:rsidR="00A677C2" w:rsidRPr="002911ED" w:rsidRDefault="00162F87" w:rsidP="00C5463D">
      <w:pPr>
        <w:jc w:val="center"/>
        <w:rPr>
          <w:sz w:val="18"/>
          <w:szCs w:val="18"/>
          <w:rtl/>
        </w:rPr>
      </w:pPr>
      <w:r w:rsidRPr="002911ED">
        <w:rPr>
          <w:sz w:val="18"/>
          <w:szCs w:val="18"/>
        </w:rPr>
        <w:lastRenderedPageBreak/>
        <w:t>Table</w:t>
      </w:r>
      <w:r w:rsidR="00C5463D" w:rsidRPr="002911ED">
        <w:rPr>
          <w:sz w:val="18"/>
          <w:szCs w:val="18"/>
        </w:rPr>
        <w:t>2</w:t>
      </w:r>
      <w:r w:rsidR="00A677C2" w:rsidRPr="002911ED">
        <w:rPr>
          <w:sz w:val="18"/>
          <w:szCs w:val="18"/>
        </w:rPr>
        <w:t>. Variables in the field of housing in international articles and their general areas</w:t>
      </w:r>
    </w:p>
    <w:tbl>
      <w:tblPr>
        <w:tblStyle w:val="PlainTable2"/>
        <w:tblW w:w="0" w:type="auto"/>
        <w:tblLook w:val="04A0" w:firstRow="1" w:lastRow="0" w:firstColumn="1" w:lastColumn="0" w:noHBand="0" w:noVBand="1"/>
      </w:tblPr>
      <w:tblGrid>
        <w:gridCol w:w="460"/>
        <w:gridCol w:w="1472"/>
        <w:gridCol w:w="6783"/>
      </w:tblGrid>
      <w:tr w:rsidR="00A677C2" w:rsidRPr="00803B87" w:rsidTr="00A46E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 w:type="dxa"/>
            <w:vMerge w:val="restart"/>
            <w:textDirection w:val="tbRl"/>
            <w:vAlign w:val="bottom"/>
          </w:tcPr>
          <w:p w:rsidR="00A677C2" w:rsidRPr="00803B87" w:rsidRDefault="00A677C2" w:rsidP="00A46E80">
            <w:pPr>
              <w:spacing w:line="240" w:lineRule="auto"/>
              <w:ind w:left="113" w:right="113"/>
              <w:jc w:val="center"/>
              <w:rPr>
                <w:rFonts w:ascii="Arial"/>
                <w:b w:val="0"/>
                <w:bCs w:val="0"/>
                <w:sz w:val="19"/>
                <w:szCs w:val="19"/>
                <w:rtl/>
              </w:rPr>
            </w:pPr>
            <w:r w:rsidRPr="00803B87">
              <w:rPr>
                <w:bCs w:val="0"/>
                <w:sz w:val="19"/>
                <w:szCs w:val="19"/>
              </w:rPr>
              <w:t>Areas studied in international housing</w:t>
            </w:r>
          </w:p>
        </w:tc>
        <w:tc>
          <w:tcPr>
            <w:tcW w:w="1483" w:type="dxa"/>
          </w:tcPr>
          <w:p w:rsidR="00A677C2" w:rsidRPr="00803B87" w:rsidRDefault="00A677C2" w:rsidP="00A46E80">
            <w:pPr>
              <w:spacing w:line="240" w:lineRule="auto"/>
              <w:jc w:val="both"/>
              <w:cnfStyle w:val="100000000000" w:firstRow="1" w:lastRow="0" w:firstColumn="0" w:lastColumn="0" w:oddVBand="0" w:evenVBand="0" w:oddHBand="0" w:evenHBand="0" w:firstRowFirstColumn="0" w:firstRowLastColumn="0" w:lastRowFirstColumn="0" w:lastRowLastColumn="0"/>
              <w:rPr>
                <w:sz w:val="19"/>
                <w:szCs w:val="19"/>
              </w:rPr>
            </w:pPr>
            <w:r w:rsidRPr="00803B87">
              <w:rPr>
                <w:sz w:val="19"/>
                <w:szCs w:val="19"/>
              </w:rPr>
              <w:t>Environmental factors</w:t>
            </w:r>
          </w:p>
        </w:tc>
        <w:tc>
          <w:tcPr>
            <w:tcW w:w="7423" w:type="dxa"/>
          </w:tcPr>
          <w:p w:rsidR="00A677C2" w:rsidRPr="00803B87" w:rsidRDefault="00A677C2" w:rsidP="00A46E80">
            <w:pPr>
              <w:spacing w:line="240" w:lineRule="auto"/>
              <w:jc w:val="both"/>
              <w:cnfStyle w:val="100000000000" w:firstRow="1" w:lastRow="0" w:firstColumn="0" w:lastColumn="0" w:oddVBand="0" w:evenVBand="0" w:oddHBand="0" w:evenHBand="0" w:firstRowFirstColumn="0" w:firstRowLastColumn="0" w:lastRowFirstColumn="0" w:lastRowLastColumn="0"/>
              <w:rPr>
                <w:b w:val="0"/>
                <w:bCs w:val="0"/>
                <w:sz w:val="19"/>
                <w:szCs w:val="19"/>
                <w:rtl/>
                <w:lang w:bidi="fa-IR"/>
              </w:rPr>
            </w:pPr>
            <w:r w:rsidRPr="00803B87">
              <w:rPr>
                <w:b w:val="0"/>
                <w:bCs w:val="0"/>
                <w:sz w:val="19"/>
                <w:szCs w:val="19"/>
                <w:lang w:bidi="fa-IR"/>
              </w:rPr>
              <w:t xml:space="preserve">Environmental factors, weather, soil, water, </w:t>
            </w:r>
            <w:r w:rsidRPr="00803B87">
              <w:rPr>
                <w:b w:val="0"/>
                <w:bCs w:val="0"/>
                <w:sz w:val="19"/>
                <w:szCs w:val="19"/>
              </w:rPr>
              <w:t xml:space="preserve">wind, </w:t>
            </w:r>
            <w:r w:rsidRPr="00803B87">
              <w:rPr>
                <w:b w:val="0"/>
                <w:bCs w:val="0"/>
                <w:sz w:val="19"/>
                <w:szCs w:val="19"/>
                <w:lang w:bidi="fa-IR"/>
              </w:rPr>
              <w:t>rain, humidity, moisture, climate, geography, ecology, orientation, topography, nature, material, shading, lighting, ventilation, air quality, HVAC, indoor air quality, infiltration, cooling, airflow, air velocity,</w:t>
            </w:r>
            <w:r w:rsidRPr="00803B87">
              <w:rPr>
                <w:b w:val="0"/>
                <w:bCs w:val="0"/>
                <w:sz w:val="19"/>
                <w:szCs w:val="19"/>
              </w:rPr>
              <w:t xml:space="preserve"> airtightness, air leakage, </w:t>
            </w:r>
            <w:r w:rsidRPr="00803B87">
              <w:rPr>
                <w:b w:val="0"/>
                <w:bCs w:val="0"/>
                <w:sz w:val="19"/>
                <w:szCs w:val="19"/>
                <w:lang w:bidi="fa-IR"/>
              </w:rPr>
              <w:t>air conditioning, solar energy, day lighting, sunlight, thermal comfort, thermal performance, temperature, heating, sustainability, sustainable development, global warming, energy consumption,</w:t>
            </w:r>
            <w:r w:rsidRPr="00803B87">
              <w:rPr>
                <w:b w:val="0"/>
                <w:bCs w:val="0"/>
                <w:sz w:val="19"/>
                <w:szCs w:val="19"/>
              </w:rPr>
              <w:t xml:space="preserve"> </w:t>
            </w:r>
            <w:r w:rsidRPr="00803B87">
              <w:rPr>
                <w:b w:val="0"/>
                <w:bCs w:val="0"/>
                <w:sz w:val="19"/>
                <w:szCs w:val="19"/>
                <w:lang w:bidi="fa-IR"/>
              </w:rPr>
              <w:t>energy efficiency, energy reduction strategies, renewable energy, greenhouse gas, green building, low carbon buildings, zero energy building, photovoltaic panels,</w:t>
            </w:r>
            <w:r w:rsidRPr="00803B87">
              <w:rPr>
                <w:b w:val="0"/>
                <w:bCs w:val="0"/>
                <w:sz w:val="19"/>
                <w:szCs w:val="19"/>
              </w:rPr>
              <w:t xml:space="preserve"> photovoltaic</w:t>
            </w:r>
            <w:r w:rsidRPr="00803B87">
              <w:rPr>
                <w:b w:val="0"/>
                <w:bCs w:val="0"/>
                <w:sz w:val="19"/>
                <w:szCs w:val="19"/>
                <w:lang w:bidi="fa-IR"/>
              </w:rPr>
              <w:t>, electricity use</w:t>
            </w:r>
          </w:p>
        </w:tc>
      </w:tr>
      <w:tr w:rsidR="00A677C2" w:rsidRPr="00803B87" w:rsidTr="00A46E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 w:type="dxa"/>
            <w:vMerge/>
          </w:tcPr>
          <w:p w:rsidR="00A677C2" w:rsidRPr="00803B87" w:rsidRDefault="00A677C2" w:rsidP="00A46E80">
            <w:pPr>
              <w:spacing w:line="240" w:lineRule="auto"/>
              <w:jc w:val="both"/>
              <w:rPr>
                <w:rFonts w:ascii="Arial"/>
                <w:sz w:val="19"/>
                <w:szCs w:val="19"/>
                <w:rtl/>
              </w:rPr>
            </w:pPr>
          </w:p>
        </w:tc>
        <w:tc>
          <w:tcPr>
            <w:tcW w:w="1483" w:type="dxa"/>
          </w:tcPr>
          <w:p w:rsidR="00A677C2" w:rsidRPr="00803B87" w:rsidRDefault="00A677C2" w:rsidP="00A46E80">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b/>
                <w:bCs/>
                <w:sz w:val="19"/>
                <w:szCs w:val="19"/>
                <w:rtl/>
              </w:rPr>
            </w:pPr>
            <w:r w:rsidRPr="00803B87">
              <w:rPr>
                <w:b/>
                <w:bCs/>
                <w:sz w:val="19"/>
                <w:szCs w:val="19"/>
              </w:rPr>
              <w:t>Architectural elements</w:t>
            </w:r>
          </w:p>
        </w:tc>
        <w:tc>
          <w:tcPr>
            <w:tcW w:w="7423" w:type="dxa"/>
          </w:tcPr>
          <w:p w:rsidR="00A677C2" w:rsidRPr="00803B87" w:rsidRDefault="00A677C2" w:rsidP="0015696A">
            <w:pPr>
              <w:spacing w:line="240" w:lineRule="auto"/>
              <w:jc w:val="both"/>
              <w:cnfStyle w:val="000000100000" w:firstRow="0" w:lastRow="0" w:firstColumn="0" w:lastColumn="0" w:oddVBand="0" w:evenVBand="0" w:oddHBand="1" w:evenHBand="0" w:firstRowFirstColumn="0" w:firstRowLastColumn="0" w:lastRowFirstColumn="0" w:lastRowLastColumn="0"/>
              <w:rPr>
                <w:sz w:val="19"/>
                <w:szCs w:val="19"/>
                <w:rtl/>
                <w:lang w:bidi="fa-IR"/>
              </w:rPr>
            </w:pPr>
            <w:r w:rsidRPr="00803B87">
              <w:rPr>
                <w:sz w:val="19"/>
                <w:szCs w:val="19"/>
                <w:lang w:bidi="fa-IR"/>
              </w:rPr>
              <w:t>E</w:t>
            </w:r>
            <w:r w:rsidRPr="00803B87">
              <w:rPr>
                <w:sz w:val="19"/>
                <w:szCs w:val="19"/>
              </w:rPr>
              <w:t>lements,</w:t>
            </w:r>
            <w:r w:rsidRPr="00803B87">
              <w:rPr>
                <w:sz w:val="19"/>
                <w:szCs w:val="19"/>
                <w:lang w:bidi="fa-IR"/>
              </w:rPr>
              <w:t xml:space="preserve"> appliance, equipment, building façade, roof, balconies, window, window wall, courtyard, floor, furniture, garden, landscape, patio, skylight, building envelope, </w:t>
            </w:r>
            <w:r w:rsidRPr="00803B87">
              <w:rPr>
                <w:sz w:val="19"/>
                <w:szCs w:val="19"/>
              </w:rPr>
              <w:t>elevator, lift,</w:t>
            </w:r>
            <w:r w:rsidRPr="00803B87">
              <w:rPr>
                <w:sz w:val="19"/>
                <w:szCs w:val="19"/>
                <w:lang w:bidi="fa-IR"/>
              </w:rPr>
              <w:t xml:space="preserve"> utilities, space, open spaces, exter</w:t>
            </w:r>
            <w:r w:rsidR="0015696A" w:rsidRPr="00803B87">
              <w:rPr>
                <w:sz w:val="19"/>
                <w:szCs w:val="19"/>
                <w:lang w:bidi="fa-IR"/>
              </w:rPr>
              <w:t>ior</w:t>
            </w:r>
            <w:r w:rsidRPr="00803B87">
              <w:rPr>
                <w:sz w:val="19"/>
                <w:szCs w:val="19"/>
                <w:lang w:bidi="fa-IR"/>
              </w:rPr>
              <w:t xml:space="preserve"> space, shared outdoor space, communal space, Interior space, green outdoor space, public spaces</w:t>
            </w:r>
          </w:p>
        </w:tc>
      </w:tr>
      <w:tr w:rsidR="00A677C2" w:rsidRPr="00803B87" w:rsidTr="00A46E80">
        <w:tc>
          <w:tcPr>
            <w:cnfStyle w:val="001000000000" w:firstRow="0" w:lastRow="0" w:firstColumn="1" w:lastColumn="0" w:oddVBand="0" w:evenVBand="0" w:oddHBand="0" w:evenHBand="0" w:firstRowFirstColumn="0" w:firstRowLastColumn="0" w:lastRowFirstColumn="0" w:lastRowLastColumn="0"/>
            <w:tcW w:w="454" w:type="dxa"/>
            <w:vMerge/>
          </w:tcPr>
          <w:p w:rsidR="00A677C2" w:rsidRPr="00803B87" w:rsidRDefault="00A677C2" w:rsidP="00A46E80">
            <w:pPr>
              <w:spacing w:line="240" w:lineRule="auto"/>
              <w:jc w:val="both"/>
              <w:rPr>
                <w:rFonts w:ascii="Arial"/>
                <w:sz w:val="19"/>
                <w:szCs w:val="19"/>
                <w:rtl/>
              </w:rPr>
            </w:pPr>
          </w:p>
        </w:tc>
        <w:tc>
          <w:tcPr>
            <w:tcW w:w="1483" w:type="dxa"/>
          </w:tcPr>
          <w:p w:rsidR="00A677C2" w:rsidRPr="00803B87" w:rsidRDefault="00A677C2" w:rsidP="00A46E80">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b/>
                <w:bCs/>
                <w:sz w:val="19"/>
                <w:szCs w:val="19"/>
                <w:rtl/>
              </w:rPr>
            </w:pPr>
            <w:r w:rsidRPr="00803B87">
              <w:rPr>
                <w:b/>
                <w:bCs/>
                <w:sz w:val="19"/>
                <w:szCs w:val="19"/>
              </w:rPr>
              <w:t>Geometry and proportions</w:t>
            </w:r>
          </w:p>
        </w:tc>
        <w:tc>
          <w:tcPr>
            <w:tcW w:w="7423" w:type="dxa"/>
          </w:tcPr>
          <w:p w:rsidR="00A677C2" w:rsidRPr="00803B87" w:rsidRDefault="00A677C2" w:rsidP="00A46E80">
            <w:pPr>
              <w:spacing w:line="240" w:lineRule="auto"/>
              <w:jc w:val="both"/>
              <w:cnfStyle w:val="000000000000" w:firstRow="0" w:lastRow="0" w:firstColumn="0" w:lastColumn="0" w:oddVBand="0" w:evenVBand="0" w:oddHBand="0" w:evenHBand="0" w:firstRowFirstColumn="0" w:firstRowLastColumn="0" w:lastRowFirstColumn="0" w:lastRowLastColumn="0"/>
              <w:rPr>
                <w:sz w:val="19"/>
                <w:szCs w:val="19"/>
                <w:rtl/>
                <w:lang w:bidi="fa-IR"/>
              </w:rPr>
            </w:pPr>
            <w:r w:rsidRPr="00803B87">
              <w:rPr>
                <w:sz w:val="19"/>
                <w:szCs w:val="19"/>
                <w:lang w:bidi="fa-IR"/>
              </w:rPr>
              <w:t xml:space="preserve">Size, dimension, measurement, height, area, density, extension, geometry, proportion, composition, form, rotation angle, </w:t>
            </w:r>
            <w:r w:rsidRPr="00803B87">
              <w:rPr>
                <w:sz w:val="19"/>
                <w:szCs w:val="19"/>
              </w:rPr>
              <w:t xml:space="preserve">typology, </w:t>
            </w:r>
            <w:r w:rsidRPr="00803B87">
              <w:rPr>
                <w:sz w:val="19"/>
                <w:szCs w:val="19"/>
                <w:lang w:bidi="fa-IR"/>
              </w:rPr>
              <w:t xml:space="preserve">plan type, module, pattern, </w:t>
            </w:r>
            <w:r w:rsidRPr="00803B87">
              <w:rPr>
                <w:sz w:val="19"/>
                <w:szCs w:val="19"/>
              </w:rPr>
              <w:t>prototype,</w:t>
            </w:r>
            <w:r w:rsidRPr="00803B87">
              <w:rPr>
                <w:sz w:val="19"/>
                <w:szCs w:val="19"/>
                <w:lang w:bidi="fa-IR"/>
              </w:rPr>
              <w:t xml:space="preserve"> </w:t>
            </w:r>
            <w:r w:rsidRPr="00803B87">
              <w:rPr>
                <w:sz w:val="19"/>
                <w:szCs w:val="19"/>
              </w:rPr>
              <w:t xml:space="preserve">color, </w:t>
            </w:r>
            <w:r w:rsidRPr="00803B87">
              <w:rPr>
                <w:sz w:val="19"/>
                <w:szCs w:val="19"/>
                <w:lang w:bidi="fa-IR"/>
              </w:rPr>
              <w:t>brightness, diffusion, usability, reliability,</w:t>
            </w:r>
            <w:r w:rsidRPr="00803B87">
              <w:rPr>
                <w:sz w:val="19"/>
                <w:szCs w:val="19"/>
              </w:rPr>
              <w:t xml:space="preserve"> </w:t>
            </w:r>
            <w:r w:rsidRPr="00803B87">
              <w:rPr>
                <w:sz w:val="19"/>
                <w:szCs w:val="19"/>
                <w:lang w:bidi="fa-IR"/>
              </w:rPr>
              <w:t>reproducibility, variability, accessibility, availabilities, room connectivity, connectivity, visibility, circulation, space syntax</w:t>
            </w:r>
          </w:p>
        </w:tc>
      </w:tr>
      <w:tr w:rsidR="00A677C2" w:rsidRPr="00803B87" w:rsidTr="00A46E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 w:type="dxa"/>
            <w:vMerge/>
          </w:tcPr>
          <w:p w:rsidR="00A677C2" w:rsidRPr="00803B87" w:rsidRDefault="00A677C2" w:rsidP="00A46E80">
            <w:pPr>
              <w:spacing w:line="240" w:lineRule="auto"/>
              <w:jc w:val="both"/>
              <w:rPr>
                <w:rFonts w:ascii="Arial"/>
                <w:sz w:val="19"/>
                <w:szCs w:val="19"/>
                <w:rtl/>
              </w:rPr>
            </w:pPr>
          </w:p>
        </w:tc>
        <w:tc>
          <w:tcPr>
            <w:tcW w:w="1483" w:type="dxa"/>
          </w:tcPr>
          <w:p w:rsidR="00A677C2" w:rsidRPr="00803B87" w:rsidRDefault="00A677C2" w:rsidP="00A46E80">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b/>
                <w:bCs/>
                <w:sz w:val="19"/>
                <w:szCs w:val="19"/>
                <w:rtl/>
              </w:rPr>
            </w:pPr>
            <w:r w:rsidRPr="00803B87">
              <w:rPr>
                <w:b/>
                <w:bCs/>
                <w:sz w:val="19"/>
                <w:szCs w:val="19"/>
              </w:rPr>
              <w:t>Fundamental concepts of architecture</w:t>
            </w:r>
          </w:p>
        </w:tc>
        <w:tc>
          <w:tcPr>
            <w:tcW w:w="7423" w:type="dxa"/>
          </w:tcPr>
          <w:p w:rsidR="00A677C2" w:rsidRPr="00803B87" w:rsidRDefault="00A677C2" w:rsidP="00A46E80">
            <w:pPr>
              <w:spacing w:line="240" w:lineRule="auto"/>
              <w:jc w:val="both"/>
              <w:cnfStyle w:val="000000100000" w:firstRow="0" w:lastRow="0" w:firstColumn="0" w:lastColumn="0" w:oddVBand="0" w:evenVBand="0" w:oddHBand="1" w:evenHBand="0" w:firstRowFirstColumn="0" w:firstRowLastColumn="0" w:lastRowFirstColumn="0" w:lastRowLastColumn="0"/>
              <w:rPr>
                <w:sz w:val="19"/>
                <w:szCs w:val="19"/>
                <w:rtl/>
                <w:lang w:bidi="fa-IR"/>
              </w:rPr>
            </w:pPr>
            <w:r w:rsidRPr="00803B87">
              <w:rPr>
                <w:sz w:val="19"/>
                <w:szCs w:val="19"/>
                <w:lang w:bidi="fa-IR"/>
              </w:rPr>
              <w:t xml:space="preserve">Boundary, territory, privacy, place, security, safety, crime prevent, amenity, sense of home, place making, place attachment, aging in place, caregiving, locality, distance between building, habitability, perception, experience, </w:t>
            </w:r>
            <w:hyperlink r:id="rId30" w:history="1">
              <w:r w:rsidRPr="00803B87">
                <w:rPr>
                  <w:rStyle w:val="Hyperlink"/>
                  <w:color w:val="auto"/>
                  <w:sz w:val="19"/>
                  <w:szCs w:val="19"/>
                  <w:u w:val="none"/>
                </w:rPr>
                <w:t>comfort</w:t>
              </w:r>
            </w:hyperlink>
            <w:r w:rsidRPr="00803B87">
              <w:rPr>
                <w:rStyle w:val="Hyperlink"/>
                <w:color w:val="auto"/>
                <w:sz w:val="19"/>
                <w:szCs w:val="19"/>
                <w:u w:val="none"/>
              </w:rPr>
              <w:t>,</w:t>
            </w:r>
            <w:r w:rsidRPr="00803B87">
              <w:rPr>
                <w:sz w:val="19"/>
                <w:szCs w:val="19"/>
                <w:lang w:bidi="fa-IR"/>
              </w:rPr>
              <w:t xml:space="preserve"> signage,</w:t>
            </w:r>
            <w:r w:rsidRPr="00803B87">
              <w:rPr>
                <w:sz w:val="19"/>
                <w:szCs w:val="19"/>
              </w:rPr>
              <w:t xml:space="preserve"> </w:t>
            </w:r>
            <w:hyperlink r:id="rId31" w:history="1">
              <w:r w:rsidRPr="00803B87">
                <w:rPr>
                  <w:rStyle w:val="Hyperlink"/>
                  <w:rFonts w:eastAsia="Meiryo"/>
                  <w:color w:val="auto"/>
                  <w:sz w:val="19"/>
                  <w:szCs w:val="19"/>
                  <w:u w:val="none"/>
                  <w:bdr w:val="none" w:sz="0" w:space="0" w:color="auto" w:frame="1"/>
                </w:rPr>
                <w:t>minimalism</w:t>
              </w:r>
            </w:hyperlink>
            <w:r w:rsidRPr="00803B87">
              <w:rPr>
                <w:rFonts w:eastAsia="Meiryo"/>
                <w:sz w:val="19"/>
                <w:szCs w:val="19"/>
              </w:rPr>
              <w:t xml:space="preserve">, </w:t>
            </w:r>
            <w:hyperlink r:id="rId32" w:history="1">
              <w:r w:rsidRPr="00803B87">
                <w:rPr>
                  <w:rStyle w:val="Hyperlink"/>
                  <w:rFonts w:eastAsia="Meiryo"/>
                  <w:color w:val="auto"/>
                  <w:sz w:val="19"/>
                  <w:szCs w:val="19"/>
                  <w:u w:val="none"/>
                  <w:bdr w:val="none" w:sz="0" w:space="0" w:color="auto" w:frame="1"/>
                </w:rPr>
                <w:t>phenomenology</w:t>
              </w:r>
            </w:hyperlink>
            <w:r w:rsidRPr="00803B87">
              <w:rPr>
                <w:rFonts w:eastAsia="Meiryo"/>
                <w:sz w:val="19"/>
                <w:szCs w:val="19"/>
              </w:rPr>
              <w:t>,</w:t>
            </w:r>
            <w:r w:rsidRPr="00803B87">
              <w:rPr>
                <w:sz w:val="19"/>
                <w:szCs w:val="19"/>
                <w:lang w:bidi="fa-IR"/>
              </w:rPr>
              <w:t xml:space="preserve"> openness, robustness, robustness, </w:t>
            </w:r>
            <w:hyperlink r:id="rId33" w:history="1">
              <w:r w:rsidRPr="00803B87">
                <w:rPr>
                  <w:rStyle w:val="Hyperlink"/>
                  <w:rFonts w:eastAsia="Meiryo"/>
                  <w:color w:val="auto"/>
                  <w:sz w:val="19"/>
                  <w:szCs w:val="19"/>
                  <w:u w:val="none"/>
                  <w:bdr w:val="none" w:sz="0" w:space="0" w:color="auto" w:frame="1"/>
                </w:rPr>
                <w:t>thingness</w:t>
              </w:r>
            </w:hyperlink>
            <w:r w:rsidRPr="00803B87">
              <w:rPr>
                <w:rStyle w:val="Hyperlink"/>
                <w:rFonts w:eastAsia="Meiryo"/>
                <w:color w:val="auto"/>
                <w:sz w:val="19"/>
                <w:szCs w:val="19"/>
                <w:u w:val="none"/>
                <w:bdr w:val="none" w:sz="0" w:space="0" w:color="auto" w:frame="1"/>
              </w:rPr>
              <w:t xml:space="preserve">, </w:t>
            </w:r>
            <w:r w:rsidRPr="00803B87">
              <w:rPr>
                <w:sz w:val="19"/>
                <w:szCs w:val="19"/>
                <w:lang w:bidi="fa-IR"/>
              </w:rPr>
              <w:t>capacity</w:t>
            </w:r>
          </w:p>
        </w:tc>
      </w:tr>
      <w:tr w:rsidR="00A677C2" w:rsidRPr="00803B87" w:rsidTr="00A46E80">
        <w:tc>
          <w:tcPr>
            <w:cnfStyle w:val="001000000000" w:firstRow="0" w:lastRow="0" w:firstColumn="1" w:lastColumn="0" w:oddVBand="0" w:evenVBand="0" w:oddHBand="0" w:evenHBand="0" w:firstRowFirstColumn="0" w:firstRowLastColumn="0" w:lastRowFirstColumn="0" w:lastRowLastColumn="0"/>
            <w:tcW w:w="454" w:type="dxa"/>
            <w:vMerge/>
          </w:tcPr>
          <w:p w:rsidR="00A677C2" w:rsidRPr="00803B87" w:rsidRDefault="00A677C2" w:rsidP="00A46E80">
            <w:pPr>
              <w:spacing w:line="240" w:lineRule="auto"/>
              <w:jc w:val="both"/>
              <w:rPr>
                <w:rFonts w:ascii="Arial"/>
                <w:sz w:val="19"/>
                <w:szCs w:val="19"/>
                <w:rtl/>
              </w:rPr>
            </w:pPr>
          </w:p>
        </w:tc>
        <w:tc>
          <w:tcPr>
            <w:tcW w:w="1483" w:type="dxa"/>
          </w:tcPr>
          <w:p w:rsidR="00A677C2" w:rsidRPr="00803B87" w:rsidRDefault="00A677C2" w:rsidP="00A46E80">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b/>
                <w:bCs/>
                <w:sz w:val="19"/>
                <w:szCs w:val="19"/>
                <w:rtl/>
              </w:rPr>
            </w:pPr>
            <w:r w:rsidRPr="00803B87">
              <w:rPr>
                <w:b/>
                <w:bCs/>
                <w:sz w:val="19"/>
                <w:szCs w:val="19"/>
              </w:rPr>
              <w:t>Standards and codes</w:t>
            </w:r>
          </w:p>
        </w:tc>
        <w:tc>
          <w:tcPr>
            <w:tcW w:w="7423" w:type="dxa"/>
          </w:tcPr>
          <w:p w:rsidR="00A677C2" w:rsidRPr="00803B87" w:rsidRDefault="00A677C2" w:rsidP="00A46E80">
            <w:pPr>
              <w:spacing w:line="240" w:lineRule="auto"/>
              <w:jc w:val="both"/>
              <w:cnfStyle w:val="000000000000" w:firstRow="0" w:lastRow="0" w:firstColumn="0" w:lastColumn="0" w:oddVBand="0" w:evenVBand="0" w:oddHBand="0" w:evenHBand="0" w:firstRowFirstColumn="0" w:firstRowLastColumn="0" w:lastRowFirstColumn="0" w:lastRowLastColumn="0"/>
              <w:rPr>
                <w:sz w:val="19"/>
                <w:szCs w:val="19"/>
                <w:rtl/>
                <w:lang w:bidi="fa-IR"/>
              </w:rPr>
            </w:pPr>
            <w:r w:rsidRPr="00803B87">
              <w:rPr>
                <w:sz w:val="19"/>
                <w:szCs w:val="19"/>
                <w:lang w:bidi="fa-IR"/>
              </w:rPr>
              <w:t>Sound level, acoustic insulation, insulation, noise,</w:t>
            </w:r>
            <w:r w:rsidRPr="00803B87">
              <w:rPr>
                <w:sz w:val="19"/>
                <w:szCs w:val="19"/>
              </w:rPr>
              <w:t xml:space="preserve"> Indoor noise,</w:t>
            </w:r>
            <w:r w:rsidRPr="00803B87">
              <w:rPr>
                <w:sz w:val="19"/>
                <w:szCs w:val="19"/>
                <w:lang w:bidi="fa-IR"/>
              </w:rPr>
              <w:t xml:space="preserve"> </w:t>
            </w:r>
            <w:r w:rsidRPr="00803B87">
              <w:rPr>
                <w:sz w:val="19"/>
                <w:szCs w:val="19"/>
              </w:rPr>
              <w:t>acoustic performance,</w:t>
            </w:r>
            <w:r w:rsidRPr="00803B87">
              <w:rPr>
                <w:sz w:val="19"/>
                <w:szCs w:val="19"/>
                <w:lang w:bidi="fa-IR"/>
              </w:rPr>
              <w:t xml:space="preserve"> time use data, management, facility management, </w:t>
            </w:r>
            <w:r w:rsidRPr="00803B87">
              <w:rPr>
                <w:sz w:val="19"/>
                <w:szCs w:val="19"/>
              </w:rPr>
              <w:t xml:space="preserve">planning, </w:t>
            </w:r>
            <w:r w:rsidRPr="00803B87">
              <w:rPr>
                <w:sz w:val="19"/>
                <w:szCs w:val="19"/>
                <w:lang w:bidi="fa-IR"/>
              </w:rPr>
              <w:t xml:space="preserve">production strategies, distributed control, assessment, </w:t>
            </w:r>
            <w:hyperlink r:id="rId34" w:history="1">
              <w:r w:rsidRPr="00803B87">
                <w:rPr>
                  <w:rStyle w:val="Hyperlink"/>
                  <w:color w:val="auto"/>
                  <w:sz w:val="19"/>
                  <w:szCs w:val="19"/>
                  <w:u w:val="none"/>
                </w:rPr>
                <w:t>optimization</w:t>
              </w:r>
            </w:hyperlink>
            <w:r w:rsidRPr="00803B87">
              <w:rPr>
                <w:rStyle w:val="Hyperlink"/>
                <w:color w:val="auto"/>
                <w:sz w:val="19"/>
                <w:szCs w:val="19"/>
                <w:u w:val="none"/>
              </w:rPr>
              <w:t>,</w:t>
            </w:r>
            <w:r w:rsidRPr="00803B87">
              <w:rPr>
                <w:sz w:val="19"/>
                <w:szCs w:val="19"/>
                <w:lang w:bidi="fa-IR"/>
              </w:rPr>
              <w:t xml:space="preserve"> decision making, monitoring, construction, standardization, automation, industrialization, technology, restoration, renovate, revitalization, conservation, renewal, production, prefabrication, costs, economics, performance evaluation, post occupancy evaluation, </w:t>
            </w:r>
            <w:r w:rsidRPr="00803B87">
              <w:rPr>
                <w:sz w:val="19"/>
                <w:szCs w:val="19"/>
              </w:rPr>
              <w:t>sensitivity evaluation,</w:t>
            </w:r>
            <w:r w:rsidRPr="00803B87">
              <w:rPr>
                <w:sz w:val="19"/>
                <w:szCs w:val="19"/>
                <w:lang w:bidi="fa-IR"/>
              </w:rPr>
              <w:t xml:space="preserve"> structure, structural performance, load matching, seismic vulnerability, building system, turbulence, earthquake engineering, earthquake damage,</w:t>
            </w:r>
            <w:r w:rsidRPr="00803B87">
              <w:rPr>
                <w:sz w:val="19"/>
                <w:szCs w:val="19"/>
              </w:rPr>
              <w:t xml:space="preserve"> no engineered house, seismic design, </w:t>
            </w:r>
            <w:r w:rsidRPr="00803B87">
              <w:rPr>
                <w:sz w:val="19"/>
                <w:szCs w:val="19"/>
                <w:lang w:bidi="fa-IR"/>
              </w:rPr>
              <w:t>seismicity, modelling, simulation, design, engineering design (AD), GIS, AHP</w:t>
            </w:r>
            <w:r w:rsidRPr="00803B87">
              <w:rPr>
                <w:sz w:val="19"/>
                <w:szCs w:val="19"/>
              </w:rPr>
              <w:t xml:space="preserve">, </w:t>
            </w:r>
            <w:r w:rsidRPr="00803B87">
              <w:rPr>
                <w:sz w:val="19"/>
                <w:szCs w:val="19"/>
                <w:lang w:bidi="fa-IR"/>
              </w:rPr>
              <w:t xml:space="preserve">space spatial configuration, </w:t>
            </w:r>
            <w:r w:rsidRPr="00803B87">
              <w:rPr>
                <w:sz w:val="19"/>
                <w:szCs w:val="19"/>
              </w:rPr>
              <w:t xml:space="preserve">spatial configuration, </w:t>
            </w:r>
            <w:r w:rsidRPr="00803B87">
              <w:rPr>
                <w:sz w:val="19"/>
                <w:szCs w:val="19"/>
                <w:lang w:bidi="fa-IR"/>
              </w:rPr>
              <w:t xml:space="preserve">coding system, traditional architecture, vernacular architecture, domestic building, indigenous buildings, archetype, modernity, </w:t>
            </w:r>
            <w:r w:rsidRPr="00803B87">
              <w:rPr>
                <w:sz w:val="19"/>
                <w:szCs w:val="19"/>
              </w:rPr>
              <w:t xml:space="preserve">apartment complex, apartment house, </w:t>
            </w:r>
            <w:r w:rsidRPr="00803B87">
              <w:rPr>
                <w:sz w:val="19"/>
                <w:szCs w:val="19"/>
                <w:lang w:bidi="fa-IR"/>
              </w:rPr>
              <w:t>apartment building,</w:t>
            </w:r>
            <w:r w:rsidRPr="00803B87">
              <w:rPr>
                <w:sz w:val="19"/>
                <w:szCs w:val="19"/>
              </w:rPr>
              <w:t xml:space="preserve"> apartment unit</w:t>
            </w:r>
            <w:r w:rsidRPr="00803B87">
              <w:rPr>
                <w:sz w:val="19"/>
                <w:szCs w:val="19"/>
                <w:lang w:bidi="fa-IR"/>
              </w:rPr>
              <w:t>, townhouse, informal settlements, container housing,</w:t>
            </w:r>
            <w:r w:rsidRPr="00803B87">
              <w:rPr>
                <w:b/>
                <w:bCs/>
                <w:sz w:val="19"/>
                <w:szCs w:val="19"/>
              </w:rPr>
              <w:t xml:space="preserve"> </w:t>
            </w:r>
            <w:r w:rsidRPr="00803B87">
              <w:rPr>
                <w:sz w:val="19"/>
                <w:szCs w:val="19"/>
                <w:lang w:bidi="fa-IR"/>
              </w:rPr>
              <w:t>multifamily housing, isolated family house, individual housing units, core housing, public housing, house sharing, minimum habitable dwelling, multi dwelling system, courtyard house, townhouse, townscape, high rise building</w:t>
            </w:r>
            <w:r w:rsidRPr="00803B87">
              <w:rPr>
                <w:sz w:val="19"/>
                <w:szCs w:val="19"/>
              </w:rPr>
              <w:t xml:space="preserve">, </w:t>
            </w:r>
            <w:r w:rsidRPr="00803B87">
              <w:rPr>
                <w:sz w:val="19"/>
                <w:szCs w:val="19"/>
                <w:lang w:bidi="fa-IR"/>
              </w:rPr>
              <w:t>midrise buildings, low rise building, high density housing, urban housing, suburbanization, small scale settlement,  smart home, smart building, intelligent environment, responsive architecture, tourism, migration, nationalism</w:t>
            </w:r>
          </w:p>
        </w:tc>
      </w:tr>
      <w:tr w:rsidR="00A677C2" w:rsidRPr="00803B87" w:rsidTr="00A46E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 w:type="dxa"/>
            <w:vMerge/>
          </w:tcPr>
          <w:p w:rsidR="00A677C2" w:rsidRPr="00803B87" w:rsidRDefault="00A677C2" w:rsidP="00A46E80">
            <w:pPr>
              <w:spacing w:line="240" w:lineRule="auto"/>
              <w:jc w:val="both"/>
              <w:rPr>
                <w:rFonts w:ascii="Arial"/>
                <w:sz w:val="19"/>
                <w:szCs w:val="19"/>
                <w:rtl/>
              </w:rPr>
            </w:pPr>
          </w:p>
        </w:tc>
        <w:tc>
          <w:tcPr>
            <w:tcW w:w="1483" w:type="dxa"/>
          </w:tcPr>
          <w:p w:rsidR="00A677C2" w:rsidRPr="00803B87" w:rsidRDefault="00A677C2" w:rsidP="00A46E80">
            <w:pPr>
              <w:spacing w:line="240" w:lineRule="auto"/>
              <w:jc w:val="both"/>
              <w:cnfStyle w:val="000000100000" w:firstRow="0" w:lastRow="0" w:firstColumn="0" w:lastColumn="0" w:oddVBand="0" w:evenVBand="0" w:oddHBand="1" w:evenHBand="0" w:firstRowFirstColumn="0" w:firstRowLastColumn="0" w:lastRowFirstColumn="0" w:lastRowLastColumn="0"/>
              <w:rPr>
                <w:rFonts w:ascii="Arial"/>
                <w:b/>
                <w:bCs/>
                <w:sz w:val="19"/>
                <w:szCs w:val="19"/>
                <w:rtl/>
              </w:rPr>
            </w:pPr>
            <w:r w:rsidRPr="00803B87">
              <w:rPr>
                <w:b/>
                <w:bCs/>
                <w:sz w:val="19"/>
                <w:szCs w:val="19"/>
              </w:rPr>
              <w:t>Psychological and social concepts</w:t>
            </w:r>
          </w:p>
        </w:tc>
        <w:tc>
          <w:tcPr>
            <w:tcW w:w="7423" w:type="dxa"/>
          </w:tcPr>
          <w:p w:rsidR="00A677C2" w:rsidRPr="00803B87" w:rsidRDefault="00A677C2" w:rsidP="005462C9">
            <w:pPr>
              <w:spacing w:line="240" w:lineRule="auto"/>
              <w:jc w:val="both"/>
              <w:cnfStyle w:val="000000100000" w:firstRow="0" w:lastRow="0" w:firstColumn="0" w:lastColumn="0" w:oddVBand="0" w:evenVBand="0" w:oddHBand="1" w:evenHBand="0" w:firstRowFirstColumn="0" w:firstRowLastColumn="0" w:lastRowFirstColumn="0" w:lastRowLastColumn="0"/>
              <w:rPr>
                <w:sz w:val="19"/>
                <w:szCs w:val="19"/>
                <w:rtl/>
                <w:lang w:bidi="fa-IR"/>
              </w:rPr>
            </w:pPr>
            <w:r w:rsidRPr="00803B87">
              <w:rPr>
                <w:sz w:val="19"/>
                <w:szCs w:val="19"/>
                <w:lang w:bidi="fa-IR"/>
              </w:rPr>
              <w:t xml:space="preserve">Activity, behavior, habit, inhabitant characteristics, needs and expectation, social interaction, social relationships, social structure, participation, family </w:t>
            </w:r>
            <w:r w:rsidR="00CB1E2E" w:rsidRPr="00803B87">
              <w:rPr>
                <w:sz w:val="19"/>
                <w:szCs w:val="19"/>
                <w:lang w:bidi="fa-IR"/>
              </w:rPr>
              <w:t>interaction</w:t>
            </w:r>
            <w:r w:rsidRPr="00803B87">
              <w:rPr>
                <w:sz w:val="19"/>
                <w:szCs w:val="19"/>
                <w:lang w:bidi="fa-IR"/>
              </w:rPr>
              <w:t xml:space="preserve">, social network, communication, </w:t>
            </w:r>
            <w:r w:rsidRPr="00803B87">
              <w:rPr>
                <w:sz w:val="19"/>
                <w:szCs w:val="19"/>
              </w:rPr>
              <w:t xml:space="preserve">sense of </w:t>
            </w:r>
            <w:r w:rsidR="00CB1E2E" w:rsidRPr="00803B87">
              <w:rPr>
                <w:sz w:val="19"/>
                <w:szCs w:val="19"/>
              </w:rPr>
              <w:t>place</w:t>
            </w:r>
            <w:r w:rsidRPr="00803B87">
              <w:rPr>
                <w:sz w:val="19"/>
                <w:szCs w:val="19"/>
              </w:rPr>
              <w:t>,</w:t>
            </w:r>
            <w:r w:rsidRPr="00803B87">
              <w:rPr>
                <w:sz w:val="19"/>
                <w:szCs w:val="19"/>
                <w:lang w:bidi="fa-IR"/>
              </w:rPr>
              <w:t xml:space="preserve"> hospitality, lifestyle, life cycle, future</w:t>
            </w:r>
            <w:r w:rsidR="00CB1E2E" w:rsidRPr="00803B87">
              <w:rPr>
                <w:sz w:val="19"/>
                <w:szCs w:val="19"/>
                <w:lang w:bidi="fa-IR"/>
              </w:rPr>
              <w:t xml:space="preserve"> living, quality of life (QOL)</w:t>
            </w:r>
            <w:r w:rsidRPr="00803B87">
              <w:rPr>
                <w:sz w:val="19"/>
                <w:szCs w:val="19"/>
                <w:lang w:bidi="fa-IR"/>
              </w:rPr>
              <w:t xml:space="preserve">, </w:t>
            </w:r>
            <w:r w:rsidR="00CB1E2E" w:rsidRPr="00803B87">
              <w:rPr>
                <w:sz w:val="19"/>
                <w:szCs w:val="19"/>
                <w:lang w:bidi="fa-IR"/>
              </w:rPr>
              <w:t>menta</w:t>
            </w:r>
            <w:r w:rsidRPr="00803B87">
              <w:rPr>
                <w:sz w:val="19"/>
                <w:szCs w:val="19"/>
                <w:lang w:bidi="fa-IR"/>
              </w:rPr>
              <w:t>l health, health promoting environment, creativity, innovation, identity, built environment, physical environment, living environment, neighborhood environment, home environment, flexibility, uniformity, compliance,</w:t>
            </w:r>
            <w:r w:rsidRPr="00803B87">
              <w:rPr>
                <w:sz w:val="19"/>
                <w:szCs w:val="19"/>
                <w:rtl/>
                <w:lang w:bidi="fa-IR"/>
              </w:rPr>
              <w:t xml:space="preserve"> </w:t>
            </w:r>
            <w:r w:rsidRPr="00803B87">
              <w:rPr>
                <w:sz w:val="19"/>
                <w:szCs w:val="19"/>
                <w:lang w:bidi="fa-IR"/>
              </w:rPr>
              <w:t xml:space="preserve">compatibility, adaptation, affordability, </w:t>
            </w:r>
            <w:r w:rsidRPr="00803B87">
              <w:rPr>
                <w:sz w:val="19"/>
                <w:szCs w:val="19"/>
              </w:rPr>
              <w:t>satisfaction, user convenience,</w:t>
            </w:r>
            <w:r w:rsidRPr="00803B87">
              <w:rPr>
                <w:sz w:val="19"/>
                <w:szCs w:val="19"/>
                <w:lang w:bidi="fa-IR"/>
              </w:rPr>
              <w:t xml:space="preserve"> function</w:t>
            </w:r>
            <w:r w:rsidR="00CB1E2E" w:rsidRPr="00803B87">
              <w:rPr>
                <w:sz w:val="19"/>
                <w:szCs w:val="19"/>
                <w:lang w:bidi="fa-IR"/>
              </w:rPr>
              <w:t>ality</w:t>
            </w:r>
            <w:r w:rsidRPr="00803B87">
              <w:rPr>
                <w:sz w:val="19"/>
                <w:szCs w:val="19"/>
                <w:lang w:bidi="fa-IR"/>
              </w:rPr>
              <w:t xml:space="preserve">, performance, aesthetic, transparency, quality, </w:t>
            </w:r>
            <w:hyperlink r:id="rId35" w:history="1">
              <w:r w:rsidRPr="00803B87">
                <w:rPr>
                  <w:rStyle w:val="Hyperlink"/>
                  <w:rFonts w:eastAsia="Meiryo"/>
                  <w:color w:val="auto"/>
                  <w:sz w:val="19"/>
                  <w:szCs w:val="19"/>
                  <w:u w:val="none"/>
                  <w:bdr w:val="none" w:sz="0" w:space="0" w:color="auto" w:frame="1"/>
                </w:rPr>
                <w:t>house-values</w:t>
              </w:r>
            </w:hyperlink>
            <w:r w:rsidRPr="00803B87">
              <w:rPr>
                <w:rFonts w:eastAsia="Meiryo"/>
                <w:sz w:val="19"/>
                <w:szCs w:val="19"/>
              </w:rPr>
              <w:t>,</w:t>
            </w:r>
            <w:r w:rsidRPr="00803B87">
              <w:rPr>
                <w:sz w:val="19"/>
                <w:szCs w:val="19"/>
                <w:lang w:bidi="fa-IR"/>
              </w:rPr>
              <w:t xml:space="preserve"> culture, socio-cultural factors, socio-economic, heritage, history, locality, </w:t>
            </w:r>
            <w:r w:rsidR="005462C9" w:rsidRPr="00803B87">
              <w:rPr>
                <w:sz w:val="19"/>
                <w:szCs w:val="19"/>
                <w:lang w:bidi="fa-IR"/>
              </w:rPr>
              <w:t>arena</w:t>
            </w:r>
            <w:r w:rsidRPr="00803B87">
              <w:rPr>
                <w:sz w:val="19"/>
                <w:szCs w:val="19"/>
                <w:lang w:bidi="fa-IR"/>
              </w:rPr>
              <w:t>, tradition</w:t>
            </w:r>
          </w:p>
        </w:tc>
      </w:tr>
    </w:tbl>
    <w:p w:rsidR="00C5463D" w:rsidRDefault="00C5463D" w:rsidP="002C3F3E">
      <w:pPr>
        <w:spacing w:line="276" w:lineRule="auto"/>
        <w:jc w:val="both"/>
      </w:pPr>
    </w:p>
    <w:p w:rsidR="008C7994" w:rsidRPr="00803B87" w:rsidRDefault="008C7994" w:rsidP="002C3F3E">
      <w:pPr>
        <w:spacing w:line="276" w:lineRule="auto"/>
        <w:jc w:val="both"/>
        <w:rPr>
          <w:rFonts w:asciiTheme="majorBidi" w:hAnsiTheme="majorBidi" w:cstheme="majorBidi"/>
          <w:sz w:val="22"/>
          <w:szCs w:val="22"/>
        </w:rPr>
      </w:pPr>
      <w:r w:rsidRPr="00803B87">
        <w:rPr>
          <w:rFonts w:asciiTheme="majorBidi" w:hAnsiTheme="majorBidi" w:cstheme="majorBidi"/>
          <w:sz w:val="22"/>
          <w:szCs w:val="22"/>
        </w:rPr>
        <w:t xml:space="preserve">With regard to the studied variables, it is observed that </w:t>
      </w:r>
      <w:r w:rsidR="009B00AA" w:rsidRPr="00803B87">
        <w:rPr>
          <w:rFonts w:asciiTheme="majorBidi" w:hAnsiTheme="majorBidi" w:cstheme="majorBidi"/>
          <w:sz w:val="22"/>
          <w:szCs w:val="22"/>
        </w:rPr>
        <w:t>psychological and social concepts, fundamental concepts of architecture and environmental factors with respectively 36.88, 25.03 and 13.84 percent include three quarters of subjects which are studied in</w:t>
      </w:r>
      <w:r w:rsidRPr="00803B87">
        <w:rPr>
          <w:rFonts w:asciiTheme="majorBidi" w:hAnsiTheme="majorBidi" w:cstheme="majorBidi"/>
          <w:sz w:val="22"/>
          <w:szCs w:val="22"/>
        </w:rPr>
        <w:t xml:space="preserve"> Persian articles.</w:t>
      </w:r>
      <w:r w:rsidR="009B00AA" w:rsidRPr="00803B87">
        <w:rPr>
          <w:rFonts w:asciiTheme="majorBidi" w:hAnsiTheme="majorBidi" w:cstheme="majorBidi"/>
          <w:sz w:val="22"/>
          <w:szCs w:val="22"/>
        </w:rPr>
        <w:t xml:space="preserve"> Thus, these areas consist of the most important factors about Iranian houses. </w:t>
      </w:r>
      <w:r w:rsidRPr="00803B87">
        <w:rPr>
          <w:rFonts w:asciiTheme="majorBidi" w:hAnsiTheme="majorBidi" w:cstheme="majorBidi"/>
          <w:sz w:val="22"/>
          <w:szCs w:val="22"/>
        </w:rPr>
        <w:t xml:space="preserve">Geometry and </w:t>
      </w:r>
      <w:r w:rsidRPr="00803B87">
        <w:rPr>
          <w:rFonts w:asciiTheme="majorBidi" w:hAnsiTheme="majorBidi" w:cstheme="majorBidi"/>
          <w:sz w:val="22"/>
          <w:szCs w:val="22"/>
        </w:rPr>
        <w:lastRenderedPageBreak/>
        <w:t xml:space="preserve">proportions, architectural elements, and standards and codes have been challenged after the above variables (Figure 4). In contrast, in international papers, environmental factors, standards and codes, and psychological and social concepts </w:t>
      </w:r>
      <w:r w:rsidR="00B862B3" w:rsidRPr="00803B87">
        <w:rPr>
          <w:rFonts w:asciiTheme="majorBidi" w:hAnsiTheme="majorBidi" w:cstheme="majorBidi"/>
          <w:sz w:val="22"/>
          <w:szCs w:val="22"/>
        </w:rPr>
        <w:t xml:space="preserve">with 85.46% </w:t>
      </w:r>
      <w:r w:rsidRPr="00803B87">
        <w:rPr>
          <w:rFonts w:asciiTheme="majorBidi" w:hAnsiTheme="majorBidi" w:cstheme="majorBidi"/>
          <w:sz w:val="22"/>
          <w:szCs w:val="22"/>
        </w:rPr>
        <w:t xml:space="preserve">have been more emphasized while geometry and proportions, architectural elements, and fundamental architectural concepts have been addressed almost equally after the first three variables (Figure 5). Iranian articles have </w:t>
      </w:r>
      <w:r w:rsidR="00B862B3" w:rsidRPr="00803B87">
        <w:rPr>
          <w:rFonts w:asciiTheme="majorBidi" w:hAnsiTheme="majorBidi" w:cstheme="majorBidi"/>
          <w:sz w:val="22"/>
          <w:szCs w:val="22"/>
        </w:rPr>
        <w:t xml:space="preserve">been </w:t>
      </w:r>
      <w:r w:rsidRPr="00803B87">
        <w:rPr>
          <w:rFonts w:asciiTheme="majorBidi" w:hAnsiTheme="majorBidi" w:cstheme="majorBidi"/>
          <w:sz w:val="22"/>
          <w:szCs w:val="22"/>
        </w:rPr>
        <w:t xml:space="preserve">mostly </w:t>
      </w:r>
      <w:r w:rsidR="00B862B3" w:rsidRPr="00803B87">
        <w:rPr>
          <w:rFonts w:asciiTheme="majorBidi" w:hAnsiTheme="majorBidi" w:cstheme="majorBidi"/>
          <w:sz w:val="22"/>
          <w:szCs w:val="22"/>
        </w:rPr>
        <w:t>concentrated on</w:t>
      </w:r>
      <w:r w:rsidRPr="00803B87">
        <w:rPr>
          <w:rFonts w:asciiTheme="majorBidi" w:hAnsiTheme="majorBidi" w:cstheme="majorBidi"/>
          <w:sz w:val="22"/>
          <w:szCs w:val="22"/>
        </w:rPr>
        <w:t xml:space="preserve"> </w:t>
      </w:r>
      <w:r w:rsidR="00B862B3" w:rsidRPr="00803B87">
        <w:rPr>
          <w:rFonts w:asciiTheme="majorBidi" w:hAnsiTheme="majorBidi" w:cstheme="majorBidi"/>
          <w:sz w:val="22"/>
          <w:szCs w:val="22"/>
        </w:rPr>
        <w:t>conceptual</w:t>
      </w:r>
      <w:r w:rsidRPr="00803B87">
        <w:rPr>
          <w:rFonts w:asciiTheme="majorBidi" w:hAnsiTheme="majorBidi" w:cstheme="majorBidi"/>
          <w:sz w:val="22"/>
          <w:szCs w:val="22"/>
        </w:rPr>
        <w:t xml:space="preserve"> variables such as privacy, territory, unity, sign, and meaning, which are the </w:t>
      </w:r>
      <w:r w:rsidR="00B862B3" w:rsidRPr="00803B87">
        <w:rPr>
          <w:rFonts w:asciiTheme="majorBidi" w:hAnsiTheme="majorBidi" w:cstheme="majorBidi"/>
          <w:sz w:val="22"/>
          <w:szCs w:val="22"/>
        </w:rPr>
        <w:t>fundamental</w:t>
      </w:r>
      <w:r w:rsidRPr="00803B87">
        <w:rPr>
          <w:rFonts w:asciiTheme="majorBidi" w:hAnsiTheme="majorBidi" w:cstheme="majorBidi"/>
          <w:sz w:val="22"/>
          <w:szCs w:val="22"/>
        </w:rPr>
        <w:t xml:space="preserve"> </w:t>
      </w:r>
      <w:r w:rsidR="00B862B3" w:rsidRPr="00803B87">
        <w:rPr>
          <w:rFonts w:asciiTheme="majorBidi" w:hAnsiTheme="majorBidi" w:cstheme="majorBidi"/>
          <w:sz w:val="22"/>
          <w:szCs w:val="22"/>
        </w:rPr>
        <w:t>perceptions</w:t>
      </w:r>
      <w:r w:rsidRPr="00803B87">
        <w:rPr>
          <w:rFonts w:asciiTheme="majorBidi" w:hAnsiTheme="majorBidi" w:cstheme="majorBidi"/>
          <w:sz w:val="22"/>
          <w:szCs w:val="22"/>
        </w:rPr>
        <w:t xml:space="preserve"> </w:t>
      </w:r>
      <w:r w:rsidR="00B862B3" w:rsidRPr="00803B87">
        <w:rPr>
          <w:rFonts w:asciiTheme="majorBidi" w:hAnsiTheme="majorBidi" w:cstheme="majorBidi"/>
          <w:sz w:val="22"/>
          <w:szCs w:val="22"/>
        </w:rPr>
        <w:t>in</w:t>
      </w:r>
      <w:r w:rsidRPr="00803B87">
        <w:rPr>
          <w:rFonts w:asciiTheme="majorBidi" w:hAnsiTheme="majorBidi" w:cstheme="majorBidi"/>
          <w:sz w:val="22"/>
          <w:szCs w:val="22"/>
        </w:rPr>
        <w:t xml:space="preserve"> architecture, as well as factors such as satisfaction, adaptability, identity, place attachment, quality of life, lifestyle, and social relationships</w:t>
      </w:r>
      <w:r w:rsidR="005D12E1" w:rsidRPr="00803B87">
        <w:rPr>
          <w:rFonts w:asciiTheme="majorBidi" w:hAnsiTheme="majorBidi" w:cstheme="majorBidi"/>
          <w:sz w:val="22"/>
          <w:szCs w:val="22"/>
        </w:rPr>
        <w:t xml:space="preserve">. (This part moved to conclusion via recommendation of editor). </w:t>
      </w:r>
      <w:r w:rsidRPr="00803B87">
        <w:rPr>
          <w:rFonts w:asciiTheme="majorBidi" w:hAnsiTheme="majorBidi" w:cstheme="majorBidi"/>
          <w:sz w:val="22"/>
          <w:szCs w:val="22"/>
        </w:rPr>
        <w:t xml:space="preserve">The most challenging topics in international papers are sustainability, energy saving, in particular cooling and heating, as well as construction and design regulations. In other words, </w:t>
      </w:r>
      <w:r w:rsidR="005D12E1" w:rsidRPr="00803B87">
        <w:rPr>
          <w:rFonts w:asciiTheme="majorBidi" w:hAnsiTheme="majorBidi" w:cstheme="majorBidi"/>
          <w:sz w:val="22"/>
          <w:szCs w:val="22"/>
        </w:rPr>
        <w:t xml:space="preserve">due to statistics at hand, </w:t>
      </w:r>
      <w:r w:rsidRPr="00803B87">
        <w:rPr>
          <w:rFonts w:asciiTheme="majorBidi" w:hAnsiTheme="majorBidi" w:cstheme="majorBidi"/>
          <w:sz w:val="22"/>
          <w:szCs w:val="22"/>
        </w:rPr>
        <w:t xml:space="preserve">the global view puts more emphasis on </w:t>
      </w:r>
      <w:r w:rsidR="005D12E1" w:rsidRPr="00803B87">
        <w:rPr>
          <w:rFonts w:asciiTheme="majorBidi" w:hAnsiTheme="majorBidi" w:cstheme="majorBidi"/>
          <w:sz w:val="22"/>
          <w:szCs w:val="22"/>
        </w:rPr>
        <w:t>sustainability and energy in houses whilst the main issue of Iranian studies seem to be around psychological variables of housing. Based on this</w:t>
      </w:r>
      <w:r w:rsidR="002C3F3E" w:rsidRPr="00803B87">
        <w:rPr>
          <w:rFonts w:asciiTheme="majorBidi" w:hAnsiTheme="majorBidi" w:cstheme="majorBidi"/>
          <w:sz w:val="22"/>
          <w:szCs w:val="22"/>
        </w:rPr>
        <w:t xml:space="preserve"> comparison</w:t>
      </w:r>
      <w:r w:rsidR="005D12E1" w:rsidRPr="00803B87">
        <w:rPr>
          <w:rFonts w:asciiTheme="majorBidi" w:hAnsiTheme="majorBidi" w:cstheme="majorBidi"/>
          <w:sz w:val="22"/>
          <w:szCs w:val="22"/>
        </w:rPr>
        <w:t xml:space="preserve">, </w:t>
      </w:r>
      <w:r w:rsidR="002C3F3E" w:rsidRPr="00803B87">
        <w:rPr>
          <w:rFonts w:asciiTheme="majorBidi" w:hAnsiTheme="majorBidi" w:cstheme="majorBidi"/>
          <w:sz w:val="22"/>
          <w:szCs w:val="22"/>
        </w:rPr>
        <w:t>energy related subjects are carried out in Iran. On the other hand, as</w:t>
      </w:r>
      <w:r w:rsidRPr="00803B87">
        <w:rPr>
          <w:rFonts w:asciiTheme="majorBidi" w:hAnsiTheme="majorBidi" w:cstheme="majorBidi"/>
          <w:sz w:val="22"/>
          <w:szCs w:val="22"/>
        </w:rPr>
        <w:t xml:space="preserve"> houses are a place of people’s living and </w:t>
      </w:r>
      <w:r w:rsidR="000D5E66" w:rsidRPr="00803B87">
        <w:rPr>
          <w:rFonts w:asciiTheme="majorBidi" w:hAnsiTheme="majorBidi" w:cstheme="majorBidi"/>
          <w:sz w:val="22"/>
          <w:szCs w:val="22"/>
        </w:rPr>
        <w:t>tranquillity</w:t>
      </w:r>
      <w:r w:rsidRPr="00803B87">
        <w:rPr>
          <w:rFonts w:asciiTheme="majorBidi" w:hAnsiTheme="majorBidi" w:cstheme="majorBidi"/>
          <w:sz w:val="22"/>
          <w:szCs w:val="22"/>
        </w:rPr>
        <w:t>, and a purely quantitative view of housing pushes its architecture towards constructing a mechanical space. Therefore, the review of qualitative variables is also inadequate in international studies.</w:t>
      </w:r>
    </w:p>
    <w:p w:rsidR="00A677C2" w:rsidRPr="002911ED" w:rsidRDefault="00162F87" w:rsidP="00A677C2">
      <w:pPr>
        <w:jc w:val="center"/>
        <w:rPr>
          <w:sz w:val="18"/>
          <w:szCs w:val="18"/>
          <w:rtl/>
        </w:rPr>
      </w:pPr>
      <w:r w:rsidRPr="002911ED">
        <w:rPr>
          <w:sz w:val="18"/>
          <w:szCs w:val="18"/>
        </w:rPr>
        <w:t>Figure</w:t>
      </w:r>
      <w:r w:rsidR="00A677C2" w:rsidRPr="002911ED">
        <w:rPr>
          <w:sz w:val="18"/>
          <w:szCs w:val="18"/>
        </w:rPr>
        <w:t xml:space="preserve">4. Scale of areas studied </w:t>
      </w:r>
      <w:r w:rsidR="00A677C2" w:rsidRPr="002911ED">
        <w:rPr>
          <w:sz w:val="18"/>
          <w:szCs w:val="18"/>
          <w:lang w:bidi="fa-IR"/>
        </w:rPr>
        <w:t>in Iranian housing</w:t>
      </w:r>
      <w:r w:rsidR="00A677C2" w:rsidRPr="002911ED">
        <w:rPr>
          <w:sz w:val="18"/>
          <w:szCs w:val="18"/>
        </w:rPr>
        <w:t xml:space="preserve"> in 2013-2017</w:t>
      </w:r>
    </w:p>
    <w:p w:rsidR="00A677C2" w:rsidRPr="00803B87" w:rsidRDefault="00A677C2" w:rsidP="00A677C2">
      <w:pPr>
        <w:jc w:val="center"/>
      </w:pPr>
      <w:r w:rsidRPr="00803B87">
        <w:rPr>
          <w:noProof/>
          <w:rtl/>
          <w:lang w:val="en-US" w:eastAsia="en-US" w:bidi="fa-IR"/>
        </w:rPr>
        <w:drawing>
          <wp:inline distT="0" distB="0" distL="0" distR="0" wp14:anchorId="603868F8" wp14:editId="6F1FE4BB">
            <wp:extent cx="4572000" cy="1343891"/>
            <wp:effectExtent l="0" t="0" r="19050" b="2794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A677C2" w:rsidRPr="002911ED" w:rsidRDefault="00162F87" w:rsidP="00A677C2">
      <w:pPr>
        <w:jc w:val="center"/>
        <w:rPr>
          <w:sz w:val="18"/>
          <w:szCs w:val="18"/>
          <w:lang w:bidi="fa-IR"/>
        </w:rPr>
      </w:pPr>
      <w:r w:rsidRPr="002911ED">
        <w:rPr>
          <w:sz w:val="18"/>
          <w:szCs w:val="18"/>
        </w:rPr>
        <w:t>Figure</w:t>
      </w:r>
      <w:r w:rsidR="00A677C2" w:rsidRPr="002911ED">
        <w:rPr>
          <w:sz w:val="18"/>
          <w:szCs w:val="18"/>
        </w:rPr>
        <w:t xml:space="preserve">5. Scale of areas studied </w:t>
      </w:r>
      <w:r w:rsidR="00A677C2" w:rsidRPr="002911ED">
        <w:rPr>
          <w:sz w:val="18"/>
          <w:szCs w:val="18"/>
          <w:lang w:bidi="fa-IR"/>
        </w:rPr>
        <w:t>in international housing</w:t>
      </w:r>
      <w:r w:rsidR="00A677C2" w:rsidRPr="002911ED">
        <w:rPr>
          <w:sz w:val="18"/>
          <w:szCs w:val="18"/>
        </w:rPr>
        <w:t xml:space="preserve"> in 2013-2017</w:t>
      </w:r>
    </w:p>
    <w:p w:rsidR="00A677C2" w:rsidRPr="00803B87" w:rsidRDefault="00A677C2" w:rsidP="00A677C2">
      <w:pPr>
        <w:jc w:val="center"/>
      </w:pPr>
      <w:r w:rsidRPr="00803B87">
        <w:rPr>
          <w:noProof/>
          <w:rtl/>
          <w:lang w:val="en-US" w:eastAsia="en-US" w:bidi="fa-IR"/>
        </w:rPr>
        <w:drawing>
          <wp:inline distT="0" distB="0" distL="0" distR="0" wp14:anchorId="02861781" wp14:editId="6D406D14">
            <wp:extent cx="4558145" cy="1239982"/>
            <wp:effectExtent l="0" t="0" r="13970" b="1778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62F87" w:rsidRDefault="00981882" w:rsidP="006040BE">
      <w:pPr>
        <w:spacing w:line="276" w:lineRule="auto"/>
        <w:jc w:val="both"/>
        <w:rPr>
          <w:rFonts w:asciiTheme="majorBidi" w:hAnsiTheme="majorBidi" w:cstheme="majorBidi"/>
          <w:sz w:val="22"/>
          <w:szCs w:val="22"/>
        </w:rPr>
      </w:pPr>
      <w:r w:rsidRPr="00803B87">
        <w:rPr>
          <w:rFonts w:asciiTheme="majorBidi" w:hAnsiTheme="majorBidi" w:cstheme="majorBidi"/>
          <w:sz w:val="22"/>
          <w:szCs w:val="22"/>
        </w:rPr>
        <w:t xml:space="preserve">Through a closer look, it is illustrated that in environmental factors with 41.63% are the most studied subject in international journals, whereas they just take 13.84% of Iranian researches.  Figure 6 represents that in </w:t>
      </w:r>
      <w:r w:rsidR="006040BE" w:rsidRPr="00803B87">
        <w:rPr>
          <w:rFonts w:asciiTheme="majorBidi" w:hAnsiTheme="majorBidi" w:cstheme="majorBidi"/>
          <w:sz w:val="22"/>
          <w:szCs w:val="22"/>
        </w:rPr>
        <w:t xml:space="preserve">the of environmental factors </w:t>
      </w:r>
      <w:r w:rsidRPr="00803B87">
        <w:rPr>
          <w:rFonts w:asciiTheme="majorBidi" w:hAnsiTheme="majorBidi" w:cstheme="majorBidi"/>
          <w:sz w:val="22"/>
          <w:szCs w:val="22"/>
        </w:rPr>
        <w:t>area</w:t>
      </w:r>
      <w:r w:rsidR="006040BE" w:rsidRPr="00803B87">
        <w:rPr>
          <w:rFonts w:asciiTheme="majorBidi" w:hAnsiTheme="majorBidi" w:cstheme="majorBidi"/>
          <w:sz w:val="22"/>
          <w:szCs w:val="22"/>
        </w:rPr>
        <w:t xml:space="preserve"> </w:t>
      </w:r>
      <w:r w:rsidRPr="00803B87">
        <w:rPr>
          <w:rFonts w:asciiTheme="majorBidi" w:hAnsiTheme="majorBidi" w:cstheme="majorBidi"/>
          <w:sz w:val="22"/>
          <w:szCs w:val="22"/>
        </w:rPr>
        <w:t xml:space="preserve"> Iranian have studied climate, </w:t>
      </w:r>
      <w:r w:rsidR="00910A8F" w:rsidRPr="00803B87">
        <w:rPr>
          <w:rFonts w:asciiTheme="majorBidi" w:hAnsiTheme="majorBidi" w:cstheme="majorBidi"/>
          <w:sz w:val="22"/>
          <w:szCs w:val="22"/>
        </w:rPr>
        <w:t xml:space="preserve">material, light, nature and environment more than other subjects and in international papers light, sunlight, ventilation, temperature and sustainability were considered the most in researches. It is also shown that nature elements such as sky, tree, plants, etc. and the structure of houses are just discussed in Iranian articles, while </w:t>
      </w:r>
      <w:r w:rsidR="00162F87" w:rsidRPr="00803B87">
        <w:rPr>
          <w:rFonts w:asciiTheme="majorBidi" w:hAnsiTheme="majorBidi" w:cstheme="majorBidi"/>
          <w:sz w:val="22"/>
          <w:szCs w:val="22"/>
        </w:rPr>
        <w:t xml:space="preserve">factors about ventilation and weather </w:t>
      </w:r>
      <w:r w:rsidR="006040BE" w:rsidRPr="00803B87">
        <w:rPr>
          <w:rFonts w:asciiTheme="majorBidi" w:hAnsiTheme="majorBidi" w:cstheme="majorBidi"/>
          <w:sz w:val="22"/>
          <w:szCs w:val="22"/>
        </w:rPr>
        <w:t>features</w:t>
      </w:r>
      <w:r w:rsidR="00162F87" w:rsidRPr="00803B87">
        <w:rPr>
          <w:rFonts w:asciiTheme="majorBidi" w:hAnsiTheme="majorBidi" w:cstheme="majorBidi"/>
          <w:sz w:val="22"/>
          <w:szCs w:val="22"/>
        </w:rPr>
        <w:t xml:space="preserve"> like humidity, temperature, etc. are studied only in international papers.</w:t>
      </w:r>
      <w:r w:rsidR="00C96C7F" w:rsidRPr="00803B87">
        <w:rPr>
          <w:rFonts w:asciiTheme="majorBidi" w:hAnsiTheme="majorBidi" w:cstheme="majorBidi"/>
          <w:sz w:val="22"/>
          <w:szCs w:val="22"/>
        </w:rPr>
        <w:t xml:space="preserve"> Also, </w:t>
      </w:r>
      <w:r w:rsidR="004E0F32" w:rsidRPr="00803B87">
        <w:rPr>
          <w:rFonts w:asciiTheme="majorBidi" w:hAnsiTheme="majorBidi" w:cstheme="majorBidi"/>
          <w:sz w:val="22"/>
          <w:szCs w:val="22"/>
        </w:rPr>
        <w:t>climate and</w:t>
      </w:r>
      <w:r w:rsidR="00C96C7F" w:rsidRPr="00803B87">
        <w:rPr>
          <w:rFonts w:asciiTheme="majorBidi" w:hAnsiTheme="majorBidi" w:cstheme="majorBidi"/>
          <w:sz w:val="22"/>
          <w:szCs w:val="22"/>
        </w:rPr>
        <w:t xml:space="preserve"> lighting are two subjects that are both discussed abundantly in Iranian and International researches.</w:t>
      </w:r>
    </w:p>
    <w:p w:rsidR="004E0F32" w:rsidRDefault="004E0F32" w:rsidP="00C5463D">
      <w:pPr>
        <w:jc w:val="center"/>
        <w:rPr>
          <w:rFonts w:asciiTheme="majorBidi" w:hAnsiTheme="majorBidi" w:cstheme="majorBidi"/>
          <w:sz w:val="22"/>
          <w:szCs w:val="22"/>
        </w:rPr>
      </w:pPr>
    </w:p>
    <w:p w:rsidR="00C5463D" w:rsidRPr="002911ED" w:rsidRDefault="00C5463D" w:rsidP="00C5463D">
      <w:pPr>
        <w:jc w:val="center"/>
        <w:rPr>
          <w:rFonts w:asciiTheme="majorBidi" w:hAnsiTheme="majorBidi" w:cstheme="majorBidi"/>
          <w:noProof/>
          <w:sz w:val="20"/>
          <w:szCs w:val="20"/>
          <w:lang w:val="en-US" w:eastAsia="en-US" w:bidi="fa-IR"/>
        </w:rPr>
      </w:pPr>
      <w:r w:rsidRPr="002911ED">
        <w:rPr>
          <w:sz w:val="18"/>
          <w:szCs w:val="18"/>
        </w:rPr>
        <w:lastRenderedPageBreak/>
        <w:t>Figure6. Frequency of Environmental Factors studied in Iranian and International Papers</w:t>
      </w:r>
      <w:r w:rsidRPr="002911ED">
        <w:rPr>
          <w:rStyle w:val="FootnoteReference"/>
          <w:sz w:val="18"/>
          <w:szCs w:val="18"/>
        </w:rPr>
        <w:footnoteReference w:id="4"/>
      </w:r>
      <w:r w:rsidRPr="002911ED">
        <w:rPr>
          <w:sz w:val="18"/>
          <w:szCs w:val="18"/>
        </w:rPr>
        <w:t xml:space="preserve"> </w:t>
      </w:r>
      <w:r w:rsidRPr="002911ED">
        <w:rPr>
          <w:sz w:val="18"/>
          <w:szCs w:val="18"/>
          <w:lang w:bidi="fa-IR"/>
        </w:rPr>
        <w:t xml:space="preserve"> </w:t>
      </w:r>
    </w:p>
    <w:p w:rsidR="00981882" w:rsidRPr="00D03734" w:rsidRDefault="004E0F32" w:rsidP="00671A54">
      <w:pPr>
        <w:spacing w:line="276" w:lineRule="auto"/>
        <w:jc w:val="both"/>
        <w:rPr>
          <w:rFonts w:asciiTheme="majorBidi" w:hAnsiTheme="majorBidi" w:cstheme="majorBidi"/>
          <w:sz w:val="22"/>
          <w:szCs w:val="22"/>
        </w:rPr>
      </w:pPr>
      <w:r>
        <w:rPr>
          <w:noProof/>
          <w:lang w:val="en-US" w:eastAsia="en-US" w:bidi="fa-IR"/>
        </w:rPr>
        <w:drawing>
          <wp:inline distT="0" distB="0" distL="0" distR="0" wp14:anchorId="42D937C0" wp14:editId="6ECB9BAC">
            <wp:extent cx="5396345" cy="7599218"/>
            <wp:effectExtent l="0" t="0" r="13970" b="2095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Pr>
          <w:rFonts w:asciiTheme="majorBidi" w:hAnsiTheme="majorBidi" w:cstheme="majorBidi"/>
          <w:sz w:val="22"/>
          <w:szCs w:val="22"/>
        </w:rPr>
        <w:br/>
      </w:r>
      <w:r w:rsidR="0065208A" w:rsidRPr="00D03734">
        <w:rPr>
          <w:rFonts w:asciiTheme="majorBidi" w:hAnsiTheme="majorBidi" w:cstheme="majorBidi"/>
          <w:sz w:val="22"/>
          <w:szCs w:val="22"/>
        </w:rPr>
        <w:lastRenderedPageBreak/>
        <w:t>D</w:t>
      </w:r>
      <w:r w:rsidR="006040BE" w:rsidRPr="00D03734">
        <w:rPr>
          <w:rFonts w:asciiTheme="majorBidi" w:hAnsiTheme="majorBidi" w:cstheme="majorBidi"/>
          <w:sz w:val="22"/>
          <w:szCs w:val="22"/>
        </w:rPr>
        <w:t>ifferent architectural elements</w:t>
      </w:r>
      <w:r w:rsidR="0065208A" w:rsidRPr="00D03734">
        <w:rPr>
          <w:rFonts w:asciiTheme="majorBidi" w:hAnsiTheme="majorBidi" w:cstheme="majorBidi"/>
          <w:sz w:val="22"/>
          <w:szCs w:val="22"/>
        </w:rPr>
        <w:t xml:space="preserve"> are conferred in Iranian and international papers.</w:t>
      </w:r>
      <w:r w:rsidR="00671A54" w:rsidRPr="00D03734">
        <w:rPr>
          <w:rFonts w:asciiTheme="majorBidi" w:hAnsiTheme="majorBidi" w:cstheme="majorBidi"/>
          <w:sz w:val="22"/>
          <w:szCs w:val="22"/>
        </w:rPr>
        <w:t xml:space="preserve"> As figure 7 represents,</w:t>
      </w:r>
      <w:r w:rsidR="0065208A" w:rsidRPr="00D03734">
        <w:rPr>
          <w:rFonts w:asciiTheme="majorBidi" w:hAnsiTheme="majorBidi" w:cstheme="majorBidi"/>
          <w:sz w:val="22"/>
          <w:szCs w:val="22"/>
        </w:rPr>
        <w:t xml:space="preserve"> </w:t>
      </w:r>
      <w:r w:rsidR="00671A54" w:rsidRPr="00D03734">
        <w:rPr>
          <w:rFonts w:asciiTheme="majorBidi" w:hAnsiTheme="majorBidi" w:cstheme="majorBidi"/>
          <w:sz w:val="22"/>
          <w:szCs w:val="22"/>
        </w:rPr>
        <w:t>t</w:t>
      </w:r>
      <w:r w:rsidR="0065208A" w:rsidRPr="00D03734">
        <w:rPr>
          <w:rFonts w:asciiTheme="majorBidi" w:hAnsiTheme="majorBidi" w:cstheme="majorBidi"/>
          <w:sz w:val="22"/>
          <w:szCs w:val="22"/>
        </w:rPr>
        <w:t xml:space="preserve">here are some specific features in Iranian </w:t>
      </w:r>
      <w:r w:rsidR="00AE7612" w:rsidRPr="00D03734">
        <w:rPr>
          <w:rFonts w:asciiTheme="majorBidi" w:hAnsiTheme="majorBidi" w:cstheme="majorBidi"/>
          <w:sz w:val="22"/>
          <w:szCs w:val="22"/>
        </w:rPr>
        <w:t>vernacular a</w:t>
      </w:r>
      <w:r w:rsidR="0065208A" w:rsidRPr="00D03734">
        <w:rPr>
          <w:rFonts w:asciiTheme="majorBidi" w:hAnsiTheme="majorBidi" w:cstheme="majorBidi"/>
          <w:sz w:val="22"/>
          <w:szCs w:val="22"/>
        </w:rPr>
        <w:t>rchitecture such as Shavadan</w:t>
      </w:r>
      <w:r w:rsidR="0065208A" w:rsidRPr="00D03734">
        <w:rPr>
          <w:rStyle w:val="FootnoteReference"/>
          <w:rFonts w:asciiTheme="majorBidi" w:hAnsiTheme="majorBidi" w:cstheme="majorBidi"/>
          <w:sz w:val="22"/>
          <w:szCs w:val="22"/>
        </w:rPr>
        <w:footnoteReference w:id="5"/>
      </w:r>
      <w:r w:rsidR="0065208A" w:rsidRPr="00D03734">
        <w:rPr>
          <w:rFonts w:asciiTheme="majorBidi" w:hAnsiTheme="majorBidi" w:cstheme="majorBidi"/>
          <w:sz w:val="22"/>
          <w:szCs w:val="22"/>
        </w:rPr>
        <w:t xml:space="preserve">, </w:t>
      </w:r>
      <w:r w:rsidR="00AE7612" w:rsidRPr="00D03734">
        <w:rPr>
          <w:rFonts w:asciiTheme="majorBidi" w:hAnsiTheme="majorBidi" w:cstheme="majorBidi"/>
          <w:sz w:val="22"/>
          <w:szCs w:val="22"/>
        </w:rPr>
        <w:t>Tanabi</w:t>
      </w:r>
      <w:r w:rsidR="00AE7612" w:rsidRPr="00D03734">
        <w:rPr>
          <w:rStyle w:val="FootnoteReference"/>
          <w:rFonts w:asciiTheme="majorBidi" w:hAnsiTheme="majorBidi" w:cstheme="majorBidi"/>
          <w:sz w:val="22"/>
          <w:szCs w:val="22"/>
        </w:rPr>
        <w:footnoteReference w:id="6"/>
      </w:r>
      <w:r w:rsidR="00AE7612" w:rsidRPr="00D03734">
        <w:rPr>
          <w:rFonts w:asciiTheme="majorBidi" w:hAnsiTheme="majorBidi" w:cstheme="majorBidi"/>
          <w:sz w:val="22"/>
          <w:szCs w:val="22"/>
        </w:rPr>
        <w:t>, courtyard, porch, Orosi</w:t>
      </w:r>
      <w:r w:rsidR="00AE7612" w:rsidRPr="00D03734">
        <w:rPr>
          <w:rStyle w:val="FootnoteReference"/>
          <w:rFonts w:asciiTheme="majorBidi" w:hAnsiTheme="majorBidi" w:cstheme="majorBidi"/>
          <w:sz w:val="22"/>
          <w:szCs w:val="22"/>
        </w:rPr>
        <w:footnoteReference w:id="7"/>
      </w:r>
      <w:r w:rsidR="00AE7612" w:rsidRPr="00D03734">
        <w:rPr>
          <w:rFonts w:asciiTheme="majorBidi" w:hAnsiTheme="majorBidi" w:cstheme="majorBidi"/>
          <w:sz w:val="22"/>
          <w:szCs w:val="22"/>
        </w:rPr>
        <w:t xml:space="preserve">, wind tower called "Badgir", etc. that researchers studied greatly in papers. However international articles reckon quite dissimilar factors important in housing like building envelope and façade along with outdoor spaces. Open and semi open spaces are </w:t>
      </w:r>
      <w:r w:rsidR="00671A54" w:rsidRPr="00D03734">
        <w:rPr>
          <w:rFonts w:asciiTheme="majorBidi" w:hAnsiTheme="majorBidi" w:cstheme="majorBidi"/>
          <w:sz w:val="22"/>
          <w:szCs w:val="22"/>
        </w:rPr>
        <w:t>mentioned in both fields abundantly.</w:t>
      </w:r>
    </w:p>
    <w:p w:rsidR="00981882" w:rsidRPr="00F82095" w:rsidRDefault="00981882" w:rsidP="00981882">
      <w:pPr>
        <w:spacing w:line="276" w:lineRule="auto"/>
        <w:jc w:val="both"/>
        <w:rPr>
          <w:rFonts w:asciiTheme="majorBidi" w:hAnsiTheme="majorBidi" w:cstheme="majorBidi"/>
          <w:sz w:val="22"/>
          <w:szCs w:val="22"/>
          <w:highlight w:val="green"/>
        </w:rPr>
      </w:pPr>
    </w:p>
    <w:p w:rsidR="00981882" w:rsidRPr="002911ED" w:rsidRDefault="00D03734" w:rsidP="00D03734">
      <w:pPr>
        <w:spacing w:line="276" w:lineRule="auto"/>
        <w:jc w:val="center"/>
        <w:rPr>
          <w:rFonts w:asciiTheme="majorBidi" w:hAnsiTheme="majorBidi" w:cstheme="majorBidi"/>
          <w:sz w:val="20"/>
          <w:szCs w:val="20"/>
        </w:rPr>
      </w:pPr>
      <w:r w:rsidRPr="002911ED">
        <w:rPr>
          <w:sz w:val="18"/>
          <w:szCs w:val="18"/>
        </w:rPr>
        <w:t>Figure7. Frequency of Architectural Elements studied in Iranian and International Papers</w:t>
      </w:r>
      <w:r w:rsidRPr="002911ED">
        <w:rPr>
          <w:rStyle w:val="FootnoteReference"/>
          <w:rFonts w:asciiTheme="majorBidi" w:hAnsiTheme="majorBidi" w:cstheme="majorBidi"/>
          <w:sz w:val="20"/>
          <w:szCs w:val="20"/>
        </w:rPr>
        <w:footnoteReference w:id="8"/>
      </w:r>
    </w:p>
    <w:p w:rsidR="00981882" w:rsidRDefault="004E0F32" w:rsidP="009D2CD2">
      <w:pPr>
        <w:spacing w:line="276" w:lineRule="auto"/>
        <w:jc w:val="center"/>
        <w:rPr>
          <w:rFonts w:asciiTheme="majorBidi" w:hAnsiTheme="majorBidi" w:cstheme="majorBidi"/>
          <w:sz w:val="22"/>
          <w:szCs w:val="22"/>
        </w:rPr>
      </w:pPr>
      <w:r>
        <w:rPr>
          <w:noProof/>
          <w:lang w:val="en-US" w:eastAsia="en-US" w:bidi="fa-IR"/>
        </w:rPr>
        <w:drawing>
          <wp:inline distT="0" distB="0" distL="0" distR="0" wp14:anchorId="013C94D5" wp14:editId="0A6A5D37">
            <wp:extent cx="5396345" cy="5063836"/>
            <wp:effectExtent l="0" t="0" r="13970" b="2286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23357A" w:rsidRDefault="0023357A" w:rsidP="004E0F32">
      <w:pPr>
        <w:spacing w:line="276" w:lineRule="auto"/>
        <w:rPr>
          <w:rFonts w:asciiTheme="majorBidi" w:hAnsiTheme="majorBidi" w:cstheme="majorBidi"/>
          <w:sz w:val="22"/>
          <w:szCs w:val="22"/>
          <w:lang w:val="en-US"/>
        </w:rPr>
      </w:pPr>
    </w:p>
    <w:p w:rsidR="00193F7D" w:rsidRPr="009660AE" w:rsidRDefault="004A5F75" w:rsidP="00761256">
      <w:pPr>
        <w:spacing w:line="276" w:lineRule="auto"/>
        <w:jc w:val="both"/>
        <w:rPr>
          <w:rFonts w:asciiTheme="majorBidi" w:hAnsiTheme="majorBidi" w:cstheme="majorBidi"/>
          <w:sz w:val="22"/>
          <w:szCs w:val="22"/>
          <w:lang w:val="en-US"/>
        </w:rPr>
      </w:pPr>
      <w:r w:rsidRPr="009660AE">
        <w:rPr>
          <w:rFonts w:asciiTheme="majorBidi" w:hAnsiTheme="majorBidi" w:cstheme="majorBidi"/>
          <w:sz w:val="22"/>
          <w:szCs w:val="22"/>
          <w:lang w:val="en-US"/>
        </w:rPr>
        <w:t xml:space="preserve">As can be seen in figure 8, form, motif, hierarchy access, color, dimension, proportion and spatial arrangement on spaces and furniture are by far more argued than other subjects in geometry and proportion categorize of this study. On the other hand, geometry, size, height, accessibility and connectivity are discussed in great quantity as </w:t>
      </w:r>
      <w:r w:rsidR="009660AE" w:rsidRPr="009660AE">
        <w:rPr>
          <w:rFonts w:asciiTheme="majorBidi" w:hAnsiTheme="majorBidi" w:cstheme="majorBidi"/>
          <w:sz w:val="22"/>
          <w:szCs w:val="22"/>
          <w:lang w:val="en-US"/>
        </w:rPr>
        <w:t>opposed</w:t>
      </w:r>
      <w:r w:rsidRPr="009660AE">
        <w:rPr>
          <w:rFonts w:asciiTheme="majorBidi" w:hAnsiTheme="majorBidi" w:cstheme="majorBidi"/>
          <w:sz w:val="22"/>
          <w:szCs w:val="22"/>
          <w:lang w:val="en-US"/>
        </w:rPr>
        <w:t xml:space="preserve"> to other factors. </w:t>
      </w:r>
      <w:r w:rsidR="00761256" w:rsidRPr="009660AE">
        <w:rPr>
          <w:rFonts w:asciiTheme="majorBidi" w:hAnsiTheme="majorBidi" w:cstheme="majorBidi"/>
          <w:sz w:val="22"/>
          <w:szCs w:val="22"/>
          <w:lang w:val="en-US"/>
        </w:rPr>
        <w:t xml:space="preserve">Figure 8 also reveals that subjects like geometry, form, shape, color and proportion are studied with </w:t>
      </w:r>
      <w:r w:rsidR="00761256" w:rsidRPr="009660AE">
        <w:rPr>
          <w:rFonts w:asciiTheme="majorBidi" w:hAnsiTheme="majorBidi" w:cstheme="majorBidi"/>
          <w:sz w:val="22"/>
          <w:szCs w:val="22"/>
          <w:lang w:val="en-US"/>
        </w:rPr>
        <w:lastRenderedPageBreak/>
        <w:t>close frequency in Iranian and international papers which shows the significance of these factors in housing architecture worldwide.</w:t>
      </w:r>
    </w:p>
    <w:p w:rsidR="009660AE" w:rsidRDefault="009660AE" w:rsidP="00193F7D">
      <w:pPr>
        <w:spacing w:line="276" w:lineRule="auto"/>
        <w:jc w:val="center"/>
        <w:rPr>
          <w:sz w:val="20"/>
          <w:szCs w:val="20"/>
          <w:highlight w:val="green"/>
        </w:rPr>
      </w:pPr>
    </w:p>
    <w:p w:rsidR="009660AE" w:rsidRPr="002911ED" w:rsidRDefault="009660AE" w:rsidP="009660AE">
      <w:pPr>
        <w:spacing w:line="276" w:lineRule="auto"/>
        <w:jc w:val="center"/>
        <w:rPr>
          <w:rFonts w:asciiTheme="majorBidi" w:hAnsiTheme="majorBidi" w:cstheme="majorBidi"/>
          <w:sz w:val="20"/>
          <w:szCs w:val="20"/>
          <w:lang w:val="en-US"/>
        </w:rPr>
      </w:pPr>
      <w:r w:rsidRPr="002911ED">
        <w:rPr>
          <w:sz w:val="18"/>
          <w:szCs w:val="18"/>
        </w:rPr>
        <w:t>Figure8. Frequency of Geometry and Proportions studied in Iranian and International Papers</w:t>
      </w:r>
      <w:r w:rsidRPr="002911ED">
        <w:rPr>
          <w:rStyle w:val="FootnoteReference"/>
          <w:sz w:val="18"/>
          <w:szCs w:val="18"/>
        </w:rPr>
        <w:footnoteReference w:id="9"/>
      </w:r>
      <w:r w:rsidRPr="002911ED">
        <w:rPr>
          <w:sz w:val="18"/>
          <w:szCs w:val="18"/>
        </w:rPr>
        <w:t xml:space="preserve"> </w:t>
      </w:r>
      <w:r w:rsidRPr="002911ED">
        <w:rPr>
          <w:sz w:val="18"/>
          <w:szCs w:val="18"/>
          <w:lang w:bidi="fa-IR"/>
        </w:rPr>
        <w:t xml:space="preserve"> </w:t>
      </w:r>
    </w:p>
    <w:p w:rsidR="0023357A" w:rsidRDefault="004E0F32" w:rsidP="009D2CD2">
      <w:pPr>
        <w:spacing w:line="276" w:lineRule="auto"/>
        <w:jc w:val="center"/>
        <w:rPr>
          <w:rFonts w:asciiTheme="majorBidi" w:hAnsiTheme="majorBidi" w:cstheme="majorBidi"/>
          <w:sz w:val="22"/>
          <w:szCs w:val="22"/>
          <w:lang w:val="en-US"/>
        </w:rPr>
      </w:pPr>
      <w:r>
        <w:rPr>
          <w:noProof/>
          <w:lang w:val="en-US" w:eastAsia="en-US" w:bidi="fa-IR"/>
        </w:rPr>
        <w:drawing>
          <wp:inline distT="0" distB="0" distL="0" distR="0" wp14:anchorId="54ACFE87" wp14:editId="5CE8B6AA">
            <wp:extent cx="5396345" cy="4287982"/>
            <wp:effectExtent l="0" t="0" r="13970" b="1778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81032E" w:rsidRDefault="0081032E" w:rsidP="009D2CD2">
      <w:pPr>
        <w:spacing w:line="276" w:lineRule="auto"/>
        <w:jc w:val="center"/>
        <w:rPr>
          <w:rFonts w:asciiTheme="majorBidi" w:hAnsiTheme="majorBidi" w:cstheme="majorBidi"/>
          <w:sz w:val="22"/>
          <w:szCs w:val="22"/>
          <w:lang w:val="en-US"/>
        </w:rPr>
      </w:pPr>
    </w:p>
    <w:p w:rsidR="0081032E" w:rsidRDefault="0081032E" w:rsidP="009D2CD2">
      <w:pPr>
        <w:spacing w:line="276" w:lineRule="auto"/>
        <w:jc w:val="center"/>
        <w:rPr>
          <w:rFonts w:asciiTheme="majorBidi" w:hAnsiTheme="majorBidi" w:cstheme="majorBidi"/>
          <w:sz w:val="22"/>
          <w:szCs w:val="22"/>
          <w:lang w:val="en-US"/>
        </w:rPr>
      </w:pPr>
    </w:p>
    <w:p w:rsidR="0081032E" w:rsidRPr="00B7709C" w:rsidRDefault="004E0F32" w:rsidP="004E0F32">
      <w:pPr>
        <w:spacing w:line="276" w:lineRule="auto"/>
        <w:jc w:val="both"/>
        <w:rPr>
          <w:rFonts w:asciiTheme="majorBidi" w:hAnsiTheme="majorBidi" w:cstheme="majorBidi"/>
          <w:sz w:val="22"/>
          <w:szCs w:val="22"/>
          <w:lang w:val="en-US"/>
        </w:rPr>
      </w:pPr>
      <w:r w:rsidRPr="00B7709C">
        <w:rPr>
          <w:rFonts w:asciiTheme="majorBidi" w:hAnsiTheme="majorBidi" w:cstheme="majorBidi"/>
          <w:sz w:val="22"/>
          <w:szCs w:val="22"/>
          <w:lang w:val="en-US"/>
        </w:rPr>
        <w:t xml:space="preserve">The </w:t>
      </w:r>
      <w:r w:rsidR="00340217" w:rsidRPr="00B7709C">
        <w:rPr>
          <w:rFonts w:asciiTheme="majorBidi" w:hAnsiTheme="majorBidi" w:cstheme="majorBidi"/>
          <w:sz w:val="22"/>
          <w:szCs w:val="22"/>
          <w:lang w:val="en-US"/>
        </w:rPr>
        <w:t xml:space="preserve">chart </w:t>
      </w:r>
      <w:r w:rsidR="00193FEB" w:rsidRPr="00B7709C">
        <w:rPr>
          <w:rFonts w:asciiTheme="majorBidi" w:hAnsiTheme="majorBidi" w:cstheme="majorBidi"/>
          <w:sz w:val="22"/>
          <w:szCs w:val="22"/>
          <w:lang w:val="en-US"/>
        </w:rPr>
        <w:t>in figure 9 which focuses on architectural concepts indicates that privacy, arena, territory, security, meaning and order were contributed the most in Iranian researches. It also refers that with a great variance these components are not discussed in reviewed English journals and security, privacy, territory and comfort with frequency of less than 20 were mentioned and studied.</w:t>
      </w:r>
    </w:p>
    <w:p w:rsidR="0081032E" w:rsidRPr="00B7709C" w:rsidRDefault="0081032E" w:rsidP="009D2CD2">
      <w:pPr>
        <w:spacing w:line="276" w:lineRule="auto"/>
        <w:jc w:val="center"/>
        <w:rPr>
          <w:rFonts w:asciiTheme="majorBidi" w:hAnsiTheme="majorBidi" w:cstheme="majorBidi"/>
          <w:sz w:val="22"/>
          <w:szCs w:val="22"/>
          <w:lang w:val="en-US"/>
        </w:rPr>
      </w:pPr>
    </w:p>
    <w:p w:rsidR="00B7709C" w:rsidRPr="00B7709C" w:rsidRDefault="00B7709C" w:rsidP="00B7709C">
      <w:pPr>
        <w:spacing w:line="276" w:lineRule="auto"/>
        <w:jc w:val="both"/>
        <w:rPr>
          <w:rFonts w:asciiTheme="majorBidi" w:hAnsiTheme="majorBidi" w:cstheme="majorBidi"/>
          <w:sz w:val="22"/>
          <w:szCs w:val="22"/>
          <w:lang w:val="en-US"/>
        </w:rPr>
      </w:pPr>
      <w:r w:rsidRPr="00B7709C">
        <w:rPr>
          <w:rFonts w:asciiTheme="majorBidi" w:hAnsiTheme="majorBidi" w:cstheme="majorBidi"/>
          <w:sz w:val="22"/>
          <w:szCs w:val="22"/>
          <w:lang w:val="en-US"/>
        </w:rPr>
        <w:t>In term of standards and criteria, figure 10 shows that international journals have studied this area more than Iranian. The factors such as technology, acoustic insulation, economics, construction methods and planning are considered more than other elements of this group in international journals. While Iranian studies have not focused on these subjects, they mentioned tax, technology, acoustic insulation and ownership merely in some articles. Iranian papers were mostly about psychological and social concepts (Figure 11) precisely with subjects as culture, psychological comfort, lifestyle, satisfaction and identity. The same topics were discussed in international articles yet by a great reduction.</w:t>
      </w:r>
    </w:p>
    <w:p w:rsidR="00B7709C" w:rsidRPr="00B7709C" w:rsidRDefault="00B7709C" w:rsidP="009D2CD2">
      <w:pPr>
        <w:spacing w:line="276" w:lineRule="auto"/>
        <w:jc w:val="center"/>
        <w:rPr>
          <w:rFonts w:asciiTheme="majorBidi" w:hAnsiTheme="majorBidi" w:cstheme="majorBidi"/>
          <w:sz w:val="22"/>
          <w:szCs w:val="22"/>
          <w:lang w:val="en-US"/>
        </w:rPr>
      </w:pPr>
    </w:p>
    <w:p w:rsidR="00B7709C" w:rsidRDefault="00B7709C" w:rsidP="00B7709C">
      <w:pPr>
        <w:spacing w:line="276" w:lineRule="auto"/>
        <w:rPr>
          <w:rFonts w:asciiTheme="majorBidi" w:hAnsiTheme="majorBidi" w:cstheme="majorBidi"/>
          <w:sz w:val="22"/>
          <w:szCs w:val="22"/>
          <w:highlight w:val="green"/>
          <w:lang w:val="en-US"/>
        </w:rPr>
      </w:pPr>
    </w:p>
    <w:p w:rsidR="00B7709C" w:rsidRPr="002911ED" w:rsidRDefault="00B7709C" w:rsidP="00B7709C">
      <w:pPr>
        <w:spacing w:line="276" w:lineRule="auto"/>
        <w:jc w:val="center"/>
        <w:rPr>
          <w:sz w:val="18"/>
          <w:szCs w:val="18"/>
        </w:rPr>
      </w:pPr>
      <w:r w:rsidRPr="002911ED">
        <w:rPr>
          <w:sz w:val="18"/>
          <w:szCs w:val="18"/>
        </w:rPr>
        <w:t>Figure9. Frequency of Architectural Concepts studied in Iranian and International Papers</w:t>
      </w:r>
      <w:r w:rsidRPr="002911ED">
        <w:rPr>
          <w:rStyle w:val="FootnoteReference"/>
          <w:sz w:val="18"/>
          <w:szCs w:val="18"/>
        </w:rPr>
        <w:footnoteReference w:id="10"/>
      </w:r>
    </w:p>
    <w:p w:rsidR="0081032E" w:rsidRDefault="00B7709C" w:rsidP="0081032E">
      <w:pPr>
        <w:spacing w:line="276" w:lineRule="auto"/>
        <w:jc w:val="center"/>
        <w:rPr>
          <w:sz w:val="20"/>
          <w:szCs w:val="20"/>
          <w:highlight w:val="yellow"/>
        </w:rPr>
      </w:pPr>
      <w:r>
        <w:rPr>
          <w:noProof/>
          <w:lang w:val="en-US" w:eastAsia="en-US" w:bidi="fa-IR"/>
        </w:rPr>
        <w:drawing>
          <wp:inline distT="0" distB="0" distL="0" distR="0" wp14:anchorId="66DBA03E" wp14:editId="3CF861B2">
            <wp:extent cx="5396345" cy="4710546"/>
            <wp:effectExtent l="0" t="0" r="13970" b="1397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81032E" w:rsidRPr="00F82095" w:rsidRDefault="0081032E" w:rsidP="00B511CF">
      <w:pPr>
        <w:spacing w:line="276" w:lineRule="auto"/>
        <w:rPr>
          <w:sz w:val="20"/>
          <w:szCs w:val="20"/>
          <w:highlight w:val="green"/>
        </w:rPr>
      </w:pPr>
    </w:p>
    <w:p w:rsidR="007C43AF" w:rsidRDefault="007C43AF" w:rsidP="0081032E">
      <w:pPr>
        <w:spacing w:line="276" w:lineRule="auto"/>
        <w:jc w:val="center"/>
        <w:rPr>
          <w:sz w:val="20"/>
          <w:szCs w:val="20"/>
          <w:highlight w:val="green"/>
        </w:rPr>
      </w:pPr>
    </w:p>
    <w:p w:rsidR="007C43AF" w:rsidRPr="007C43AF" w:rsidRDefault="007C43AF" w:rsidP="007C43AF">
      <w:pPr>
        <w:spacing w:line="276" w:lineRule="auto"/>
        <w:jc w:val="both"/>
        <w:rPr>
          <w:rFonts w:asciiTheme="majorBidi" w:hAnsiTheme="majorBidi" w:cstheme="majorBidi"/>
          <w:sz w:val="22"/>
          <w:szCs w:val="22"/>
        </w:rPr>
      </w:pPr>
      <w:r w:rsidRPr="007C43AF">
        <w:rPr>
          <w:rFonts w:asciiTheme="majorBidi" w:hAnsiTheme="majorBidi" w:cstheme="majorBidi"/>
          <w:sz w:val="22"/>
          <w:szCs w:val="22"/>
        </w:rPr>
        <w:t>In Iranian articles, environmental factors, architectural elements, geometry and proportions, as well as the standards and codes are the physical and tangible components. The basic concepts of architecture and psychological and social concepts that are more challenging and are related to semantic aspects of housing which covers 61.69% of studied subjects of housing will be further perused through Shannon’s entropy method. The issues considered in international papers the most (around 67.08% of all subjects) are environmental factors and standards which will be studied by the same technique. In the first stage, all articles were presented to two evaluators along with the variables of the four selected areas; architecture and psychological and social concepts in Persian and environmental factors and standards in English. Each evaluator reported the frequency of the variables or concepts in all articles. It should be noted that both evaluators</w:t>
      </w:r>
      <w:r w:rsidRPr="007C43AF">
        <w:rPr>
          <w:rStyle w:val="FootnoteReference"/>
          <w:rFonts w:asciiTheme="majorBidi" w:hAnsiTheme="majorBidi" w:cstheme="majorBidi"/>
          <w:sz w:val="22"/>
          <w:szCs w:val="22"/>
        </w:rPr>
        <w:footnoteReference w:id="11"/>
      </w:r>
      <w:r w:rsidRPr="007C43AF">
        <w:rPr>
          <w:rFonts w:asciiTheme="majorBidi" w:hAnsiTheme="majorBidi" w:cstheme="majorBidi"/>
          <w:sz w:val="22"/>
          <w:szCs w:val="22"/>
        </w:rPr>
        <w:t xml:space="preserve"> were graduate of architecture. After obtaining the frequency of each component, Cohen’s kappa statistic was used to find the agreement between the two evaluators. Cohen’s kappa coefficient is a measure for the internal estimation of the agreement of nominal scales between two</w:t>
      </w:r>
      <w:r w:rsidRPr="00121DEF">
        <w:rPr>
          <w:rFonts w:asciiTheme="majorBidi" w:hAnsiTheme="majorBidi" w:cstheme="majorBidi"/>
          <w:sz w:val="22"/>
          <w:szCs w:val="22"/>
        </w:rPr>
        <w:t xml:space="preserve"> observers or evaluators </w:t>
      </w:r>
      <w:r>
        <w:rPr>
          <w:rFonts w:asciiTheme="majorBidi" w:hAnsiTheme="majorBidi" w:cstheme="majorBidi"/>
          <w:sz w:val="22"/>
          <w:szCs w:val="22"/>
        </w:rPr>
        <w:t>[16]</w:t>
      </w:r>
      <w:r w:rsidRPr="00121DEF">
        <w:rPr>
          <w:rFonts w:asciiTheme="majorBidi" w:hAnsiTheme="majorBidi" w:cstheme="majorBidi"/>
          <w:sz w:val="22"/>
          <w:szCs w:val="22"/>
        </w:rPr>
        <w:t>.</w:t>
      </w:r>
      <w:r>
        <w:rPr>
          <w:rFonts w:asciiTheme="majorBidi" w:hAnsiTheme="majorBidi" w:cstheme="majorBidi"/>
          <w:sz w:val="22"/>
          <w:szCs w:val="22"/>
        </w:rPr>
        <w:t xml:space="preserve"> According to Warrens</w:t>
      </w:r>
      <w:r w:rsidRPr="00121DEF">
        <w:rPr>
          <w:rFonts w:asciiTheme="majorBidi" w:hAnsiTheme="majorBidi" w:cstheme="majorBidi"/>
          <w:sz w:val="22"/>
          <w:szCs w:val="22"/>
        </w:rPr>
        <w:t>, Cohen’s kappa value can range from -1 to +1, -1 indicating disagreement and +1 indicating full agreement</w:t>
      </w:r>
      <w:r>
        <w:rPr>
          <w:rFonts w:asciiTheme="majorBidi" w:hAnsiTheme="majorBidi" w:cstheme="majorBidi"/>
          <w:sz w:val="22"/>
          <w:szCs w:val="22"/>
        </w:rPr>
        <w:t xml:space="preserve"> [18]</w:t>
      </w:r>
      <w:r w:rsidRPr="00121DEF">
        <w:rPr>
          <w:rFonts w:asciiTheme="majorBidi" w:hAnsiTheme="majorBidi" w:cstheme="majorBidi"/>
          <w:sz w:val="22"/>
          <w:szCs w:val="22"/>
        </w:rPr>
        <w:t xml:space="preserve">. Also, the coefficient </w:t>
      </w:r>
      <w:r w:rsidRPr="00121DEF">
        <w:rPr>
          <w:rFonts w:asciiTheme="majorBidi" w:hAnsiTheme="majorBidi" w:cstheme="majorBidi"/>
          <w:sz w:val="22"/>
          <w:szCs w:val="22"/>
        </w:rPr>
        <w:lastRenderedPageBreak/>
        <w:t xml:space="preserve">above 0.6 is regarded as an acceptable agreement </w:t>
      </w:r>
      <w:r>
        <w:rPr>
          <w:rFonts w:asciiTheme="majorBidi" w:hAnsiTheme="majorBidi" w:cstheme="majorBidi"/>
          <w:sz w:val="22"/>
          <w:szCs w:val="22"/>
        </w:rPr>
        <w:t xml:space="preserve">[18] </w:t>
      </w:r>
      <w:r w:rsidRPr="00121DEF">
        <w:rPr>
          <w:rFonts w:asciiTheme="majorBidi" w:hAnsiTheme="majorBidi" w:cstheme="majorBidi"/>
          <w:sz w:val="22"/>
          <w:szCs w:val="22"/>
        </w:rPr>
        <w:t xml:space="preserve">(Bolandraftar, 2014). In this research, the information provided by each evaluator was inserted into SPSS to measure the level of agreement. Cohen’s kappa coefficient between the two evaluators was 0.771, indicating a significantly high agreement (Table </w:t>
      </w:r>
      <w:r>
        <w:rPr>
          <w:rFonts w:asciiTheme="majorBidi" w:hAnsiTheme="majorBidi" w:cstheme="majorBidi"/>
          <w:sz w:val="22"/>
          <w:szCs w:val="22"/>
        </w:rPr>
        <w:t>3</w:t>
      </w:r>
      <w:r w:rsidRPr="00121DEF">
        <w:rPr>
          <w:rFonts w:asciiTheme="majorBidi" w:hAnsiTheme="majorBidi" w:cstheme="majorBidi"/>
          <w:sz w:val="22"/>
          <w:szCs w:val="22"/>
        </w:rPr>
        <w:t>).</w:t>
      </w:r>
    </w:p>
    <w:p w:rsidR="007C43AF" w:rsidRDefault="007C43AF" w:rsidP="0081032E">
      <w:pPr>
        <w:spacing w:line="276" w:lineRule="auto"/>
        <w:jc w:val="center"/>
        <w:rPr>
          <w:sz w:val="20"/>
          <w:szCs w:val="20"/>
          <w:highlight w:val="green"/>
        </w:rPr>
      </w:pPr>
    </w:p>
    <w:p w:rsidR="007C43AF" w:rsidRPr="002911ED" w:rsidRDefault="007C43AF" w:rsidP="007C43AF">
      <w:pPr>
        <w:spacing w:line="276" w:lineRule="auto"/>
        <w:jc w:val="center"/>
        <w:rPr>
          <w:sz w:val="18"/>
          <w:szCs w:val="18"/>
        </w:rPr>
      </w:pPr>
      <w:r w:rsidRPr="002911ED">
        <w:rPr>
          <w:sz w:val="18"/>
          <w:szCs w:val="18"/>
        </w:rPr>
        <w:t>Figure10. Frequency of Standards and Criteria studied in Iranian and International Papers</w:t>
      </w:r>
      <w:r w:rsidRPr="002911ED">
        <w:rPr>
          <w:rStyle w:val="FootnoteReference"/>
          <w:sz w:val="18"/>
          <w:szCs w:val="18"/>
        </w:rPr>
        <w:footnoteReference w:id="12"/>
      </w:r>
    </w:p>
    <w:p w:rsidR="0081032E" w:rsidRDefault="0081032E" w:rsidP="00B511CF">
      <w:pPr>
        <w:spacing w:line="276" w:lineRule="auto"/>
        <w:jc w:val="center"/>
        <w:rPr>
          <w:sz w:val="20"/>
          <w:szCs w:val="20"/>
          <w:highlight w:val="yellow"/>
        </w:rPr>
      </w:pPr>
    </w:p>
    <w:p w:rsidR="0081032E" w:rsidRDefault="007C43AF" w:rsidP="0081032E">
      <w:pPr>
        <w:spacing w:line="276" w:lineRule="auto"/>
        <w:jc w:val="center"/>
        <w:rPr>
          <w:sz w:val="20"/>
          <w:szCs w:val="20"/>
          <w:highlight w:val="yellow"/>
        </w:rPr>
      </w:pPr>
      <w:r>
        <w:rPr>
          <w:noProof/>
          <w:lang w:val="en-US" w:eastAsia="en-US" w:bidi="fa-IR"/>
        </w:rPr>
        <w:drawing>
          <wp:inline distT="0" distB="0" distL="0" distR="0" wp14:anchorId="2B692363" wp14:editId="64EF2C50">
            <wp:extent cx="5396345" cy="6463146"/>
            <wp:effectExtent l="0" t="0" r="13970" b="1397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7C43AF" w:rsidRDefault="007C43AF" w:rsidP="0081032E">
      <w:pPr>
        <w:spacing w:line="276" w:lineRule="auto"/>
        <w:jc w:val="center"/>
        <w:rPr>
          <w:sz w:val="20"/>
          <w:szCs w:val="20"/>
          <w:highlight w:val="green"/>
        </w:rPr>
      </w:pPr>
    </w:p>
    <w:p w:rsidR="007C43AF" w:rsidRDefault="007C43AF" w:rsidP="007C43AF">
      <w:pPr>
        <w:spacing w:line="276" w:lineRule="auto"/>
        <w:rPr>
          <w:sz w:val="20"/>
          <w:szCs w:val="20"/>
          <w:highlight w:val="green"/>
        </w:rPr>
      </w:pPr>
    </w:p>
    <w:p w:rsidR="007C43AF" w:rsidRPr="002911ED" w:rsidRDefault="007C43AF" w:rsidP="007C43AF">
      <w:pPr>
        <w:spacing w:line="276" w:lineRule="auto"/>
        <w:jc w:val="center"/>
        <w:rPr>
          <w:sz w:val="18"/>
          <w:szCs w:val="18"/>
        </w:rPr>
      </w:pPr>
      <w:r w:rsidRPr="002911ED">
        <w:rPr>
          <w:sz w:val="18"/>
          <w:szCs w:val="18"/>
        </w:rPr>
        <w:t>Figure11. Frequency of Psychological and Social Concepts studied in Iranian and International Papers</w:t>
      </w:r>
      <w:r w:rsidRPr="002911ED">
        <w:rPr>
          <w:rStyle w:val="FootnoteReference"/>
          <w:sz w:val="18"/>
          <w:szCs w:val="18"/>
        </w:rPr>
        <w:footnoteReference w:id="13"/>
      </w:r>
    </w:p>
    <w:p w:rsidR="0081032E" w:rsidRDefault="007C43AF" w:rsidP="00B511CF">
      <w:pPr>
        <w:spacing w:line="276" w:lineRule="auto"/>
        <w:jc w:val="center"/>
        <w:rPr>
          <w:rFonts w:asciiTheme="majorBidi" w:hAnsiTheme="majorBidi" w:cstheme="majorBidi"/>
          <w:sz w:val="22"/>
          <w:szCs w:val="22"/>
        </w:rPr>
      </w:pPr>
      <w:r>
        <w:rPr>
          <w:noProof/>
          <w:lang w:val="en-US" w:eastAsia="en-US" w:bidi="fa-IR"/>
        </w:rPr>
        <w:lastRenderedPageBreak/>
        <w:drawing>
          <wp:inline distT="0" distB="0" distL="0" distR="0" wp14:anchorId="5B848361" wp14:editId="4B46ECD3">
            <wp:extent cx="5396345" cy="6192982"/>
            <wp:effectExtent l="0" t="0" r="13970" b="1778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81032E" w:rsidRDefault="0081032E" w:rsidP="007521CC">
      <w:pPr>
        <w:spacing w:line="276" w:lineRule="auto"/>
        <w:jc w:val="both"/>
        <w:rPr>
          <w:rFonts w:asciiTheme="majorBidi" w:hAnsiTheme="majorBidi" w:cstheme="majorBidi"/>
          <w:sz w:val="22"/>
          <w:szCs w:val="22"/>
        </w:rPr>
      </w:pPr>
    </w:p>
    <w:p w:rsidR="00A677C2" w:rsidRDefault="00A677C2" w:rsidP="00A677C2">
      <w:pPr>
        <w:spacing w:line="240" w:lineRule="auto"/>
        <w:jc w:val="center"/>
        <w:rPr>
          <w:sz w:val="22"/>
          <w:szCs w:val="22"/>
        </w:rPr>
      </w:pPr>
    </w:p>
    <w:p w:rsidR="00A677C2" w:rsidRPr="002911ED" w:rsidRDefault="0099779E" w:rsidP="007C43AF">
      <w:pPr>
        <w:spacing w:line="240" w:lineRule="auto"/>
        <w:jc w:val="center"/>
        <w:rPr>
          <w:sz w:val="18"/>
          <w:szCs w:val="18"/>
        </w:rPr>
      </w:pPr>
      <w:r w:rsidRPr="002911ED">
        <w:rPr>
          <w:sz w:val="18"/>
          <w:szCs w:val="18"/>
        </w:rPr>
        <w:t>Table</w:t>
      </w:r>
      <w:r w:rsidR="007C43AF" w:rsidRPr="002911ED">
        <w:rPr>
          <w:sz w:val="18"/>
          <w:szCs w:val="18"/>
        </w:rPr>
        <w:t>3</w:t>
      </w:r>
      <w:r w:rsidR="00A677C2" w:rsidRPr="002911ED">
        <w:rPr>
          <w:sz w:val="18"/>
          <w:szCs w:val="18"/>
        </w:rPr>
        <w:t xml:space="preserve">. </w:t>
      </w:r>
      <w:r w:rsidR="00A677C2" w:rsidRPr="002911ED">
        <w:rPr>
          <w:sz w:val="18"/>
          <w:szCs w:val="18"/>
          <w:lang w:val="en"/>
        </w:rPr>
        <w:t>Cohen Kappa agreement coefficient between two evaluated results</w:t>
      </w:r>
      <w:r w:rsidRPr="002911ED">
        <w:rPr>
          <w:sz w:val="18"/>
          <w:szCs w:val="18"/>
          <w:lang w:val="en"/>
        </w:rPr>
        <w:t xml:space="preserve"> </w:t>
      </w:r>
      <w:r w:rsidR="00A677C2" w:rsidRPr="002911ED">
        <w:rPr>
          <w:sz w:val="18"/>
          <w:szCs w:val="18"/>
          <w:lang w:val="en"/>
        </w:rPr>
        <w:t>by two evaluators</w:t>
      </w:r>
    </w:p>
    <w:p w:rsidR="00A4171F" w:rsidRDefault="00A677C2" w:rsidP="0099779E">
      <w:pPr>
        <w:spacing w:line="240" w:lineRule="auto"/>
        <w:jc w:val="center"/>
        <w:rPr>
          <w:sz w:val="20"/>
          <w:szCs w:val="20"/>
        </w:rPr>
      </w:pPr>
      <w:r w:rsidRPr="00B25936">
        <w:rPr>
          <w:noProof/>
          <w:lang w:val="en-US" w:eastAsia="en-US" w:bidi="fa-IR"/>
        </w:rPr>
        <w:drawing>
          <wp:inline distT="0" distB="0" distL="0" distR="0" wp14:anchorId="23398BC6" wp14:editId="71B3FCD3">
            <wp:extent cx="4679950" cy="128270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efficient.png"/>
                    <pic:cNvPicPr/>
                  </pic:nvPicPr>
                  <pic:blipFill rotWithShape="1">
                    <a:blip r:embed="rId44">
                      <a:extLst>
                        <a:ext uri="{28A0092B-C50C-407E-A947-70E740481C1C}">
                          <a14:useLocalDpi xmlns:a14="http://schemas.microsoft.com/office/drawing/2010/main" val="0"/>
                        </a:ext>
                      </a:extLst>
                    </a:blip>
                    <a:srcRect l="647" t="8168" r="-1" b="9338"/>
                    <a:stretch/>
                  </pic:blipFill>
                  <pic:spPr bwMode="auto">
                    <a:xfrm>
                      <a:off x="0" y="0"/>
                      <a:ext cx="4679085" cy="1282463"/>
                    </a:xfrm>
                    <a:prstGeom prst="rect">
                      <a:avLst/>
                    </a:prstGeom>
                    <a:ln>
                      <a:noFill/>
                    </a:ln>
                    <a:extLst>
                      <a:ext uri="{53640926-AAD7-44D8-BBD7-CCE9431645EC}">
                        <a14:shadowObscured xmlns:a14="http://schemas.microsoft.com/office/drawing/2010/main"/>
                      </a:ext>
                    </a:extLst>
                  </pic:spPr>
                </pic:pic>
              </a:graphicData>
            </a:graphic>
          </wp:inline>
        </w:drawing>
      </w:r>
    </w:p>
    <w:p w:rsidR="0099779E" w:rsidRDefault="0099779E" w:rsidP="0099779E">
      <w:pPr>
        <w:spacing w:line="240" w:lineRule="auto"/>
        <w:jc w:val="center"/>
        <w:rPr>
          <w:sz w:val="20"/>
          <w:szCs w:val="20"/>
        </w:rPr>
      </w:pPr>
      <w:r w:rsidRPr="0099779E">
        <w:rPr>
          <w:sz w:val="20"/>
          <w:szCs w:val="20"/>
        </w:rPr>
        <w:t xml:space="preserve"> </w:t>
      </w:r>
    </w:p>
    <w:p w:rsidR="00D85C1A" w:rsidRPr="00121DEF" w:rsidRDefault="00D85C1A" w:rsidP="00D41B0A">
      <w:pPr>
        <w:spacing w:line="276" w:lineRule="auto"/>
        <w:jc w:val="both"/>
        <w:rPr>
          <w:rFonts w:asciiTheme="majorBidi" w:hAnsiTheme="majorBidi" w:cstheme="majorBidi"/>
          <w:sz w:val="22"/>
          <w:szCs w:val="22"/>
          <w:rtl/>
          <w:lang w:bidi="fa-IR"/>
        </w:rPr>
      </w:pPr>
      <w:r w:rsidRPr="007C43AF">
        <w:rPr>
          <w:rFonts w:asciiTheme="majorBidi" w:hAnsiTheme="majorBidi" w:cstheme="majorBidi"/>
          <w:sz w:val="22"/>
          <w:szCs w:val="22"/>
        </w:rPr>
        <w:lastRenderedPageBreak/>
        <w:t>After reviewing the agreement coefficient and ensuring accuracy of the data, the acceptability and significance coefficients of each variable</w:t>
      </w:r>
      <w:r w:rsidR="00DA1FAC" w:rsidRPr="007C43AF">
        <w:rPr>
          <w:rFonts w:asciiTheme="majorBidi" w:hAnsiTheme="majorBidi" w:cstheme="majorBidi"/>
          <w:sz w:val="22"/>
          <w:szCs w:val="22"/>
        </w:rPr>
        <w:t xml:space="preserve"> in Iranian and international papers</w:t>
      </w:r>
      <w:r w:rsidRPr="007C43AF">
        <w:rPr>
          <w:rFonts w:asciiTheme="majorBidi" w:hAnsiTheme="majorBidi" w:cstheme="majorBidi"/>
          <w:sz w:val="22"/>
          <w:szCs w:val="22"/>
        </w:rPr>
        <w:t xml:space="preserve"> were obtained </w:t>
      </w:r>
      <w:r w:rsidR="00DA1FAC" w:rsidRPr="007C43AF">
        <w:rPr>
          <w:rFonts w:asciiTheme="majorBidi" w:hAnsiTheme="majorBidi" w:cstheme="majorBidi"/>
          <w:sz w:val="22"/>
          <w:szCs w:val="22"/>
        </w:rPr>
        <w:t xml:space="preserve">through Shannon’s entropy tool presented in Table </w:t>
      </w:r>
      <w:r w:rsidR="00536831">
        <w:rPr>
          <w:rFonts w:asciiTheme="majorBidi" w:hAnsiTheme="majorBidi" w:cstheme="majorBidi"/>
          <w:sz w:val="22"/>
          <w:szCs w:val="22"/>
        </w:rPr>
        <w:t>4</w:t>
      </w:r>
      <w:r w:rsidRPr="007C43AF">
        <w:rPr>
          <w:rFonts w:asciiTheme="majorBidi" w:hAnsiTheme="majorBidi" w:cstheme="majorBidi"/>
          <w:sz w:val="22"/>
          <w:szCs w:val="22"/>
        </w:rPr>
        <w:t xml:space="preserve">. The results indicate that privacy, culture, area, lifestyle, mental and emotional relaxation, satisfaction, security, identity, territory, and meaning </w:t>
      </w:r>
      <w:r w:rsidR="00A23111" w:rsidRPr="007C43AF">
        <w:rPr>
          <w:rFonts w:asciiTheme="majorBidi" w:hAnsiTheme="majorBidi" w:cstheme="majorBidi"/>
          <w:sz w:val="22"/>
          <w:szCs w:val="22"/>
        </w:rPr>
        <w:t>are</w:t>
      </w:r>
      <w:r w:rsidRPr="007C43AF">
        <w:rPr>
          <w:rFonts w:asciiTheme="majorBidi" w:hAnsiTheme="majorBidi" w:cstheme="majorBidi"/>
          <w:sz w:val="22"/>
          <w:szCs w:val="22"/>
        </w:rPr>
        <w:t xml:space="preserve"> the 10 </w:t>
      </w:r>
      <w:r w:rsidR="00A23111" w:rsidRPr="007C43AF">
        <w:rPr>
          <w:rFonts w:asciiTheme="majorBidi" w:hAnsiTheme="majorBidi" w:cstheme="majorBidi"/>
          <w:sz w:val="22"/>
          <w:szCs w:val="22"/>
        </w:rPr>
        <w:t>most challenging and factors</w:t>
      </w:r>
      <w:r w:rsidRPr="007C43AF">
        <w:rPr>
          <w:rFonts w:asciiTheme="majorBidi" w:hAnsiTheme="majorBidi" w:cstheme="majorBidi"/>
          <w:sz w:val="22"/>
          <w:szCs w:val="22"/>
        </w:rPr>
        <w:t xml:space="preserve"> in the articles published in Iranian periodicals</w:t>
      </w:r>
      <w:r w:rsidR="00A23111" w:rsidRPr="007C43AF">
        <w:rPr>
          <w:rFonts w:asciiTheme="majorBidi" w:hAnsiTheme="majorBidi" w:cstheme="majorBidi"/>
          <w:sz w:val="22"/>
          <w:szCs w:val="22"/>
        </w:rPr>
        <w:t xml:space="preserve"> based on Shannon Entropy calculations which was mentioned in methodology</w:t>
      </w:r>
      <w:r w:rsidR="00FE4346">
        <w:rPr>
          <w:rFonts w:asciiTheme="majorBidi" w:hAnsiTheme="majorBidi" w:cstheme="majorBidi"/>
          <w:sz w:val="22"/>
          <w:szCs w:val="22"/>
        </w:rPr>
        <w:t xml:space="preserve"> [19-51]</w:t>
      </w:r>
      <w:r w:rsidRPr="007C43AF">
        <w:rPr>
          <w:rFonts w:asciiTheme="majorBidi" w:hAnsiTheme="majorBidi" w:cstheme="majorBidi"/>
          <w:sz w:val="22"/>
          <w:szCs w:val="22"/>
        </w:rPr>
        <w:t>.</w:t>
      </w:r>
      <w:r w:rsidR="004C1847" w:rsidRPr="007C43AF">
        <w:rPr>
          <w:rFonts w:asciiTheme="majorBidi" w:hAnsiTheme="majorBidi" w:cstheme="majorBidi"/>
          <w:sz w:val="22"/>
          <w:szCs w:val="22"/>
        </w:rPr>
        <w:t xml:space="preserve"> </w:t>
      </w:r>
      <w:r w:rsidR="00916A1A" w:rsidRPr="007C43AF">
        <w:rPr>
          <w:rFonts w:asciiTheme="majorBidi" w:hAnsiTheme="majorBidi" w:cstheme="majorBidi"/>
          <w:sz w:val="22"/>
          <w:szCs w:val="22"/>
        </w:rPr>
        <w:t>Whereas</w:t>
      </w:r>
      <w:r w:rsidR="007C43AF">
        <w:rPr>
          <w:rFonts w:asciiTheme="majorBidi" w:hAnsiTheme="majorBidi" w:cstheme="majorBidi"/>
          <w:sz w:val="22"/>
          <w:szCs w:val="22"/>
        </w:rPr>
        <w:t>,</w:t>
      </w:r>
      <w:r w:rsidR="00916A1A" w:rsidRPr="007C43AF">
        <w:rPr>
          <w:rFonts w:asciiTheme="majorBidi" w:hAnsiTheme="majorBidi" w:cstheme="majorBidi"/>
          <w:sz w:val="22"/>
          <w:szCs w:val="22"/>
        </w:rPr>
        <w:t xml:space="preserve"> ligh</w:t>
      </w:r>
      <w:r w:rsidR="004C1847" w:rsidRPr="007C43AF">
        <w:rPr>
          <w:rFonts w:asciiTheme="majorBidi" w:hAnsiTheme="majorBidi" w:cstheme="majorBidi"/>
          <w:sz w:val="22"/>
          <w:szCs w:val="22"/>
        </w:rPr>
        <w:t xml:space="preserve">t, ventilation, sustainability, </w:t>
      </w:r>
      <w:r w:rsidR="00916A1A" w:rsidRPr="007C43AF">
        <w:rPr>
          <w:rFonts w:asciiTheme="majorBidi" w:hAnsiTheme="majorBidi" w:cstheme="majorBidi"/>
          <w:sz w:val="22"/>
          <w:szCs w:val="22"/>
        </w:rPr>
        <w:t>climate, sunlight, temperature</w:t>
      </w:r>
      <w:r w:rsidR="004C1847" w:rsidRPr="007C43AF">
        <w:rPr>
          <w:rFonts w:asciiTheme="majorBidi" w:hAnsiTheme="majorBidi" w:cstheme="majorBidi"/>
          <w:sz w:val="22"/>
          <w:szCs w:val="22"/>
        </w:rPr>
        <w:t>,</w:t>
      </w:r>
      <w:r w:rsidR="00916A1A" w:rsidRPr="007C43AF">
        <w:rPr>
          <w:rFonts w:asciiTheme="majorBidi" w:hAnsiTheme="majorBidi" w:cstheme="majorBidi"/>
          <w:sz w:val="22"/>
          <w:szCs w:val="22"/>
        </w:rPr>
        <w:t xml:space="preserve"> green space, energy consumption, </w:t>
      </w:r>
      <w:r w:rsidR="004C1847" w:rsidRPr="007C43AF">
        <w:rPr>
          <w:rFonts w:asciiTheme="majorBidi" w:hAnsiTheme="majorBidi" w:cstheme="majorBidi"/>
          <w:sz w:val="22"/>
          <w:szCs w:val="22"/>
        </w:rPr>
        <w:t xml:space="preserve">thermal comfort and wind are 10 </w:t>
      </w:r>
      <w:r w:rsidR="00916A1A" w:rsidRPr="007C43AF">
        <w:rPr>
          <w:rFonts w:asciiTheme="majorBidi" w:hAnsiTheme="majorBidi" w:cstheme="majorBidi"/>
          <w:sz w:val="22"/>
          <w:szCs w:val="22"/>
        </w:rPr>
        <w:t>factors with higher rates</w:t>
      </w:r>
      <w:r w:rsidR="00435A99" w:rsidRPr="007C43AF">
        <w:rPr>
          <w:rFonts w:asciiTheme="majorBidi" w:hAnsiTheme="majorBidi" w:cstheme="majorBidi"/>
          <w:sz w:val="22"/>
          <w:szCs w:val="22"/>
        </w:rPr>
        <w:t xml:space="preserve"> of stimulation</w:t>
      </w:r>
      <w:r w:rsidR="00FE4346">
        <w:rPr>
          <w:rFonts w:asciiTheme="majorBidi" w:hAnsiTheme="majorBidi" w:cstheme="majorBidi"/>
          <w:sz w:val="22"/>
          <w:szCs w:val="22"/>
        </w:rPr>
        <w:t xml:space="preserve"> [52-</w:t>
      </w:r>
      <w:r w:rsidR="00D41B0A">
        <w:rPr>
          <w:rFonts w:asciiTheme="majorBidi" w:hAnsiTheme="majorBidi" w:cstheme="majorBidi"/>
          <w:sz w:val="22"/>
          <w:szCs w:val="22"/>
        </w:rPr>
        <w:t>6</w:t>
      </w:r>
      <w:r w:rsidR="004A642A">
        <w:rPr>
          <w:rFonts w:asciiTheme="majorBidi" w:hAnsiTheme="majorBidi" w:cstheme="majorBidi"/>
          <w:sz w:val="22"/>
          <w:szCs w:val="22"/>
        </w:rPr>
        <w:t>8</w:t>
      </w:r>
      <w:r w:rsidR="00FE4346">
        <w:rPr>
          <w:rFonts w:asciiTheme="majorBidi" w:hAnsiTheme="majorBidi" w:cstheme="majorBidi"/>
          <w:sz w:val="22"/>
          <w:szCs w:val="22"/>
        </w:rPr>
        <w:t>]</w:t>
      </w:r>
      <w:r w:rsidR="00916A1A" w:rsidRPr="007C43AF">
        <w:rPr>
          <w:rFonts w:asciiTheme="majorBidi" w:hAnsiTheme="majorBidi" w:cstheme="majorBidi"/>
          <w:sz w:val="22"/>
          <w:szCs w:val="22"/>
        </w:rPr>
        <w:t xml:space="preserve">. </w:t>
      </w:r>
      <w:r w:rsidR="004C1847" w:rsidRPr="007C43AF">
        <w:rPr>
          <w:rFonts w:asciiTheme="majorBidi" w:hAnsiTheme="majorBidi" w:cstheme="majorBidi"/>
          <w:sz w:val="22"/>
          <w:szCs w:val="22"/>
        </w:rPr>
        <w:t>Variables,</w:t>
      </w:r>
      <w:r w:rsidRPr="007C43AF">
        <w:rPr>
          <w:rFonts w:asciiTheme="majorBidi" w:hAnsiTheme="majorBidi" w:cstheme="majorBidi"/>
          <w:sz w:val="22"/>
          <w:szCs w:val="22"/>
        </w:rPr>
        <w:t xml:space="preserve"> whose absolute </w:t>
      </w:r>
      <w:r w:rsidR="004C1847" w:rsidRPr="007C43AF">
        <w:rPr>
          <w:rFonts w:asciiTheme="majorBidi" w:hAnsiTheme="majorBidi" w:cstheme="majorBidi"/>
          <w:sz w:val="22"/>
          <w:szCs w:val="22"/>
        </w:rPr>
        <w:t>frequencies are</w:t>
      </w:r>
      <w:r w:rsidRPr="007C43AF">
        <w:rPr>
          <w:rFonts w:asciiTheme="majorBidi" w:hAnsiTheme="majorBidi" w:cstheme="majorBidi"/>
          <w:sz w:val="22"/>
          <w:szCs w:val="22"/>
        </w:rPr>
        <w:t xml:space="preserve"> 0, are assumed 0 in all calculation due to </w:t>
      </w:r>
      <w:r w:rsidRPr="007C43AF">
        <w:rPr>
          <w:rFonts w:asciiTheme="majorBidi" w:hAnsiTheme="majorBidi" w:cstheme="majorBidi"/>
          <w:sz w:val="22"/>
          <w:szCs w:val="22"/>
          <w:lang w:bidi="fa-IR"/>
        </w:rPr>
        <w:t>avoiding miscalculation with limitlessness.</w:t>
      </w:r>
    </w:p>
    <w:p w:rsidR="00536831" w:rsidRDefault="00536831" w:rsidP="00536831">
      <w:pPr>
        <w:jc w:val="center"/>
        <w:rPr>
          <w:sz w:val="20"/>
          <w:szCs w:val="20"/>
        </w:rPr>
      </w:pPr>
    </w:p>
    <w:p w:rsidR="00E26F42" w:rsidRPr="00B42A8F" w:rsidRDefault="00DA1FAC" w:rsidP="00B42A8F">
      <w:pPr>
        <w:jc w:val="center"/>
        <w:rPr>
          <w:lang w:val="en-US" w:bidi="fa-IR"/>
        </w:rPr>
      </w:pPr>
      <w:r w:rsidRPr="002911ED">
        <w:rPr>
          <w:sz w:val="18"/>
          <w:szCs w:val="18"/>
        </w:rPr>
        <w:t>Table</w:t>
      </w:r>
      <w:r w:rsidR="00536831" w:rsidRPr="002911ED">
        <w:rPr>
          <w:sz w:val="18"/>
          <w:szCs w:val="18"/>
        </w:rPr>
        <w:t>4</w:t>
      </w:r>
      <w:r w:rsidR="00A677C2" w:rsidRPr="002911ED">
        <w:rPr>
          <w:sz w:val="18"/>
          <w:szCs w:val="18"/>
        </w:rPr>
        <w:t xml:space="preserve">. </w:t>
      </w:r>
      <w:r w:rsidR="00B42A8F" w:rsidRPr="002911ED">
        <w:rPr>
          <w:sz w:val="18"/>
          <w:szCs w:val="18"/>
        </w:rPr>
        <w:t xml:space="preserve">Final </w:t>
      </w:r>
      <w:r w:rsidR="00A677C2" w:rsidRPr="002911ED">
        <w:rPr>
          <w:sz w:val="18"/>
          <w:szCs w:val="18"/>
        </w:rPr>
        <w:t xml:space="preserve">Ranking of </w:t>
      </w:r>
      <w:r w:rsidR="00536831" w:rsidRPr="002911ED">
        <w:rPr>
          <w:sz w:val="18"/>
          <w:szCs w:val="18"/>
        </w:rPr>
        <w:t xml:space="preserve">International and </w:t>
      </w:r>
      <w:r w:rsidR="00A677C2" w:rsidRPr="002911ED">
        <w:rPr>
          <w:sz w:val="18"/>
          <w:szCs w:val="18"/>
        </w:rPr>
        <w:t xml:space="preserve">Iranian </w:t>
      </w:r>
      <w:r w:rsidR="00B42A8F" w:rsidRPr="002911ED">
        <w:rPr>
          <w:sz w:val="18"/>
          <w:szCs w:val="18"/>
        </w:rPr>
        <w:t>Most Challengeable</w:t>
      </w:r>
      <w:r w:rsidR="00A677C2" w:rsidRPr="002911ED">
        <w:rPr>
          <w:sz w:val="18"/>
          <w:szCs w:val="18"/>
        </w:rPr>
        <w:t xml:space="preserve"> variables using Shannon Entropy</w:t>
      </w:r>
    </w:p>
    <w:tbl>
      <w:tblPr>
        <w:tblStyle w:val="TableGrid"/>
        <w:tblW w:w="8568" w:type="dxa"/>
        <w:tblLook w:val="04A0" w:firstRow="1" w:lastRow="0" w:firstColumn="1" w:lastColumn="0" w:noHBand="0" w:noVBand="1"/>
      </w:tblPr>
      <w:tblGrid>
        <w:gridCol w:w="2448"/>
        <w:gridCol w:w="1890"/>
        <w:gridCol w:w="2088"/>
        <w:gridCol w:w="2142"/>
      </w:tblGrid>
      <w:tr w:rsidR="00B42A8F" w:rsidRPr="0055270D" w:rsidTr="00B42A8F">
        <w:trPr>
          <w:trHeight w:val="288"/>
        </w:trPr>
        <w:tc>
          <w:tcPr>
            <w:tcW w:w="4338" w:type="dxa"/>
            <w:gridSpan w:val="2"/>
            <w:shd w:val="clear" w:color="auto" w:fill="C4BC96" w:themeFill="background2" w:themeFillShade="BF"/>
            <w:noWrap/>
          </w:tcPr>
          <w:p w:rsidR="00B42A8F" w:rsidRPr="002911ED" w:rsidRDefault="00B42A8F" w:rsidP="00A35285">
            <w:pPr>
              <w:spacing w:line="240" w:lineRule="atLeast"/>
              <w:contextualSpacing/>
              <w:rPr>
                <w:rFonts w:ascii="Times New Roman" w:eastAsia="Times New Roman" w:hAnsi="Times New Roman" w:cs="Times New Roman"/>
                <w:b/>
                <w:bCs/>
                <w:sz w:val="18"/>
                <w:szCs w:val="18"/>
                <w:lang w:val="en-GB" w:eastAsia="en-GB" w:bidi="ar-SA"/>
              </w:rPr>
            </w:pPr>
            <w:r w:rsidRPr="002911ED">
              <w:rPr>
                <w:rFonts w:ascii="Times New Roman" w:eastAsia="Times New Roman" w:hAnsi="Times New Roman" w:cs="Times New Roman"/>
                <w:b/>
                <w:bCs/>
                <w:sz w:val="18"/>
                <w:szCs w:val="18"/>
                <w:lang w:val="en-GB" w:eastAsia="en-GB" w:bidi="ar-SA"/>
              </w:rPr>
              <w:t>International Variables</w:t>
            </w:r>
          </w:p>
        </w:tc>
        <w:tc>
          <w:tcPr>
            <w:tcW w:w="4230" w:type="dxa"/>
            <w:gridSpan w:val="2"/>
            <w:shd w:val="clear" w:color="auto" w:fill="C4BC96" w:themeFill="background2" w:themeFillShade="BF"/>
          </w:tcPr>
          <w:p w:rsidR="00B42A8F" w:rsidRPr="002911ED" w:rsidRDefault="00B42A8F" w:rsidP="00A35285">
            <w:pPr>
              <w:spacing w:line="240" w:lineRule="atLeast"/>
              <w:contextualSpacing/>
              <w:rPr>
                <w:rFonts w:ascii="Times New Roman" w:eastAsia="Times New Roman" w:hAnsi="Times New Roman" w:cs="Times New Roman"/>
                <w:b/>
                <w:bCs/>
                <w:sz w:val="18"/>
                <w:szCs w:val="18"/>
                <w:lang w:val="en-GB" w:eastAsia="en-GB" w:bidi="ar-SA"/>
              </w:rPr>
            </w:pPr>
            <w:r w:rsidRPr="002911ED">
              <w:rPr>
                <w:rFonts w:ascii="Times New Roman" w:eastAsia="Times New Roman" w:hAnsi="Times New Roman" w:cs="Times New Roman"/>
                <w:b/>
                <w:bCs/>
                <w:sz w:val="18"/>
                <w:szCs w:val="18"/>
                <w:lang w:val="en-GB" w:eastAsia="en-GB" w:bidi="ar-SA"/>
              </w:rPr>
              <w:t>Iranian Variables</w:t>
            </w:r>
          </w:p>
        </w:tc>
      </w:tr>
      <w:tr w:rsidR="00B42A8F" w:rsidRPr="0055270D" w:rsidTr="00B42A8F">
        <w:trPr>
          <w:trHeight w:val="288"/>
        </w:trPr>
        <w:tc>
          <w:tcPr>
            <w:tcW w:w="2448" w:type="dxa"/>
            <w:shd w:val="clear" w:color="auto" w:fill="DDD9C3" w:themeFill="background2" w:themeFillShade="E6"/>
            <w:noWrap/>
            <w:hideMark/>
          </w:tcPr>
          <w:p w:rsidR="00B42A8F" w:rsidRPr="002911ED" w:rsidRDefault="00B42A8F" w:rsidP="00A35285">
            <w:pPr>
              <w:spacing w:line="240" w:lineRule="atLeast"/>
              <w:contextualSpacing/>
              <w:rPr>
                <w:rFonts w:ascii="Times New Roman" w:eastAsia="Times New Roman" w:hAnsi="Times New Roman" w:cs="Times New Roman"/>
                <w:b/>
                <w:bCs/>
                <w:sz w:val="18"/>
                <w:szCs w:val="18"/>
                <w:lang w:val="en-GB" w:eastAsia="en-GB" w:bidi="ar-SA"/>
              </w:rPr>
            </w:pPr>
            <w:r w:rsidRPr="002911ED">
              <w:rPr>
                <w:rFonts w:ascii="Times New Roman" w:eastAsia="Times New Roman" w:hAnsi="Times New Roman" w:cs="Times New Roman"/>
                <w:b/>
                <w:bCs/>
                <w:sz w:val="18"/>
                <w:szCs w:val="18"/>
                <w:lang w:val="en-GB" w:eastAsia="en-GB" w:bidi="ar-SA"/>
              </w:rPr>
              <w:t>variable</w:t>
            </w:r>
          </w:p>
        </w:tc>
        <w:tc>
          <w:tcPr>
            <w:tcW w:w="1890" w:type="dxa"/>
            <w:shd w:val="clear" w:color="auto" w:fill="DDD9C3" w:themeFill="background2" w:themeFillShade="E6"/>
            <w:noWrap/>
            <w:hideMark/>
          </w:tcPr>
          <w:p w:rsidR="00B42A8F" w:rsidRPr="002911ED" w:rsidRDefault="00B42A8F" w:rsidP="00A35285">
            <w:pPr>
              <w:spacing w:line="240" w:lineRule="atLeast"/>
              <w:contextualSpacing/>
              <w:rPr>
                <w:rFonts w:ascii="Times New Roman" w:eastAsia="Times New Roman" w:hAnsi="Times New Roman" w:cs="Times New Roman"/>
                <w:b/>
                <w:bCs/>
                <w:sz w:val="18"/>
                <w:szCs w:val="18"/>
                <w:lang w:val="en-GB" w:eastAsia="en-GB" w:bidi="ar-SA"/>
              </w:rPr>
            </w:pPr>
            <w:r w:rsidRPr="002911ED">
              <w:rPr>
                <w:rFonts w:ascii="Times New Roman" w:eastAsia="Times New Roman" w:hAnsi="Times New Roman" w:cs="Times New Roman"/>
                <w:b/>
                <w:bCs/>
                <w:sz w:val="18"/>
                <w:szCs w:val="18"/>
                <w:lang w:val="en-GB" w:eastAsia="en-GB" w:bidi="ar-SA"/>
              </w:rPr>
              <w:t>Final Rank Using Shannon Entropy</w:t>
            </w:r>
          </w:p>
        </w:tc>
        <w:tc>
          <w:tcPr>
            <w:tcW w:w="2088" w:type="dxa"/>
            <w:shd w:val="clear" w:color="auto" w:fill="DDD9C3" w:themeFill="background2" w:themeFillShade="E6"/>
          </w:tcPr>
          <w:p w:rsidR="00B42A8F" w:rsidRPr="002911ED" w:rsidRDefault="00B42A8F" w:rsidP="00A35285">
            <w:pPr>
              <w:spacing w:line="240" w:lineRule="atLeast"/>
              <w:contextualSpacing/>
              <w:rPr>
                <w:rFonts w:ascii="Times New Roman" w:eastAsia="Times New Roman" w:hAnsi="Times New Roman" w:cs="Times New Roman"/>
                <w:b/>
                <w:bCs/>
                <w:sz w:val="18"/>
                <w:szCs w:val="18"/>
                <w:lang w:val="en-GB" w:eastAsia="en-GB" w:bidi="ar-SA"/>
              </w:rPr>
            </w:pPr>
            <w:r w:rsidRPr="002911ED">
              <w:rPr>
                <w:rFonts w:ascii="Times New Roman" w:eastAsia="Times New Roman" w:hAnsi="Times New Roman" w:cs="Times New Roman"/>
                <w:b/>
                <w:bCs/>
                <w:sz w:val="18"/>
                <w:szCs w:val="18"/>
                <w:lang w:val="en-GB" w:eastAsia="en-GB" w:bidi="ar-SA"/>
              </w:rPr>
              <w:t>variable</w:t>
            </w:r>
          </w:p>
        </w:tc>
        <w:tc>
          <w:tcPr>
            <w:tcW w:w="2142" w:type="dxa"/>
            <w:shd w:val="clear" w:color="auto" w:fill="DDD9C3" w:themeFill="background2" w:themeFillShade="E6"/>
          </w:tcPr>
          <w:p w:rsidR="00B42A8F" w:rsidRPr="002911ED" w:rsidRDefault="00B42A8F" w:rsidP="00A35285">
            <w:pPr>
              <w:spacing w:line="240" w:lineRule="atLeast"/>
              <w:contextualSpacing/>
              <w:rPr>
                <w:rFonts w:ascii="Times New Roman" w:eastAsia="Times New Roman" w:hAnsi="Times New Roman" w:cs="Times New Roman"/>
                <w:b/>
                <w:bCs/>
                <w:sz w:val="18"/>
                <w:szCs w:val="18"/>
                <w:lang w:val="en-GB" w:eastAsia="en-GB" w:bidi="ar-SA"/>
              </w:rPr>
            </w:pPr>
            <w:r w:rsidRPr="002911ED">
              <w:rPr>
                <w:rFonts w:ascii="Times New Roman" w:eastAsia="Times New Roman" w:hAnsi="Times New Roman" w:cs="Times New Roman"/>
                <w:b/>
                <w:bCs/>
                <w:sz w:val="18"/>
                <w:szCs w:val="18"/>
                <w:lang w:val="en-GB" w:eastAsia="en-GB" w:bidi="ar-SA"/>
              </w:rPr>
              <w:t>Final Rank Using Shannon Entropy</w:t>
            </w:r>
          </w:p>
        </w:tc>
      </w:tr>
      <w:tr w:rsidR="00B42A8F" w:rsidRPr="0055270D" w:rsidTr="00A35285">
        <w:trPr>
          <w:trHeight w:val="288"/>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light</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1</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p</w:t>
            </w:r>
            <w:r w:rsidRPr="002911ED">
              <w:rPr>
                <w:rFonts w:ascii="Times New Roman" w:eastAsia="Times New Roman" w:hAnsi="Times New Roman" w:cs="Times New Roman"/>
                <w:sz w:val="18"/>
                <w:szCs w:val="18"/>
                <w:lang w:val="en-GB" w:eastAsia="en-GB" w:bidi="ar-SA"/>
              </w:rPr>
              <w:t>rivacy</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1</w:t>
            </w:r>
          </w:p>
        </w:tc>
      </w:tr>
      <w:tr w:rsidR="00B42A8F" w:rsidRPr="0055270D" w:rsidTr="00A35285">
        <w:trPr>
          <w:trHeight w:val="288"/>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ventilation</w:t>
            </w:r>
          </w:p>
        </w:tc>
        <w:tc>
          <w:tcPr>
            <w:tcW w:w="1890"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c</w:t>
            </w:r>
            <w:r w:rsidRPr="002911ED">
              <w:rPr>
                <w:rFonts w:ascii="Times New Roman" w:eastAsia="Times New Roman" w:hAnsi="Times New Roman" w:cs="Times New Roman"/>
                <w:sz w:val="18"/>
                <w:szCs w:val="18"/>
                <w:lang w:val="en-GB" w:eastAsia="en-GB" w:bidi="ar-SA"/>
              </w:rPr>
              <w:t>ulture</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w:t>
            </w:r>
          </w:p>
        </w:tc>
      </w:tr>
      <w:tr w:rsidR="00B42A8F" w:rsidRPr="0055270D" w:rsidTr="00A35285">
        <w:trPr>
          <w:trHeight w:val="288"/>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sustainability</w:t>
            </w:r>
          </w:p>
        </w:tc>
        <w:tc>
          <w:tcPr>
            <w:tcW w:w="1890"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Arena</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w:t>
            </w:r>
          </w:p>
        </w:tc>
      </w:tr>
      <w:tr w:rsidR="00B42A8F" w:rsidRPr="0055270D" w:rsidTr="00A35285">
        <w:trPr>
          <w:trHeight w:val="288"/>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climate</w:t>
            </w:r>
          </w:p>
        </w:tc>
        <w:tc>
          <w:tcPr>
            <w:tcW w:w="1890"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4</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lifestyle</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4</w:t>
            </w:r>
          </w:p>
        </w:tc>
      </w:tr>
      <w:tr w:rsidR="00B42A8F" w:rsidRPr="0055270D" w:rsidTr="00A35285">
        <w:trPr>
          <w:trHeight w:val="288"/>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sunlight</w:t>
            </w:r>
          </w:p>
        </w:tc>
        <w:tc>
          <w:tcPr>
            <w:tcW w:w="1890"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5</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psychological comfort</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5</w:t>
            </w:r>
          </w:p>
        </w:tc>
      </w:tr>
      <w:tr w:rsidR="00B42A8F" w:rsidRPr="0055270D" w:rsidTr="00A35285">
        <w:trPr>
          <w:trHeight w:val="288"/>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temperature</w:t>
            </w:r>
          </w:p>
        </w:tc>
        <w:tc>
          <w:tcPr>
            <w:tcW w:w="1890"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6</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satisfaction</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6</w:t>
            </w:r>
          </w:p>
        </w:tc>
      </w:tr>
      <w:tr w:rsidR="00B42A8F" w:rsidRPr="0055270D" w:rsidTr="00A35285">
        <w:trPr>
          <w:trHeight w:val="288"/>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green space</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7</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security</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7</w:t>
            </w:r>
          </w:p>
        </w:tc>
      </w:tr>
      <w:tr w:rsidR="00B42A8F" w:rsidRPr="0055270D" w:rsidTr="00A35285">
        <w:trPr>
          <w:trHeight w:val="288"/>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energy consumption</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8</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identity</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8</w:t>
            </w:r>
          </w:p>
        </w:tc>
      </w:tr>
      <w:tr w:rsidR="00B42A8F" w:rsidRPr="0055270D" w:rsidTr="00A35285">
        <w:trPr>
          <w:trHeight w:val="288"/>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thermal comfort</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9</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territory</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9</w:t>
            </w:r>
          </w:p>
        </w:tc>
      </w:tr>
      <w:tr w:rsidR="00B42A8F" w:rsidRPr="0055270D" w:rsidTr="00A35285">
        <w:trPr>
          <w:trHeight w:val="129"/>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wind</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10</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meaning</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10</w:t>
            </w:r>
          </w:p>
        </w:tc>
      </w:tr>
      <w:tr w:rsidR="00B42A8F" w:rsidRPr="0055270D" w:rsidTr="00A35285">
        <w:trPr>
          <w:trHeight w:val="147"/>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Environment</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11</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sense of place</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11</w:t>
            </w:r>
          </w:p>
        </w:tc>
      </w:tr>
      <w:tr w:rsidR="00B42A8F" w:rsidRPr="0055270D" w:rsidTr="00A35285">
        <w:trPr>
          <w:trHeight w:val="75"/>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weather</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12</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place desirability</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12</w:t>
            </w:r>
          </w:p>
        </w:tc>
      </w:tr>
      <w:tr w:rsidR="00B42A8F" w:rsidRPr="0055270D" w:rsidTr="00A35285">
        <w:trPr>
          <w:trHeight w:val="102"/>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technology</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13</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social interaction</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13</w:t>
            </w:r>
          </w:p>
        </w:tc>
      </w:tr>
      <w:tr w:rsidR="00B42A8F" w:rsidRPr="0055270D" w:rsidTr="00A35285">
        <w:trPr>
          <w:trHeight w:val="50"/>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energy efficiency</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13</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order</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14</w:t>
            </w:r>
          </w:p>
        </w:tc>
      </w:tr>
      <w:tr w:rsidR="00B42A8F" w:rsidRPr="0055270D" w:rsidTr="00A35285">
        <w:trPr>
          <w:trHeight w:val="50"/>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shading</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14</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spirituality</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15</w:t>
            </w:r>
          </w:p>
        </w:tc>
      </w:tr>
      <w:tr w:rsidR="00B42A8F" w:rsidRPr="0055270D" w:rsidTr="00A35285">
        <w:trPr>
          <w:trHeight w:val="156"/>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orientation</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15</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flexibility</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16</w:t>
            </w:r>
          </w:p>
        </w:tc>
      </w:tr>
      <w:tr w:rsidR="00B42A8F" w:rsidRPr="0055270D" w:rsidTr="00A35285">
        <w:trPr>
          <w:trHeight w:val="174"/>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greenhouse gas</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15</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quality of life</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17</w:t>
            </w:r>
          </w:p>
        </w:tc>
      </w:tr>
      <w:tr w:rsidR="00B42A8F" w:rsidRPr="0055270D" w:rsidTr="00A35285">
        <w:trPr>
          <w:trHeight w:val="111"/>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air</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15</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neighbor interaction</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18</w:t>
            </w:r>
          </w:p>
        </w:tc>
      </w:tr>
      <w:tr w:rsidR="00B42A8F" w:rsidRPr="0055270D" w:rsidTr="00A35285">
        <w:trPr>
          <w:trHeight w:val="219"/>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planning</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16</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solitude</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18</w:t>
            </w:r>
          </w:p>
        </w:tc>
      </w:tr>
      <w:tr w:rsidR="00B42A8F" w:rsidRPr="0055270D" w:rsidTr="00A35285">
        <w:trPr>
          <w:trHeight w:val="147"/>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acoustic insulation</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16</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sight control</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19</w:t>
            </w:r>
          </w:p>
        </w:tc>
      </w:tr>
      <w:tr w:rsidR="00B42A8F" w:rsidRPr="0055270D" w:rsidTr="00A35285">
        <w:trPr>
          <w:trHeight w:val="165"/>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water</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17</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aesthetics</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19</w:t>
            </w:r>
          </w:p>
        </w:tc>
      </w:tr>
      <w:tr w:rsidR="00B42A8F" w:rsidRPr="0055270D" w:rsidTr="00A35285">
        <w:trPr>
          <w:trHeight w:val="192"/>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economics</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18</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collective feeling</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20</w:t>
            </w:r>
          </w:p>
        </w:tc>
      </w:tr>
      <w:tr w:rsidR="00B42A8F" w:rsidRPr="0055270D" w:rsidTr="00A35285">
        <w:trPr>
          <w:trHeight w:val="210"/>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construction method</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19</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personal space</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20</w:t>
            </w:r>
          </w:p>
        </w:tc>
      </w:tr>
      <w:tr w:rsidR="00B42A8F" w:rsidRPr="0055270D" w:rsidTr="00A35285">
        <w:trPr>
          <w:trHeight w:val="138"/>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housing costs</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19</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unity</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21</w:t>
            </w:r>
          </w:p>
        </w:tc>
      </w:tr>
      <w:tr w:rsidR="00B42A8F" w:rsidRPr="0055270D" w:rsidTr="00A35285">
        <w:trPr>
          <w:trHeight w:val="156"/>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renewable energy</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20</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diversity</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21</w:t>
            </w:r>
          </w:p>
        </w:tc>
      </w:tr>
      <w:tr w:rsidR="00B42A8F" w:rsidRPr="0055270D" w:rsidTr="00A35285">
        <w:trPr>
          <w:trHeight w:val="174"/>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seismic design</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21</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symbol</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21</w:t>
            </w:r>
          </w:p>
        </w:tc>
      </w:tr>
      <w:tr w:rsidR="00B42A8F" w:rsidRPr="0055270D" w:rsidTr="00A35285">
        <w:trPr>
          <w:trHeight w:val="111"/>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material</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21</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family interaction</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21</w:t>
            </w:r>
          </w:p>
        </w:tc>
      </w:tr>
      <w:tr w:rsidR="00B42A8F" w:rsidRPr="0055270D" w:rsidTr="00A35285">
        <w:trPr>
          <w:trHeight w:val="50"/>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archetype</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22</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Introversion</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22</w:t>
            </w:r>
          </w:p>
        </w:tc>
      </w:tr>
      <w:tr w:rsidR="00B42A8F" w:rsidRPr="0055270D" w:rsidTr="00A35285">
        <w:trPr>
          <w:trHeight w:val="147"/>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solar energy</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22</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sign</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23</w:t>
            </w:r>
          </w:p>
        </w:tc>
      </w:tr>
      <w:tr w:rsidR="00B42A8F" w:rsidRPr="0055270D" w:rsidTr="00A35285">
        <w:trPr>
          <w:trHeight w:val="165"/>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housing market</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23</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creativity</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23</w:t>
            </w:r>
          </w:p>
        </w:tc>
      </w:tr>
      <w:tr w:rsidR="00B42A8F" w:rsidRPr="0055270D" w:rsidTr="00A35285">
        <w:trPr>
          <w:trHeight w:val="102"/>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cooling</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23</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dominance</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24</w:t>
            </w:r>
          </w:p>
        </w:tc>
      </w:tr>
      <w:tr w:rsidR="00B42A8F" w:rsidRPr="0055270D" w:rsidTr="00A35285">
        <w:trPr>
          <w:trHeight w:val="210"/>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conservation</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24</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personalization</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24</w:t>
            </w:r>
          </w:p>
        </w:tc>
      </w:tr>
      <w:tr w:rsidR="00B42A8F" w:rsidRPr="0055270D" w:rsidTr="00A35285">
        <w:trPr>
          <w:trHeight w:val="138"/>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rain</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24</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visual connection</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24</w:t>
            </w:r>
          </w:p>
        </w:tc>
      </w:tr>
      <w:tr w:rsidR="00B42A8F" w:rsidRPr="0055270D" w:rsidTr="00A35285">
        <w:trPr>
          <w:trHeight w:val="156"/>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multi-family housing</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25</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adaptation</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25</w:t>
            </w:r>
          </w:p>
        </w:tc>
      </w:tr>
      <w:tr w:rsidR="00B42A8F" w:rsidRPr="0055270D" w:rsidTr="00A35285">
        <w:trPr>
          <w:trHeight w:val="174"/>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heating</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25</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visual privacy</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26</w:t>
            </w:r>
          </w:p>
        </w:tc>
      </w:tr>
      <w:tr w:rsidR="00B42A8F" w:rsidRPr="0055270D" w:rsidTr="00A35285">
        <w:trPr>
          <w:trHeight w:val="111"/>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lastRenderedPageBreak/>
              <w:t>photovoltaic</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25</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mental health</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26</w:t>
            </w:r>
          </w:p>
        </w:tc>
      </w:tr>
      <w:tr w:rsidR="00B42A8F" w:rsidRPr="0055270D" w:rsidTr="00A35285">
        <w:trPr>
          <w:trHeight w:val="129"/>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ecology</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25</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visual attraction</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27</w:t>
            </w:r>
          </w:p>
        </w:tc>
      </w:tr>
      <w:tr w:rsidR="00B42A8F" w:rsidRPr="0055270D" w:rsidTr="00A35285">
        <w:trPr>
          <w:trHeight w:val="57"/>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housing Density</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26</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attachment</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27</w:t>
            </w:r>
          </w:p>
        </w:tc>
      </w:tr>
      <w:tr w:rsidR="00B42A8F" w:rsidRPr="0055270D" w:rsidTr="00A35285">
        <w:trPr>
          <w:trHeight w:val="50"/>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structure</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26</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hospitality</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27</w:t>
            </w:r>
          </w:p>
        </w:tc>
      </w:tr>
      <w:tr w:rsidR="00B42A8F" w:rsidRPr="0055270D" w:rsidTr="00A35285">
        <w:trPr>
          <w:trHeight w:val="102"/>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simulation</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26</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interactivity</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27</w:t>
            </w:r>
          </w:p>
        </w:tc>
      </w:tr>
      <w:tr w:rsidR="00B42A8F" w:rsidRPr="0055270D" w:rsidTr="00A35285">
        <w:trPr>
          <w:trHeight w:val="102"/>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humidity</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26</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mental comfort</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28</w:t>
            </w:r>
          </w:p>
        </w:tc>
      </w:tr>
      <w:tr w:rsidR="00B42A8F" w:rsidRPr="0055270D" w:rsidTr="00A35285">
        <w:trPr>
          <w:trHeight w:val="102"/>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air quality</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26</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visual comfort</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28</w:t>
            </w:r>
          </w:p>
        </w:tc>
      </w:tr>
      <w:tr w:rsidR="00B42A8F" w:rsidRPr="0055270D" w:rsidTr="00A35285">
        <w:trPr>
          <w:trHeight w:val="102"/>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smart home</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27</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humanoid</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28</w:t>
            </w:r>
          </w:p>
        </w:tc>
      </w:tr>
      <w:tr w:rsidR="00B42A8F" w:rsidRPr="0055270D" w:rsidTr="00A35285">
        <w:trPr>
          <w:trHeight w:val="102"/>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standardization</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27</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visual field</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28</w:t>
            </w:r>
          </w:p>
        </w:tc>
      </w:tr>
      <w:tr w:rsidR="00B42A8F" w:rsidRPr="0055270D" w:rsidTr="00A35285">
        <w:trPr>
          <w:trHeight w:val="102"/>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industrialization</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27</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sense of attachment</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28</w:t>
            </w:r>
          </w:p>
        </w:tc>
      </w:tr>
      <w:tr w:rsidR="00B42A8F" w:rsidRPr="0055270D" w:rsidTr="00A35285">
        <w:trPr>
          <w:trHeight w:val="120"/>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thermal performance</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27</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centeredness</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29</w:t>
            </w:r>
          </w:p>
        </w:tc>
      </w:tr>
      <w:tr w:rsidR="00B42A8F" w:rsidRPr="0055270D" w:rsidTr="00A35285">
        <w:trPr>
          <w:trHeight w:val="50"/>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airflow</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27</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mystery</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29</w:t>
            </w:r>
          </w:p>
        </w:tc>
      </w:tr>
      <w:tr w:rsidR="00B42A8F" w:rsidRPr="0055270D" w:rsidTr="00A35285">
        <w:trPr>
          <w:trHeight w:val="156"/>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house sharing</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28</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intimacy</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29</w:t>
            </w:r>
          </w:p>
        </w:tc>
      </w:tr>
      <w:tr w:rsidR="00B42A8F" w:rsidRPr="0055270D" w:rsidTr="00A35285">
        <w:trPr>
          <w:trHeight w:val="174"/>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air conditioning</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28</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holy foundations</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29</w:t>
            </w:r>
          </w:p>
        </w:tc>
      </w:tr>
      <w:tr w:rsidR="00B42A8F" w:rsidRPr="0055270D" w:rsidTr="00A35285">
        <w:trPr>
          <w:trHeight w:val="201"/>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Glare</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28</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social respect</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29</w:t>
            </w:r>
          </w:p>
        </w:tc>
      </w:tr>
      <w:tr w:rsidR="00B42A8F" w:rsidRPr="0055270D" w:rsidTr="00A35285">
        <w:trPr>
          <w:trHeight w:val="219"/>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revitalization</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29</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socialization</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29</w:t>
            </w:r>
          </w:p>
        </w:tc>
      </w:tr>
      <w:tr w:rsidR="00B42A8F" w:rsidRPr="0055270D" w:rsidTr="00A35285">
        <w:trPr>
          <w:trHeight w:val="147"/>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seismic vulnerability</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29</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enclosure</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30</w:t>
            </w:r>
          </w:p>
        </w:tc>
      </w:tr>
      <w:tr w:rsidR="00B42A8F" w:rsidRPr="0055270D" w:rsidTr="00A35285">
        <w:trPr>
          <w:trHeight w:val="165"/>
        </w:trPr>
        <w:tc>
          <w:tcPr>
            <w:tcW w:w="2448"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electricity use</w:t>
            </w:r>
          </w:p>
        </w:tc>
        <w:tc>
          <w:tcPr>
            <w:tcW w:w="1890" w:type="dxa"/>
            <w:noWrap/>
            <w:hideMark/>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29</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distinction</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30</w:t>
            </w:r>
          </w:p>
        </w:tc>
      </w:tr>
      <w:tr w:rsidR="00B42A8F" w:rsidRPr="0055270D" w:rsidTr="00A35285">
        <w:trPr>
          <w:trHeight w:val="192"/>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smart building</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30</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abstraction</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30</w:t>
            </w:r>
          </w:p>
        </w:tc>
      </w:tr>
      <w:tr w:rsidR="00B42A8F" w:rsidRPr="0055270D" w:rsidTr="00A35285">
        <w:trPr>
          <w:trHeight w:val="120"/>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low carbon buildings</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30</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functionality</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30</w:t>
            </w:r>
          </w:p>
        </w:tc>
      </w:tr>
      <w:tr w:rsidR="00B42A8F" w:rsidRPr="0055270D" w:rsidTr="00A35285">
        <w:trPr>
          <w:trHeight w:val="138"/>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townscape</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31</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Introversion and Extraversion</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30</w:t>
            </w:r>
          </w:p>
        </w:tc>
      </w:tr>
      <w:tr w:rsidR="00B42A8F" w:rsidRPr="0055270D" w:rsidTr="00A35285">
        <w:trPr>
          <w:trHeight w:val="156"/>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responsive architecture</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31</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futility avoiding</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30</w:t>
            </w:r>
          </w:p>
        </w:tc>
      </w:tr>
      <w:tr w:rsidR="00B42A8F" w:rsidRPr="0055270D" w:rsidTr="00A35285">
        <w:trPr>
          <w:trHeight w:val="174"/>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decision making</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31</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transparency</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31</w:t>
            </w:r>
          </w:p>
        </w:tc>
      </w:tr>
      <w:tr w:rsidR="00B42A8F" w:rsidRPr="0055270D" w:rsidTr="00A35285">
        <w:trPr>
          <w:trHeight w:val="111"/>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renovate</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31</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visual concentration</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31</w:t>
            </w:r>
          </w:p>
        </w:tc>
      </w:tr>
      <w:tr w:rsidR="00B42A8F" w:rsidRPr="0055270D" w:rsidTr="00A35285">
        <w:trPr>
          <w:trHeight w:val="129"/>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structural performance</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31</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visual diversity</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31</w:t>
            </w:r>
          </w:p>
        </w:tc>
      </w:tr>
      <w:tr w:rsidR="00B42A8F" w:rsidRPr="0055270D" w:rsidTr="00A35285">
        <w:trPr>
          <w:trHeight w:val="138"/>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modelling</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31</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allegory</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31</w:t>
            </w:r>
          </w:p>
        </w:tc>
      </w:tr>
      <w:tr w:rsidR="00B42A8F" w:rsidRPr="0055270D" w:rsidTr="00A35285">
        <w:trPr>
          <w:trHeight w:val="201"/>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modernity</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31</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thinking possibility</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31</w:t>
            </w:r>
          </w:p>
        </w:tc>
      </w:tr>
      <w:tr w:rsidR="00B42A8F" w:rsidRPr="0055270D" w:rsidTr="00A35285">
        <w:trPr>
          <w:trHeight w:val="129"/>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sustainable development</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31</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content</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31</w:t>
            </w:r>
          </w:p>
        </w:tc>
      </w:tr>
      <w:tr w:rsidR="00B42A8F" w:rsidRPr="0055270D" w:rsidTr="00A35285">
        <w:trPr>
          <w:trHeight w:val="201"/>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suburbanization</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32</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soul of place</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31</w:t>
            </w:r>
          </w:p>
        </w:tc>
      </w:tr>
      <w:tr w:rsidR="00B42A8F" w:rsidRPr="0055270D" w:rsidTr="00A35285">
        <w:trPr>
          <w:trHeight w:val="219"/>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sensitivity evaluation</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32</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remembrance</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31</w:t>
            </w:r>
          </w:p>
        </w:tc>
      </w:tr>
      <w:tr w:rsidR="00B42A8F" w:rsidRPr="0055270D" w:rsidTr="00A35285">
        <w:trPr>
          <w:trHeight w:val="147"/>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prefabrication</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32</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self-expression</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31</w:t>
            </w:r>
          </w:p>
        </w:tc>
      </w:tr>
      <w:tr w:rsidR="00B42A8F" w:rsidRPr="0055270D" w:rsidTr="00A35285">
        <w:trPr>
          <w:trHeight w:val="165"/>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seismicity</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32</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legibility</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31</w:t>
            </w:r>
          </w:p>
        </w:tc>
      </w:tr>
      <w:tr w:rsidR="00B42A8F" w:rsidRPr="0055270D" w:rsidTr="00A35285">
        <w:trPr>
          <w:trHeight w:val="210"/>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earthquake damage</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32</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adequacy</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31</w:t>
            </w:r>
          </w:p>
        </w:tc>
      </w:tr>
      <w:tr w:rsidR="00B42A8F" w:rsidRPr="0055270D" w:rsidTr="00A35285">
        <w:trPr>
          <w:trHeight w:val="228"/>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performance evaluation</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32</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folklore</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31</w:t>
            </w:r>
          </w:p>
        </w:tc>
      </w:tr>
      <w:tr w:rsidR="00B42A8F" w:rsidRPr="0055270D" w:rsidTr="00A35285">
        <w:trPr>
          <w:trHeight w:val="156"/>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multi dwelling system</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32</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performance</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31</w:t>
            </w:r>
          </w:p>
        </w:tc>
      </w:tr>
      <w:tr w:rsidR="00B42A8F" w:rsidRPr="0055270D" w:rsidTr="00A35285">
        <w:trPr>
          <w:trHeight w:val="174"/>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isolated family house</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32</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visual adaptation</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32</w:t>
            </w:r>
          </w:p>
        </w:tc>
      </w:tr>
      <w:tr w:rsidR="00B42A8F" w:rsidRPr="0055270D" w:rsidTr="00A35285">
        <w:trPr>
          <w:trHeight w:val="201"/>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public housing</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32</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visual order</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32</w:t>
            </w:r>
          </w:p>
        </w:tc>
      </w:tr>
      <w:tr w:rsidR="00B42A8F" w:rsidRPr="0055270D" w:rsidTr="00A35285">
        <w:trPr>
          <w:trHeight w:val="129"/>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design</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32</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reflection</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32</w:t>
            </w:r>
          </w:p>
        </w:tc>
      </w:tr>
      <w:tr w:rsidR="00B42A8F" w:rsidRPr="0055270D" w:rsidTr="00A35285">
        <w:trPr>
          <w:trHeight w:val="147"/>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automation</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32</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integrity</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32</w:t>
            </w:r>
          </w:p>
        </w:tc>
      </w:tr>
      <w:tr w:rsidR="00B42A8F" w:rsidRPr="0055270D" w:rsidTr="00A35285">
        <w:trPr>
          <w:trHeight w:val="165"/>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acoustic performance</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32</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sense of rooted</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32</w:t>
            </w:r>
          </w:p>
        </w:tc>
      </w:tr>
      <w:tr w:rsidR="00B42A8F" w:rsidRPr="0055270D" w:rsidTr="00A35285">
        <w:trPr>
          <w:trHeight w:val="192"/>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indigenous buildings</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32</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creating memory</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32</w:t>
            </w:r>
          </w:p>
        </w:tc>
      </w:tr>
      <w:tr w:rsidR="00B42A8F" w:rsidRPr="0055270D" w:rsidTr="00A35285">
        <w:trPr>
          <w:trHeight w:val="210"/>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physical comfort</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32</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experience</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32</w:t>
            </w:r>
          </w:p>
        </w:tc>
      </w:tr>
      <w:tr w:rsidR="00B42A8F" w:rsidRPr="0055270D" w:rsidTr="00A35285">
        <w:trPr>
          <w:trHeight w:val="138"/>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moisture</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32</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permeability</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32</w:t>
            </w:r>
          </w:p>
        </w:tc>
      </w:tr>
      <w:tr w:rsidR="00B42A8F" w:rsidRPr="0055270D" w:rsidTr="00A35285">
        <w:trPr>
          <w:trHeight w:val="156"/>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global warming</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32</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emotional assessment</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32</w:t>
            </w:r>
          </w:p>
        </w:tc>
      </w:tr>
      <w:tr w:rsidR="00B42A8F" w:rsidRPr="0055270D" w:rsidTr="00A35285">
        <w:trPr>
          <w:trHeight w:val="174"/>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zero energy building</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32</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modesty</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32</w:t>
            </w:r>
          </w:p>
        </w:tc>
      </w:tr>
      <w:tr w:rsidR="00B42A8F" w:rsidRPr="0055270D" w:rsidTr="00A35285">
        <w:trPr>
          <w:trHeight w:val="201"/>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air leakage</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32</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self sufficiency</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32</w:t>
            </w:r>
          </w:p>
        </w:tc>
      </w:tr>
      <w:tr w:rsidR="00B42A8F" w:rsidRPr="0055270D" w:rsidTr="00A35285">
        <w:trPr>
          <w:trHeight w:val="129"/>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small scale settlement</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33</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social benefit</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32</w:t>
            </w:r>
          </w:p>
        </w:tc>
      </w:tr>
      <w:tr w:rsidR="00B42A8F" w:rsidRPr="0055270D" w:rsidTr="00A35285">
        <w:trPr>
          <w:trHeight w:val="147"/>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intelligent environment</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33</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vitality</w:t>
            </w: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32</w:t>
            </w:r>
          </w:p>
        </w:tc>
      </w:tr>
      <w:tr w:rsidR="00B42A8F" w:rsidRPr="0055270D" w:rsidTr="00A35285">
        <w:trPr>
          <w:trHeight w:val="165"/>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production strategies</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33</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r>
      <w:tr w:rsidR="00B42A8F" w:rsidRPr="0055270D" w:rsidTr="00A35285">
        <w:trPr>
          <w:trHeight w:val="192"/>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r</w:t>
            </w:r>
            <w:r w:rsidRPr="002911ED">
              <w:rPr>
                <w:rFonts w:ascii="Times New Roman" w:eastAsia="Times New Roman" w:hAnsi="Times New Roman" w:cs="Times New Roman" w:hint="cs"/>
                <w:sz w:val="18"/>
                <w:szCs w:val="18"/>
                <w:lang w:val="en-GB" w:eastAsia="en-GB" w:bidi="ar-SA"/>
              </w:rPr>
              <w:t>estoration</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33</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r>
      <w:tr w:rsidR="00B42A8F" w:rsidRPr="0055270D" w:rsidTr="00A35285">
        <w:trPr>
          <w:trHeight w:val="120"/>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renewal</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33</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r>
      <w:tr w:rsidR="00B42A8F" w:rsidRPr="0055270D" w:rsidTr="00A35285">
        <w:trPr>
          <w:trHeight w:val="138"/>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load matching</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33</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r>
      <w:tr w:rsidR="00B42A8F" w:rsidRPr="0055270D" w:rsidTr="00A35285">
        <w:trPr>
          <w:trHeight w:val="156"/>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earthquake engineering</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33</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r>
      <w:tr w:rsidR="00B42A8F" w:rsidRPr="0055270D" w:rsidTr="00A35285">
        <w:trPr>
          <w:trHeight w:val="174"/>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hint="cs"/>
                <w:sz w:val="18"/>
                <w:szCs w:val="18"/>
                <w:lang w:val="en-GB" w:eastAsia="en-GB" w:bidi="ar-SA"/>
              </w:rPr>
              <w:t>distributed control</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33</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r>
      <w:tr w:rsidR="00B42A8F" w:rsidRPr="0055270D" w:rsidTr="00A35285">
        <w:trPr>
          <w:trHeight w:val="174"/>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hint="cs"/>
                <w:sz w:val="18"/>
                <w:szCs w:val="18"/>
                <w:lang w:val="en-GB" w:eastAsia="en-GB" w:bidi="ar-SA"/>
              </w:rPr>
            </w:pPr>
            <w:r w:rsidRPr="002911ED">
              <w:rPr>
                <w:rFonts w:ascii="Times New Roman" w:eastAsia="Times New Roman" w:hAnsi="Times New Roman" w:cs="Times New Roman" w:hint="cs"/>
                <w:sz w:val="18"/>
                <w:szCs w:val="18"/>
                <w:lang w:val="en-GB" w:eastAsia="en-GB" w:bidi="ar-SA"/>
              </w:rPr>
              <w:lastRenderedPageBreak/>
              <w:t>assessment</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33</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r>
      <w:tr w:rsidR="00B42A8F" w:rsidRPr="0055270D" w:rsidTr="00A35285">
        <w:trPr>
          <w:trHeight w:val="174"/>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hint="cs"/>
                <w:sz w:val="18"/>
                <w:szCs w:val="18"/>
                <w:lang w:val="en-GB" w:eastAsia="en-GB" w:bidi="ar-SA"/>
              </w:rPr>
            </w:pPr>
            <w:r w:rsidRPr="002911ED">
              <w:rPr>
                <w:rFonts w:ascii="Times New Roman" w:eastAsia="Times New Roman" w:hAnsi="Times New Roman" w:cs="Times New Roman" w:hint="cs"/>
                <w:sz w:val="18"/>
                <w:szCs w:val="18"/>
                <w:lang w:val="en-GB" w:eastAsia="en-GB" w:bidi="ar-SA"/>
              </w:rPr>
              <w:t>monitoring</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33</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r>
      <w:tr w:rsidR="00B42A8F" w:rsidRPr="0055270D" w:rsidTr="00A35285">
        <w:trPr>
          <w:trHeight w:val="174"/>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hint="cs"/>
                <w:sz w:val="18"/>
                <w:szCs w:val="18"/>
                <w:lang w:val="en-GB" w:eastAsia="en-GB" w:bidi="ar-SA"/>
              </w:rPr>
            </w:pPr>
            <w:r w:rsidRPr="002911ED">
              <w:rPr>
                <w:rFonts w:ascii="Times New Roman" w:eastAsia="Times New Roman" w:hAnsi="Times New Roman" w:cs="Times New Roman" w:hint="cs"/>
                <w:sz w:val="18"/>
                <w:szCs w:val="18"/>
                <w:lang w:val="en-GB" w:eastAsia="en-GB" w:bidi="ar-SA"/>
              </w:rPr>
              <w:t>post occupancy evaluation</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33</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r>
      <w:tr w:rsidR="00B42A8F" w:rsidRPr="0055270D" w:rsidTr="00A35285">
        <w:trPr>
          <w:trHeight w:val="174"/>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hint="cs"/>
                <w:sz w:val="18"/>
                <w:szCs w:val="18"/>
                <w:lang w:val="en-GB" w:eastAsia="en-GB" w:bidi="ar-SA"/>
              </w:rPr>
            </w:pPr>
            <w:r w:rsidRPr="002911ED">
              <w:rPr>
                <w:rFonts w:ascii="Times New Roman" w:eastAsia="Times New Roman" w:hAnsi="Times New Roman" w:cs="Times New Roman" w:hint="cs"/>
                <w:sz w:val="18"/>
                <w:szCs w:val="18"/>
                <w:lang w:val="en-GB" w:eastAsia="en-GB" w:bidi="ar-SA"/>
              </w:rPr>
              <w:t>optimization</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33</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r>
      <w:tr w:rsidR="00B42A8F" w:rsidRPr="0055270D" w:rsidTr="00A35285">
        <w:trPr>
          <w:trHeight w:val="174"/>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hint="cs"/>
                <w:sz w:val="18"/>
                <w:szCs w:val="18"/>
                <w:lang w:val="en-GB" w:eastAsia="en-GB" w:bidi="ar-SA"/>
              </w:rPr>
            </w:pPr>
            <w:r w:rsidRPr="002911ED">
              <w:rPr>
                <w:rFonts w:ascii="Times New Roman" w:eastAsia="Times New Roman" w:hAnsi="Times New Roman" w:cs="Times New Roman" w:hint="cs"/>
                <w:sz w:val="18"/>
                <w:szCs w:val="18"/>
                <w:lang w:val="en-GB" w:eastAsia="en-GB" w:bidi="ar-SA"/>
              </w:rPr>
              <w:t>building system</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33</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r>
      <w:tr w:rsidR="00B42A8F" w:rsidRPr="0055270D" w:rsidTr="00A35285">
        <w:trPr>
          <w:trHeight w:val="174"/>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hint="cs"/>
                <w:sz w:val="18"/>
                <w:szCs w:val="18"/>
                <w:lang w:val="en-GB" w:eastAsia="en-GB" w:bidi="ar-SA"/>
              </w:rPr>
            </w:pPr>
            <w:r w:rsidRPr="002911ED">
              <w:rPr>
                <w:rFonts w:ascii="Times New Roman" w:eastAsia="Times New Roman" w:hAnsi="Times New Roman" w:cs="Times New Roman" w:hint="cs"/>
                <w:sz w:val="18"/>
                <w:szCs w:val="18"/>
                <w:lang w:val="en-GB" w:eastAsia="en-GB" w:bidi="ar-SA"/>
              </w:rPr>
              <w:t>Indoor noise</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33</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r>
      <w:tr w:rsidR="00B42A8F" w:rsidRPr="0055270D" w:rsidTr="00A35285">
        <w:trPr>
          <w:trHeight w:val="174"/>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hint="cs"/>
                <w:sz w:val="18"/>
                <w:szCs w:val="18"/>
                <w:lang w:val="en-GB" w:eastAsia="en-GB" w:bidi="ar-SA"/>
              </w:rPr>
            </w:pPr>
            <w:r w:rsidRPr="002911ED">
              <w:rPr>
                <w:rFonts w:ascii="Times New Roman" w:eastAsia="Times New Roman" w:hAnsi="Times New Roman" w:cs="Times New Roman" w:hint="cs"/>
                <w:sz w:val="18"/>
                <w:szCs w:val="18"/>
                <w:lang w:val="en-GB" w:eastAsia="en-GB" w:bidi="ar-SA"/>
              </w:rPr>
              <w:t>container housing</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33</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r>
      <w:tr w:rsidR="00B42A8F" w:rsidRPr="0055270D" w:rsidTr="00A35285">
        <w:trPr>
          <w:trHeight w:val="174"/>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hint="cs"/>
                <w:sz w:val="18"/>
                <w:szCs w:val="18"/>
                <w:lang w:val="en-GB" w:eastAsia="en-GB" w:bidi="ar-SA"/>
              </w:rPr>
            </w:pPr>
            <w:r w:rsidRPr="002911ED">
              <w:rPr>
                <w:rFonts w:ascii="Times New Roman" w:eastAsia="Times New Roman" w:hAnsi="Times New Roman" w:cs="Times New Roman" w:hint="cs"/>
                <w:sz w:val="18"/>
                <w:szCs w:val="18"/>
                <w:lang w:val="en-GB" w:eastAsia="en-GB" w:bidi="ar-SA"/>
              </w:rPr>
              <w:t>spatial configuration</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33</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r>
      <w:tr w:rsidR="00B42A8F" w:rsidRPr="0055270D" w:rsidTr="00A35285">
        <w:trPr>
          <w:trHeight w:val="174"/>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hint="cs"/>
                <w:sz w:val="18"/>
                <w:szCs w:val="18"/>
                <w:lang w:val="en-GB" w:eastAsia="en-GB" w:bidi="ar-SA"/>
              </w:rPr>
            </w:pPr>
            <w:r w:rsidRPr="002911ED">
              <w:rPr>
                <w:rFonts w:ascii="Times New Roman" w:eastAsia="Times New Roman" w:hAnsi="Times New Roman" w:cs="Times New Roman" w:hint="cs"/>
                <w:sz w:val="18"/>
                <w:szCs w:val="18"/>
                <w:lang w:val="en-GB" w:eastAsia="en-GB" w:bidi="ar-SA"/>
              </w:rPr>
              <w:t>energy reduction strategies</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33</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r>
      <w:tr w:rsidR="00B42A8F" w:rsidRPr="0055270D" w:rsidTr="00A35285">
        <w:trPr>
          <w:trHeight w:val="174"/>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hint="cs"/>
                <w:sz w:val="18"/>
                <w:szCs w:val="18"/>
                <w:lang w:val="en-GB" w:eastAsia="en-GB" w:bidi="ar-SA"/>
              </w:rPr>
            </w:pPr>
            <w:r w:rsidRPr="002911ED">
              <w:rPr>
                <w:rFonts w:ascii="Times New Roman" w:eastAsia="Times New Roman" w:hAnsi="Times New Roman" w:cs="Times New Roman" w:hint="cs"/>
                <w:sz w:val="18"/>
                <w:szCs w:val="18"/>
                <w:lang w:val="en-GB" w:eastAsia="en-GB" w:bidi="ar-SA"/>
              </w:rPr>
              <w:t>air velocity</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33</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r>
      <w:tr w:rsidR="00B42A8F" w:rsidRPr="0055270D" w:rsidTr="00A35285">
        <w:trPr>
          <w:trHeight w:val="174"/>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hint="cs"/>
                <w:sz w:val="18"/>
                <w:szCs w:val="18"/>
                <w:lang w:val="en-GB" w:eastAsia="en-GB" w:bidi="ar-SA"/>
              </w:rPr>
            </w:pPr>
            <w:r w:rsidRPr="002911ED">
              <w:rPr>
                <w:rFonts w:ascii="Times New Roman" w:eastAsia="Times New Roman" w:hAnsi="Times New Roman" w:cs="Times New Roman" w:hint="cs"/>
                <w:sz w:val="18"/>
                <w:szCs w:val="18"/>
                <w:lang w:val="en-GB" w:eastAsia="en-GB" w:bidi="ar-SA"/>
              </w:rPr>
              <w:t>household size</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34</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r>
      <w:tr w:rsidR="00B42A8F" w:rsidRPr="0055270D" w:rsidTr="00A35285">
        <w:trPr>
          <w:trHeight w:val="174"/>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hint="cs"/>
                <w:sz w:val="18"/>
                <w:szCs w:val="18"/>
                <w:lang w:val="en-GB" w:eastAsia="en-GB" w:bidi="ar-SA"/>
              </w:rPr>
            </w:pPr>
            <w:r w:rsidRPr="002911ED">
              <w:rPr>
                <w:rFonts w:ascii="Times New Roman" w:eastAsia="Times New Roman" w:hAnsi="Times New Roman" w:cs="Times New Roman" w:hint="cs"/>
                <w:sz w:val="18"/>
                <w:szCs w:val="18"/>
                <w:lang w:val="en-GB" w:eastAsia="en-GB" w:bidi="ar-SA"/>
              </w:rPr>
              <w:t>population density</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34</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r>
      <w:tr w:rsidR="00B42A8F" w:rsidRPr="0055270D" w:rsidTr="00A35285">
        <w:trPr>
          <w:trHeight w:val="174"/>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hint="cs"/>
                <w:sz w:val="18"/>
                <w:szCs w:val="18"/>
                <w:lang w:val="en-GB" w:eastAsia="en-GB" w:bidi="ar-SA"/>
              </w:rPr>
            </w:pPr>
            <w:r w:rsidRPr="002911ED">
              <w:rPr>
                <w:rFonts w:ascii="Times New Roman" w:eastAsia="Times New Roman" w:hAnsi="Times New Roman" w:cs="Times New Roman" w:hint="cs"/>
                <w:sz w:val="18"/>
                <w:szCs w:val="18"/>
                <w:lang w:val="en-GB" w:eastAsia="en-GB" w:bidi="ar-SA"/>
              </w:rPr>
              <w:t>building age</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34</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r>
      <w:tr w:rsidR="00B42A8F" w:rsidRPr="0055270D" w:rsidTr="00A35285">
        <w:trPr>
          <w:trHeight w:val="174"/>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hint="cs"/>
                <w:sz w:val="18"/>
                <w:szCs w:val="18"/>
                <w:lang w:val="en-GB" w:eastAsia="en-GB" w:bidi="ar-SA"/>
              </w:rPr>
            </w:pPr>
            <w:r w:rsidRPr="002911ED">
              <w:rPr>
                <w:rFonts w:ascii="Times New Roman" w:eastAsia="Times New Roman" w:hAnsi="Times New Roman" w:cs="Times New Roman" w:hint="cs"/>
                <w:sz w:val="18"/>
                <w:szCs w:val="18"/>
                <w:lang w:val="en-GB" w:eastAsia="en-GB" w:bidi="ar-SA"/>
              </w:rPr>
              <w:t>housing capacity</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34</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r>
      <w:tr w:rsidR="00B42A8F" w:rsidRPr="0055270D" w:rsidTr="00A35285">
        <w:trPr>
          <w:trHeight w:val="174"/>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hint="cs"/>
                <w:sz w:val="18"/>
                <w:szCs w:val="18"/>
                <w:lang w:val="en-GB" w:eastAsia="en-GB" w:bidi="ar-SA"/>
              </w:rPr>
            </w:pPr>
            <w:r w:rsidRPr="002911ED">
              <w:rPr>
                <w:rFonts w:ascii="Times New Roman" w:eastAsia="Times New Roman" w:hAnsi="Times New Roman" w:cs="Times New Roman" w:hint="cs"/>
                <w:sz w:val="18"/>
                <w:szCs w:val="18"/>
                <w:lang w:val="en-GB" w:eastAsia="en-GB" w:bidi="ar-SA"/>
              </w:rPr>
              <w:t>vernacular architecture</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34</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r>
      <w:tr w:rsidR="00B42A8F" w:rsidRPr="0055270D" w:rsidTr="00A35285">
        <w:trPr>
          <w:trHeight w:val="174"/>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hint="cs"/>
                <w:sz w:val="18"/>
                <w:szCs w:val="18"/>
                <w:lang w:val="en-GB" w:eastAsia="en-GB" w:bidi="ar-SA"/>
              </w:rPr>
            </w:pPr>
            <w:r w:rsidRPr="002911ED">
              <w:rPr>
                <w:rFonts w:ascii="Times New Roman" w:eastAsia="Times New Roman" w:hAnsi="Times New Roman" w:cs="Times New Roman" w:hint="cs"/>
                <w:sz w:val="18"/>
                <w:szCs w:val="18"/>
                <w:lang w:val="en-GB" w:eastAsia="en-GB" w:bidi="ar-SA"/>
              </w:rPr>
              <w:t>facility management</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34</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r>
      <w:tr w:rsidR="00B42A8F" w:rsidRPr="0055270D" w:rsidTr="00A35285">
        <w:trPr>
          <w:trHeight w:val="174"/>
        </w:trPr>
        <w:tc>
          <w:tcPr>
            <w:tcW w:w="2448" w:type="dxa"/>
            <w:noWrap/>
          </w:tcPr>
          <w:p w:rsidR="00B42A8F" w:rsidRPr="002911ED" w:rsidRDefault="00B42A8F" w:rsidP="00A35285">
            <w:pPr>
              <w:spacing w:line="240" w:lineRule="atLeast"/>
              <w:contextualSpacing/>
              <w:rPr>
                <w:rFonts w:ascii="Times New Roman" w:eastAsia="Times New Roman" w:hAnsi="Times New Roman" w:cs="Times New Roman" w:hint="cs"/>
                <w:sz w:val="18"/>
                <w:szCs w:val="18"/>
                <w:lang w:val="en-GB" w:eastAsia="en-GB" w:bidi="ar-SA"/>
              </w:rPr>
            </w:pPr>
            <w:r w:rsidRPr="002911ED">
              <w:rPr>
                <w:rFonts w:ascii="Times New Roman" w:eastAsia="Times New Roman" w:hAnsi="Times New Roman" w:cs="Times New Roman" w:hint="cs"/>
                <w:sz w:val="18"/>
                <w:szCs w:val="18"/>
                <w:lang w:val="en-GB" w:eastAsia="en-GB" w:bidi="ar-SA"/>
              </w:rPr>
              <w:t>traditional architecture</w:t>
            </w:r>
          </w:p>
        </w:tc>
        <w:tc>
          <w:tcPr>
            <w:tcW w:w="1890" w:type="dxa"/>
            <w:noWrap/>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r w:rsidRPr="002911ED">
              <w:rPr>
                <w:rFonts w:ascii="Times New Roman" w:eastAsia="Times New Roman" w:hAnsi="Times New Roman" w:cs="Times New Roman"/>
                <w:sz w:val="18"/>
                <w:szCs w:val="18"/>
                <w:lang w:val="en-GB" w:eastAsia="en-GB" w:bidi="ar-SA"/>
              </w:rPr>
              <w:t>34</w:t>
            </w:r>
          </w:p>
        </w:tc>
        <w:tc>
          <w:tcPr>
            <w:tcW w:w="2088"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c>
          <w:tcPr>
            <w:tcW w:w="2142" w:type="dxa"/>
          </w:tcPr>
          <w:p w:rsidR="00B42A8F" w:rsidRPr="002911ED" w:rsidRDefault="00B42A8F" w:rsidP="00A35285">
            <w:pPr>
              <w:spacing w:line="240" w:lineRule="atLeast"/>
              <w:contextualSpacing/>
              <w:rPr>
                <w:rFonts w:ascii="Times New Roman" w:eastAsia="Times New Roman" w:hAnsi="Times New Roman" w:cs="Times New Roman"/>
                <w:sz w:val="18"/>
                <w:szCs w:val="18"/>
                <w:lang w:val="en-GB" w:eastAsia="en-GB" w:bidi="ar-SA"/>
              </w:rPr>
            </w:pPr>
          </w:p>
        </w:tc>
      </w:tr>
    </w:tbl>
    <w:p w:rsidR="00B42A8F" w:rsidRPr="0055270D" w:rsidRDefault="00B42A8F" w:rsidP="00B42A8F">
      <w:pPr>
        <w:spacing w:line="240" w:lineRule="atLeast"/>
        <w:contextualSpacing/>
        <w:jc w:val="both"/>
        <w:rPr>
          <w:rFonts w:asciiTheme="majorBidi" w:hAnsiTheme="majorBidi" w:cstheme="majorBidi"/>
          <w:b/>
          <w:sz w:val="18"/>
          <w:szCs w:val="18"/>
        </w:rPr>
      </w:pPr>
    </w:p>
    <w:p w:rsidR="00E26F42" w:rsidRDefault="00E26F42" w:rsidP="00980E46">
      <w:pPr>
        <w:spacing w:line="276" w:lineRule="auto"/>
        <w:jc w:val="both"/>
        <w:rPr>
          <w:rFonts w:asciiTheme="majorBidi" w:hAnsiTheme="majorBidi" w:cstheme="majorBidi"/>
          <w:b/>
          <w:sz w:val="22"/>
          <w:szCs w:val="22"/>
        </w:rPr>
      </w:pPr>
    </w:p>
    <w:p w:rsidR="00E26F42" w:rsidRDefault="00E26F42" w:rsidP="00980E46">
      <w:pPr>
        <w:spacing w:line="276" w:lineRule="auto"/>
        <w:jc w:val="both"/>
        <w:rPr>
          <w:rFonts w:asciiTheme="majorBidi" w:hAnsiTheme="majorBidi" w:cstheme="majorBidi"/>
          <w:b/>
          <w:sz w:val="22"/>
          <w:szCs w:val="22"/>
        </w:rPr>
      </w:pPr>
    </w:p>
    <w:p w:rsidR="000401EC" w:rsidRPr="00B42A8F" w:rsidRDefault="00121DEF" w:rsidP="00980E46">
      <w:pPr>
        <w:spacing w:line="276" w:lineRule="auto"/>
        <w:jc w:val="both"/>
        <w:rPr>
          <w:rFonts w:asciiTheme="majorBidi" w:hAnsiTheme="majorBidi" w:cstheme="majorBidi"/>
          <w:b/>
          <w:bCs/>
          <w:sz w:val="22"/>
          <w:szCs w:val="22"/>
        </w:rPr>
      </w:pPr>
      <w:r w:rsidRPr="00B42A8F">
        <w:rPr>
          <w:rFonts w:asciiTheme="majorBidi" w:hAnsiTheme="majorBidi" w:cstheme="majorBidi"/>
          <w:b/>
          <w:sz w:val="22"/>
          <w:szCs w:val="22"/>
        </w:rPr>
        <w:t xml:space="preserve">5. </w:t>
      </w:r>
      <w:r w:rsidR="000401EC" w:rsidRPr="00B42A8F">
        <w:rPr>
          <w:rFonts w:asciiTheme="majorBidi" w:hAnsiTheme="majorBidi" w:cstheme="majorBidi"/>
          <w:b/>
          <w:sz w:val="22"/>
          <w:szCs w:val="22"/>
        </w:rPr>
        <w:t>Conclusion</w:t>
      </w:r>
    </w:p>
    <w:p w:rsidR="00CE30C8" w:rsidRPr="00B42A8F" w:rsidRDefault="00DB32A4" w:rsidP="00CE30C8">
      <w:pPr>
        <w:spacing w:line="276" w:lineRule="auto"/>
        <w:jc w:val="both"/>
        <w:rPr>
          <w:rFonts w:asciiTheme="majorBidi" w:hAnsiTheme="majorBidi" w:cstheme="majorBidi"/>
          <w:sz w:val="22"/>
          <w:szCs w:val="22"/>
        </w:rPr>
      </w:pPr>
      <w:r w:rsidRPr="00B42A8F">
        <w:rPr>
          <w:rFonts w:asciiTheme="majorBidi" w:hAnsiTheme="majorBidi" w:cstheme="majorBidi"/>
          <w:sz w:val="22"/>
          <w:szCs w:val="22"/>
        </w:rPr>
        <w:t xml:space="preserve">This study is a type of thematic content analysis of papers on housing published in Iranian periodicals and international journals from 2013 to 2017. </w:t>
      </w:r>
      <w:r w:rsidR="00C824E3" w:rsidRPr="00B42A8F">
        <w:rPr>
          <w:rFonts w:asciiTheme="majorBidi" w:hAnsiTheme="majorBidi" w:cstheme="majorBidi"/>
          <w:sz w:val="22"/>
          <w:szCs w:val="22"/>
        </w:rPr>
        <w:t>To begin with, the numbers of papers published worldwide have increased between mentioned years. Throughout these five years, Iranian researches count grew from 26 to 52 each year. Simultaneously the number of international article trends show fluctuations with increase toward the end on reviewing period. All the brought up papers revealed a various count of factors in housing studies</w:t>
      </w:r>
      <w:r w:rsidR="00FD2AA4" w:rsidRPr="00B42A8F">
        <w:rPr>
          <w:rFonts w:asciiTheme="majorBidi" w:hAnsiTheme="majorBidi" w:cstheme="majorBidi"/>
          <w:sz w:val="22"/>
          <w:szCs w:val="22"/>
        </w:rPr>
        <w:t xml:space="preserve"> which were categorized</w:t>
      </w:r>
      <w:r w:rsidR="00C824E3" w:rsidRPr="00B42A8F">
        <w:rPr>
          <w:rFonts w:asciiTheme="majorBidi" w:hAnsiTheme="majorBidi" w:cstheme="majorBidi"/>
          <w:sz w:val="22"/>
          <w:szCs w:val="22"/>
        </w:rPr>
        <w:t xml:space="preserve"> </w:t>
      </w:r>
      <w:r w:rsidR="00FD2AA4" w:rsidRPr="00B42A8F">
        <w:rPr>
          <w:rFonts w:asciiTheme="majorBidi" w:hAnsiTheme="majorBidi" w:cstheme="majorBidi"/>
          <w:sz w:val="22"/>
          <w:szCs w:val="22"/>
        </w:rPr>
        <w:t>in six areas named by authors "Environmental Factors", "Architectural Elements", "Geometry and Proportion", "Fundamental Concepts of Architecture", "Standards and Codes" and "Psychological and Social Concepts".</w:t>
      </w:r>
      <w:r w:rsidR="00C824E3" w:rsidRPr="00B42A8F">
        <w:rPr>
          <w:rFonts w:asciiTheme="majorBidi" w:hAnsiTheme="majorBidi" w:cstheme="majorBidi"/>
          <w:sz w:val="22"/>
          <w:szCs w:val="22"/>
        </w:rPr>
        <w:t xml:space="preserve"> </w:t>
      </w:r>
      <w:r w:rsidR="00FD2AA4" w:rsidRPr="00B42A8F">
        <w:rPr>
          <w:rFonts w:asciiTheme="majorBidi" w:hAnsiTheme="majorBidi" w:cstheme="majorBidi"/>
          <w:sz w:val="22"/>
          <w:szCs w:val="22"/>
        </w:rPr>
        <w:t xml:space="preserve">Among these classifies, fundamental concepts of architecture and psychological and social concepts have been more studied in Iranian researches by the amount of 61.69% together. </w:t>
      </w:r>
      <w:r w:rsidRPr="00B42A8F">
        <w:rPr>
          <w:rFonts w:asciiTheme="majorBidi" w:hAnsiTheme="majorBidi" w:cstheme="majorBidi"/>
          <w:sz w:val="22"/>
          <w:szCs w:val="22"/>
        </w:rPr>
        <w:t xml:space="preserve">It can be said that this qualitative approach to housing </w:t>
      </w:r>
      <w:r w:rsidR="00FD2AA4" w:rsidRPr="00B42A8F">
        <w:rPr>
          <w:rFonts w:asciiTheme="majorBidi" w:hAnsiTheme="majorBidi" w:cstheme="majorBidi"/>
          <w:sz w:val="22"/>
          <w:szCs w:val="22"/>
        </w:rPr>
        <w:t xml:space="preserve">in Iran </w:t>
      </w:r>
      <w:r w:rsidRPr="00B42A8F">
        <w:rPr>
          <w:rFonts w:asciiTheme="majorBidi" w:hAnsiTheme="majorBidi" w:cstheme="majorBidi"/>
          <w:sz w:val="22"/>
          <w:szCs w:val="22"/>
        </w:rPr>
        <w:t>has emerged from the history of Iranian residential architecture and researchers are trying to revive quality factors of housing in the past in order to improve the quality of contemporary h</w:t>
      </w:r>
      <w:r w:rsidR="00FD2AA4" w:rsidRPr="00B42A8F">
        <w:rPr>
          <w:rFonts w:asciiTheme="majorBidi" w:hAnsiTheme="majorBidi" w:cstheme="majorBidi"/>
          <w:sz w:val="22"/>
          <w:szCs w:val="22"/>
        </w:rPr>
        <w:t xml:space="preserve">ousing and resolve its problems. On the Contrary, elements in environmental factors and Standards with the percentage of 67.08 were studied more in international researches. </w:t>
      </w:r>
      <w:r w:rsidR="00CE30C8" w:rsidRPr="00B42A8F">
        <w:rPr>
          <w:rFonts w:asciiTheme="majorBidi" w:hAnsiTheme="majorBidi" w:cstheme="majorBidi"/>
          <w:sz w:val="22"/>
          <w:szCs w:val="22"/>
        </w:rPr>
        <w:t xml:space="preserve"> </w:t>
      </w:r>
      <w:r w:rsidR="000401EC" w:rsidRPr="00B42A8F">
        <w:rPr>
          <w:rFonts w:asciiTheme="majorBidi" w:hAnsiTheme="majorBidi" w:cstheme="majorBidi"/>
          <w:sz w:val="22"/>
          <w:szCs w:val="22"/>
        </w:rPr>
        <w:t xml:space="preserve">The results of this systematic meta-analysis review indicate that researchers in Iran are more concerned with qualitative variables of housing while quantitative variables are more addressed in international journals. Construction standards, design criteria, sustainability issues and energy saving are issues that have become more prominent in international papers. </w:t>
      </w:r>
      <w:r w:rsidR="00CE30C8" w:rsidRPr="00B42A8F">
        <w:rPr>
          <w:rFonts w:asciiTheme="majorBidi" w:hAnsiTheme="majorBidi" w:cstheme="majorBidi"/>
          <w:sz w:val="22"/>
          <w:szCs w:val="22"/>
        </w:rPr>
        <w:t>So, there is a gap in international articles to do more researches about qualitative factors and in Iran about quantitative ones.</w:t>
      </w:r>
    </w:p>
    <w:p w:rsidR="005D12E1" w:rsidRPr="00CE30C8" w:rsidRDefault="000401EC" w:rsidP="00CE30C8">
      <w:pPr>
        <w:spacing w:line="276" w:lineRule="auto"/>
        <w:jc w:val="both"/>
        <w:rPr>
          <w:rFonts w:asciiTheme="majorBidi" w:hAnsiTheme="majorBidi" w:cstheme="majorBidi"/>
          <w:sz w:val="22"/>
          <w:szCs w:val="22"/>
        </w:rPr>
      </w:pPr>
      <w:r w:rsidRPr="00B42A8F">
        <w:rPr>
          <w:rFonts w:asciiTheme="majorBidi" w:hAnsiTheme="majorBidi" w:cstheme="majorBidi"/>
          <w:sz w:val="22"/>
          <w:szCs w:val="22"/>
        </w:rPr>
        <w:t>Two categories of basic concepts of architecture and psychological and social concepts, studied more in Iranian articles,</w:t>
      </w:r>
      <w:r w:rsidR="00CE30C8" w:rsidRPr="00B42A8F">
        <w:rPr>
          <w:rFonts w:asciiTheme="majorBidi" w:hAnsiTheme="majorBidi" w:cstheme="majorBidi"/>
          <w:sz w:val="22"/>
          <w:szCs w:val="22"/>
        </w:rPr>
        <w:t xml:space="preserve"> and environmental factors and standards considered mostly in international paper.</w:t>
      </w:r>
      <w:r w:rsidRPr="00B42A8F">
        <w:rPr>
          <w:rFonts w:asciiTheme="majorBidi" w:hAnsiTheme="majorBidi" w:cstheme="majorBidi"/>
          <w:sz w:val="22"/>
          <w:szCs w:val="22"/>
        </w:rPr>
        <w:t xml:space="preserve"> </w:t>
      </w:r>
      <w:r w:rsidR="00CE30C8" w:rsidRPr="00B42A8F">
        <w:rPr>
          <w:rFonts w:asciiTheme="majorBidi" w:hAnsiTheme="majorBidi" w:cstheme="majorBidi"/>
          <w:sz w:val="22"/>
          <w:szCs w:val="22"/>
        </w:rPr>
        <w:t xml:space="preserve">They all </w:t>
      </w:r>
      <w:r w:rsidRPr="00B42A8F">
        <w:rPr>
          <w:rFonts w:asciiTheme="majorBidi" w:hAnsiTheme="majorBidi" w:cstheme="majorBidi"/>
          <w:sz w:val="22"/>
          <w:szCs w:val="22"/>
        </w:rPr>
        <w:t xml:space="preserve">were examined through Shannon’s statistical tool. </w:t>
      </w:r>
      <w:r w:rsidR="00CE30C8" w:rsidRPr="00B42A8F">
        <w:rPr>
          <w:rFonts w:asciiTheme="majorBidi" w:hAnsiTheme="majorBidi" w:cstheme="majorBidi"/>
          <w:sz w:val="22"/>
          <w:szCs w:val="22"/>
        </w:rPr>
        <w:t xml:space="preserve">Shannon entropy shows the most challenging factors in researches based on its calculations which were mentioned in methodology section. </w:t>
      </w:r>
      <w:r w:rsidRPr="00B42A8F">
        <w:rPr>
          <w:rFonts w:asciiTheme="majorBidi" w:hAnsiTheme="majorBidi" w:cstheme="majorBidi"/>
          <w:sz w:val="22"/>
          <w:szCs w:val="22"/>
        </w:rPr>
        <w:t>The most controversial variables</w:t>
      </w:r>
      <w:r w:rsidR="00CE30C8" w:rsidRPr="00B42A8F">
        <w:rPr>
          <w:rFonts w:asciiTheme="majorBidi" w:hAnsiTheme="majorBidi" w:cstheme="majorBidi"/>
          <w:sz w:val="22"/>
          <w:szCs w:val="22"/>
        </w:rPr>
        <w:t xml:space="preserve"> in Iran</w:t>
      </w:r>
      <w:r w:rsidRPr="00B42A8F">
        <w:rPr>
          <w:rFonts w:asciiTheme="majorBidi" w:hAnsiTheme="majorBidi" w:cstheme="majorBidi"/>
          <w:sz w:val="22"/>
          <w:szCs w:val="22"/>
        </w:rPr>
        <w:t xml:space="preserve"> were</w:t>
      </w:r>
      <w:r w:rsidR="00CE30C8" w:rsidRPr="00B42A8F">
        <w:rPr>
          <w:rFonts w:asciiTheme="majorBidi" w:hAnsiTheme="majorBidi" w:cstheme="majorBidi"/>
          <w:sz w:val="22"/>
          <w:szCs w:val="22"/>
        </w:rPr>
        <w:t xml:space="preserve"> </w:t>
      </w:r>
      <w:r w:rsidRPr="00B42A8F">
        <w:rPr>
          <w:rFonts w:asciiTheme="majorBidi" w:hAnsiTheme="majorBidi" w:cstheme="majorBidi"/>
          <w:sz w:val="22"/>
          <w:szCs w:val="22"/>
        </w:rPr>
        <w:t xml:space="preserve">privacy, culture, area, lifestyle, mental and emotional relaxation, satisfaction, security, identity, territory and meaning. These variables were followed by place attachment, location desirability, social interaction, order, spirituality, flexibility, quality of life, neighbourly relations, aesthetics and </w:t>
      </w:r>
      <w:r w:rsidRPr="00B42A8F">
        <w:rPr>
          <w:rFonts w:asciiTheme="majorBidi" w:hAnsiTheme="majorBidi" w:cstheme="majorBidi"/>
          <w:sz w:val="22"/>
          <w:szCs w:val="22"/>
        </w:rPr>
        <w:lastRenderedPageBreak/>
        <w:t xml:space="preserve">visibility control. These variables are classified into five categories of spatial boundaries (privacy, area and territory), qualities of space (psychological and mental comfort, security, order, visibility control and flexibility), and social relationships (social interaction, neighbourly relations), qualities of life (culture, lifestyle, satisfaction, place desirability and quality of life) and psychological variables (place attachment, spirituality, meaning, identity and aesthetics). </w:t>
      </w:r>
      <w:r w:rsidR="00CE30C8" w:rsidRPr="00B42A8F">
        <w:rPr>
          <w:rFonts w:asciiTheme="majorBidi" w:hAnsiTheme="majorBidi" w:cstheme="majorBidi"/>
          <w:sz w:val="22"/>
          <w:szCs w:val="22"/>
        </w:rPr>
        <w:t>On the other hand, light, ventilation, sustainability, climate, sunlight, temperature, green space, energy consumption, thermal comfort and wind are the most debated factors in international journals.</w:t>
      </w:r>
      <w:r w:rsidR="009C739B" w:rsidRPr="00B42A8F">
        <w:rPr>
          <w:rFonts w:asciiTheme="majorBidi" w:hAnsiTheme="majorBidi" w:cstheme="majorBidi"/>
          <w:sz w:val="22"/>
          <w:szCs w:val="22"/>
        </w:rPr>
        <w:t xml:space="preserve"> It can be said that English journals are frequently focused on calculative factors and in particular energy based standards.  These</w:t>
      </w:r>
      <w:r w:rsidRPr="00B42A8F">
        <w:rPr>
          <w:rFonts w:asciiTheme="majorBidi" w:hAnsiTheme="majorBidi" w:cstheme="majorBidi"/>
          <w:sz w:val="22"/>
          <w:szCs w:val="22"/>
        </w:rPr>
        <w:t xml:space="preserve"> variables were obtained from the studies from 2013 to 2017, and if the statistical population was larger and the studied period was more than five years, the research might include more components. It should be noted that the acceptability and significance coefficients of the mentioned components are the same, suggesting that these variables are as important to researchers as they are to experts and thus continue to be the challenging subjects of further studies. </w:t>
      </w:r>
      <w:r w:rsidR="00F82095" w:rsidRPr="00B42A8F">
        <w:rPr>
          <w:rFonts w:asciiTheme="majorBidi" w:hAnsiTheme="majorBidi" w:cstheme="majorBidi"/>
          <w:sz w:val="22"/>
          <w:szCs w:val="22"/>
        </w:rPr>
        <w:t>(More comparisons are added thorough the whole paper highlighted green)</w:t>
      </w:r>
    </w:p>
    <w:p w:rsidR="005D12E1" w:rsidRDefault="005D12E1" w:rsidP="00980E46">
      <w:pPr>
        <w:spacing w:line="276" w:lineRule="auto"/>
        <w:jc w:val="both"/>
        <w:rPr>
          <w:rFonts w:asciiTheme="majorBidi" w:hAnsiTheme="majorBidi" w:cstheme="majorBidi"/>
          <w:b/>
          <w:sz w:val="22"/>
          <w:szCs w:val="22"/>
        </w:rPr>
      </w:pPr>
    </w:p>
    <w:p w:rsidR="00104C97" w:rsidRDefault="00104C97" w:rsidP="00980E46">
      <w:pPr>
        <w:spacing w:line="276" w:lineRule="auto"/>
        <w:jc w:val="both"/>
        <w:rPr>
          <w:rFonts w:asciiTheme="majorBidi" w:hAnsiTheme="majorBidi" w:cstheme="majorBidi"/>
          <w:b/>
          <w:sz w:val="22"/>
          <w:szCs w:val="22"/>
        </w:rPr>
      </w:pPr>
      <w:r w:rsidRPr="00121DEF">
        <w:rPr>
          <w:rFonts w:asciiTheme="majorBidi" w:hAnsiTheme="majorBidi" w:cstheme="majorBidi"/>
          <w:b/>
          <w:sz w:val="22"/>
          <w:szCs w:val="22"/>
        </w:rPr>
        <w:t>References</w:t>
      </w:r>
    </w:p>
    <w:p w:rsidR="000D5E66" w:rsidRPr="00121DEF" w:rsidRDefault="000D5E66" w:rsidP="000D5E66">
      <w:pPr>
        <w:spacing w:line="276" w:lineRule="auto"/>
        <w:jc w:val="both"/>
        <w:rPr>
          <w:rFonts w:asciiTheme="majorBidi" w:hAnsiTheme="majorBidi" w:cstheme="majorBidi"/>
          <w:sz w:val="22"/>
          <w:szCs w:val="22"/>
        </w:rPr>
      </w:pPr>
      <w:r>
        <w:rPr>
          <w:rFonts w:asciiTheme="majorBidi" w:hAnsiTheme="majorBidi" w:cstheme="majorBidi"/>
          <w:sz w:val="22"/>
          <w:szCs w:val="22"/>
        </w:rPr>
        <w:t xml:space="preserve">[1] </w:t>
      </w:r>
      <w:r w:rsidRPr="00121DEF">
        <w:rPr>
          <w:rFonts w:asciiTheme="majorBidi" w:hAnsiTheme="majorBidi" w:cstheme="majorBidi"/>
          <w:sz w:val="22"/>
          <w:szCs w:val="22"/>
        </w:rPr>
        <w:t xml:space="preserve">Kabiri Samani, A., Malekouti, A., Yadegari, Z., (2016). Recognition of the meaning of the house in the Quran: An approach to explain the theoretical principles of the house. </w:t>
      </w:r>
      <w:r w:rsidRPr="00121DEF">
        <w:rPr>
          <w:rFonts w:asciiTheme="majorBidi" w:hAnsiTheme="majorBidi" w:cstheme="majorBidi"/>
          <w:i/>
          <w:iCs/>
          <w:sz w:val="22"/>
          <w:szCs w:val="22"/>
        </w:rPr>
        <w:t>Bagh-e Nazar</w:t>
      </w:r>
      <w:r w:rsidRPr="00121DEF">
        <w:rPr>
          <w:rFonts w:asciiTheme="majorBidi" w:hAnsiTheme="majorBidi" w:cstheme="majorBidi"/>
          <w:sz w:val="22"/>
          <w:szCs w:val="22"/>
        </w:rPr>
        <w:t>, 13 (45), pp. 61-76.</w:t>
      </w:r>
    </w:p>
    <w:p w:rsidR="000D5E66" w:rsidRDefault="000D5E66" w:rsidP="000D5E66">
      <w:pPr>
        <w:spacing w:line="276" w:lineRule="auto"/>
        <w:jc w:val="both"/>
        <w:rPr>
          <w:rFonts w:asciiTheme="majorBidi" w:hAnsiTheme="majorBidi" w:cstheme="majorBidi"/>
          <w:sz w:val="22"/>
          <w:szCs w:val="22"/>
        </w:rPr>
      </w:pPr>
      <w:r>
        <w:rPr>
          <w:rFonts w:asciiTheme="majorBidi" w:hAnsiTheme="majorBidi" w:cstheme="majorBidi"/>
          <w:sz w:val="22"/>
          <w:szCs w:val="22"/>
        </w:rPr>
        <w:t xml:space="preserve">[2] </w:t>
      </w:r>
      <w:r w:rsidRPr="00121DEF">
        <w:rPr>
          <w:rFonts w:asciiTheme="majorBidi" w:hAnsiTheme="majorBidi" w:cstheme="majorBidi"/>
          <w:sz w:val="22"/>
          <w:szCs w:val="22"/>
        </w:rPr>
        <w:t xml:space="preserve">Heidari, A. A., Motalebi, Gh., Negin Taji, F., (2014). Physical dimension analysis of place attachment in traditional houses and today’s residential complexes. </w:t>
      </w:r>
      <w:r w:rsidRPr="00121DEF">
        <w:rPr>
          <w:rFonts w:asciiTheme="majorBidi" w:hAnsiTheme="majorBidi" w:cstheme="majorBidi"/>
          <w:i/>
          <w:iCs/>
          <w:sz w:val="22"/>
          <w:szCs w:val="22"/>
        </w:rPr>
        <w:t>Journal of Fine Arts, Architecture and Urban Development</w:t>
      </w:r>
      <w:r w:rsidRPr="00121DEF">
        <w:rPr>
          <w:rFonts w:asciiTheme="majorBidi" w:hAnsiTheme="majorBidi" w:cstheme="majorBidi"/>
          <w:sz w:val="22"/>
          <w:szCs w:val="22"/>
        </w:rPr>
        <w:t>, 19 (3), pp. 75-86.</w:t>
      </w:r>
    </w:p>
    <w:p w:rsidR="000D5E66" w:rsidRPr="00121DEF" w:rsidRDefault="000D5E66" w:rsidP="000D5E66">
      <w:pPr>
        <w:spacing w:line="276" w:lineRule="auto"/>
        <w:jc w:val="both"/>
        <w:rPr>
          <w:rFonts w:asciiTheme="majorBidi" w:hAnsiTheme="majorBidi" w:cstheme="majorBidi"/>
          <w:sz w:val="22"/>
          <w:szCs w:val="22"/>
          <w:rtl/>
          <w:lang w:bidi="fa-IR"/>
        </w:rPr>
      </w:pPr>
      <w:r>
        <w:rPr>
          <w:rFonts w:asciiTheme="majorBidi" w:hAnsiTheme="majorBidi" w:cstheme="majorBidi"/>
          <w:sz w:val="22"/>
          <w:szCs w:val="22"/>
          <w:lang w:bidi="fa-IR"/>
        </w:rPr>
        <w:t xml:space="preserve">[3] </w:t>
      </w:r>
      <w:r w:rsidRPr="00121DEF">
        <w:rPr>
          <w:rFonts w:asciiTheme="majorBidi" w:hAnsiTheme="majorBidi" w:cstheme="majorBidi"/>
          <w:sz w:val="22"/>
          <w:szCs w:val="22"/>
          <w:lang w:bidi="fa-IR"/>
        </w:rPr>
        <w:t xml:space="preserve">Siwek, J., Barton, S., (2002), Evidence at the Point of Care. </w:t>
      </w:r>
      <w:r w:rsidRPr="00121DEF">
        <w:rPr>
          <w:rFonts w:asciiTheme="majorBidi" w:hAnsiTheme="majorBidi" w:cstheme="majorBidi"/>
          <w:i/>
          <w:iCs/>
          <w:sz w:val="22"/>
          <w:szCs w:val="22"/>
          <w:lang w:bidi="fa-IR"/>
        </w:rPr>
        <w:t>A. F. Physician</w:t>
      </w:r>
      <w:r w:rsidRPr="00121DEF">
        <w:rPr>
          <w:rFonts w:asciiTheme="majorBidi" w:hAnsiTheme="majorBidi" w:cstheme="majorBidi"/>
          <w:sz w:val="22"/>
          <w:szCs w:val="22"/>
          <w:lang w:bidi="fa-IR"/>
        </w:rPr>
        <w:t>. 65 (1), pp. 27.</w:t>
      </w:r>
    </w:p>
    <w:p w:rsidR="000D5E66" w:rsidRPr="00121DEF" w:rsidRDefault="000D5E66" w:rsidP="000D5E66">
      <w:pPr>
        <w:spacing w:line="276" w:lineRule="auto"/>
        <w:jc w:val="both"/>
        <w:rPr>
          <w:rFonts w:asciiTheme="majorBidi" w:hAnsiTheme="majorBidi" w:cstheme="majorBidi"/>
          <w:sz w:val="22"/>
          <w:szCs w:val="22"/>
        </w:rPr>
      </w:pPr>
      <w:r>
        <w:rPr>
          <w:rFonts w:asciiTheme="majorBidi" w:hAnsiTheme="majorBidi" w:cstheme="majorBidi"/>
          <w:sz w:val="22"/>
          <w:szCs w:val="22"/>
        </w:rPr>
        <w:t xml:space="preserve">[4] </w:t>
      </w:r>
      <w:r w:rsidRPr="00121DEF">
        <w:rPr>
          <w:rFonts w:asciiTheme="majorBidi" w:hAnsiTheme="majorBidi" w:cstheme="majorBidi"/>
          <w:sz w:val="22"/>
          <w:szCs w:val="22"/>
        </w:rPr>
        <w:t>Motamedian, S. R., (2013). A Guide to writing review articles</w:t>
      </w:r>
      <w:r w:rsidRPr="00121DEF">
        <w:rPr>
          <w:rFonts w:asciiTheme="majorBidi" w:hAnsiTheme="majorBidi" w:cstheme="majorBidi"/>
          <w:i/>
          <w:iCs/>
          <w:sz w:val="22"/>
          <w:szCs w:val="22"/>
        </w:rPr>
        <w:t>. Shahid Beheshti University of Medical Sciences, Faculty of Dentistry</w:t>
      </w:r>
      <w:r w:rsidRPr="00121DEF">
        <w:rPr>
          <w:rFonts w:asciiTheme="majorBidi" w:hAnsiTheme="majorBidi" w:cstheme="majorBidi"/>
          <w:sz w:val="22"/>
          <w:szCs w:val="22"/>
        </w:rPr>
        <w:t>, 2 (1), pp. 1-8.</w:t>
      </w:r>
    </w:p>
    <w:p w:rsidR="000D5E66" w:rsidRPr="00121DEF" w:rsidRDefault="000D5E66" w:rsidP="000D5E66">
      <w:pPr>
        <w:spacing w:line="276" w:lineRule="auto"/>
        <w:jc w:val="both"/>
        <w:rPr>
          <w:rFonts w:asciiTheme="majorBidi" w:hAnsiTheme="majorBidi" w:cstheme="majorBidi"/>
          <w:sz w:val="22"/>
          <w:szCs w:val="22"/>
          <w:rtl/>
          <w:lang w:bidi="fa-IR"/>
        </w:rPr>
      </w:pPr>
      <w:r>
        <w:rPr>
          <w:rFonts w:asciiTheme="majorBidi" w:hAnsiTheme="majorBidi" w:cstheme="majorBidi"/>
          <w:sz w:val="22"/>
          <w:szCs w:val="22"/>
          <w:lang w:bidi="fa-IR"/>
        </w:rPr>
        <w:t xml:space="preserve">[5] </w:t>
      </w:r>
      <w:r w:rsidRPr="00121DEF">
        <w:rPr>
          <w:rFonts w:asciiTheme="majorBidi" w:hAnsiTheme="majorBidi" w:cstheme="majorBidi"/>
          <w:sz w:val="22"/>
          <w:szCs w:val="22"/>
          <w:lang w:bidi="fa-IR"/>
        </w:rPr>
        <w:t xml:space="preserve">Agarwal, S., (2014), Writing a Review Article: For the Beginners in Research. </w:t>
      </w:r>
      <w:r w:rsidRPr="00121DEF">
        <w:rPr>
          <w:rFonts w:asciiTheme="majorBidi" w:hAnsiTheme="majorBidi" w:cstheme="majorBidi"/>
          <w:i/>
          <w:iCs/>
          <w:sz w:val="22"/>
          <w:szCs w:val="22"/>
          <w:lang w:bidi="fa-IR"/>
        </w:rPr>
        <w:t>International Journal of Science and Research</w:t>
      </w:r>
      <w:r w:rsidRPr="00121DEF">
        <w:rPr>
          <w:rFonts w:asciiTheme="majorBidi" w:hAnsiTheme="majorBidi" w:cstheme="majorBidi"/>
          <w:sz w:val="22"/>
          <w:szCs w:val="22"/>
          <w:lang w:bidi="fa-IR"/>
        </w:rPr>
        <w:t>, 3 (10), pp. 813-815.</w:t>
      </w:r>
    </w:p>
    <w:p w:rsidR="000D5E66" w:rsidRPr="00121DEF" w:rsidRDefault="000D5E66" w:rsidP="000D5E66">
      <w:pPr>
        <w:spacing w:line="276" w:lineRule="auto"/>
        <w:jc w:val="both"/>
        <w:rPr>
          <w:rFonts w:asciiTheme="majorBidi" w:hAnsiTheme="majorBidi" w:cstheme="majorBidi"/>
          <w:sz w:val="22"/>
          <w:szCs w:val="22"/>
          <w:lang w:bidi="fa-IR"/>
        </w:rPr>
      </w:pPr>
      <w:r>
        <w:rPr>
          <w:rFonts w:asciiTheme="majorBidi" w:hAnsiTheme="majorBidi" w:cstheme="majorBidi"/>
          <w:sz w:val="22"/>
          <w:szCs w:val="22"/>
          <w:lang w:bidi="fa-IR"/>
        </w:rPr>
        <w:t xml:space="preserve">[6] </w:t>
      </w:r>
      <w:r w:rsidRPr="00121DEF">
        <w:rPr>
          <w:rFonts w:asciiTheme="majorBidi" w:hAnsiTheme="majorBidi" w:cstheme="majorBidi"/>
          <w:sz w:val="22"/>
          <w:szCs w:val="22"/>
          <w:lang w:bidi="fa-IR"/>
        </w:rPr>
        <w:t xml:space="preserve">Mayer, Ph., (2009), </w:t>
      </w:r>
      <w:r w:rsidRPr="00121DEF">
        <w:rPr>
          <w:rFonts w:asciiTheme="majorBidi" w:hAnsiTheme="majorBidi" w:cstheme="majorBidi"/>
          <w:i/>
          <w:iCs/>
          <w:sz w:val="22"/>
          <w:szCs w:val="22"/>
          <w:lang w:bidi="fa-IR"/>
        </w:rPr>
        <w:t>Guidelines for Writing a Review Article</w:t>
      </w:r>
      <w:r w:rsidRPr="00121DEF">
        <w:rPr>
          <w:rFonts w:asciiTheme="majorBidi" w:hAnsiTheme="majorBidi" w:cstheme="majorBidi"/>
          <w:sz w:val="22"/>
          <w:szCs w:val="22"/>
          <w:lang w:bidi="fa-IR"/>
        </w:rPr>
        <w:t>. Zurich-Basel Plant Science Center.</w:t>
      </w:r>
    </w:p>
    <w:p w:rsidR="000D5E66" w:rsidRPr="00121DEF" w:rsidRDefault="000D5E66" w:rsidP="000D5E66">
      <w:pPr>
        <w:spacing w:line="276" w:lineRule="auto"/>
        <w:jc w:val="both"/>
        <w:rPr>
          <w:rFonts w:asciiTheme="majorBidi" w:hAnsiTheme="majorBidi" w:cstheme="majorBidi"/>
          <w:sz w:val="22"/>
          <w:szCs w:val="22"/>
          <w:rtl/>
          <w:lang w:bidi="fa-IR"/>
        </w:rPr>
      </w:pPr>
      <w:r>
        <w:rPr>
          <w:rFonts w:asciiTheme="majorBidi" w:hAnsiTheme="majorBidi" w:cstheme="majorBidi"/>
          <w:sz w:val="22"/>
          <w:szCs w:val="22"/>
          <w:lang w:bidi="fa-IR"/>
        </w:rPr>
        <w:t xml:space="preserve">[7] </w:t>
      </w:r>
      <w:r w:rsidRPr="00121DEF">
        <w:rPr>
          <w:rFonts w:asciiTheme="majorBidi" w:hAnsiTheme="majorBidi" w:cstheme="majorBidi"/>
          <w:sz w:val="22"/>
          <w:szCs w:val="22"/>
          <w:lang w:bidi="fa-IR"/>
        </w:rPr>
        <w:t xml:space="preserve">Glass, G. V., (1976), Primary, Secondary, and Meta-Analysis of Research. </w:t>
      </w:r>
      <w:r w:rsidRPr="00121DEF">
        <w:rPr>
          <w:rFonts w:asciiTheme="majorBidi" w:hAnsiTheme="majorBidi" w:cstheme="majorBidi"/>
          <w:i/>
          <w:iCs/>
          <w:sz w:val="22"/>
          <w:szCs w:val="22"/>
          <w:lang w:bidi="fa-IR"/>
        </w:rPr>
        <w:t>Educational Researcher</w:t>
      </w:r>
      <w:r w:rsidRPr="00121DEF">
        <w:rPr>
          <w:rFonts w:asciiTheme="majorBidi" w:hAnsiTheme="majorBidi" w:cstheme="majorBidi"/>
          <w:sz w:val="22"/>
          <w:szCs w:val="22"/>
          <w:lang w:bidi="fa-IR"/>
        </w:rPr>
        <w:t>, 5 (10), PP 3-8.</w:t>
      </w:r>
    </w:p>
    <w:p w:rsidR="000D5E66" w:rsidRPr="00121DEF" w:rsidRDefault="000D5E66" w:rsidP="000D5E66">
      <w:pPr>
        <w:spacing w:line="276" w:lineRule="auto"/>
        <w:jc w:val="both"/>
        <w:rPr>
          <w:rFonts w:asciiTheme="majorBidi" w:hAnsiTheme="majorBidi" w:cstheme="majorBidi"/>
          <w:sz w:val="22"/>
          <w:szCs w:val="22"/>
          <w:rtl/>
          <w:cs/>
        </w:rPr>
      </w:pPr>
      <w:r>
        <w:rPr>
          <w:rFonts w:asciiTheme="majorBidi" w:hAnsiTheme="majorBidi" w:cstheme="majorBidi"/>
          <w:sz w:val="22"/>
          <w:szCs w:val="22"/>
        </w:rPr>
        <w:t xml:space="preserve">[8] </w:t>
      </w:r>
      <w:r w:rsidRPr="00121DEF">
        <w:rPr>
          <w:rFonts w:asciiTheme="majorBidi" w:hAnsiTheme="majorBidi" w:cstheme="majorBidi"/>
          <w:sz w:val="22"/>
          <w:szCs w:val="22"/>
        </w:rPr>
        <w:t xml:space="preserve">List of valid scientific publications. (2015). </w:t>
      </w:r>
      <w:r w:rsidRPr="00121DEF">
        <w:rPr>
          <w:rFonts w:asciiTheme="majorBidi" w:hAnsiTheme="majorBidi" w:cstheme="majorBidi"/>
          <w:i/>
          <w:iCs/>
          <w:sz w:val="22"/>
          <w:szCs w:val="22"/>
        </w:rPr>
        <w:t>Ministry of Science, Research and Technology, Vice-President of Research and Technology</w:t>
      </w:r>
      <w:r w:rsidRPr="00121DEF">
        <w:rPr>
          <w:rFonts w:asciiTheme="majorBidi" w:hAnsiTheme="majorBidi" w:cstheme="majorBidi"/>
          <w:sz w:val="22"/>
          <w:szCs w:val="22"/>
        </w:rPr>
        <w:t>, Commission on Scientific Publications.</w:t>
      </w:r>
    </w:p>
    <w:p w:rsidR="000D5E66" w:rsidRPr="00121DEF" w:rsidRDefault="000D5E66" w:rsidP="000D5E66">
      <w:pPr>
        <w:spacing w:line="276" w:lineRule="auto"/>
        <w:jc w:val="both"/>
        <w:rPr>
          <w:rFonts w:asciiTheme="majorBidi" w:hAnsiTheme="majorBidi" w:cstheme="majorBidi"/>
          <w:sz w:val="22"/>
          <w:szCs w:val="22"/>
        </w:rPr>
      </w:pPr>
      <w:r>
        <w:rPr>
          <w:rFonts w:asciiTheme="majorBidi" w:hAnsiTheme="majorBidi" w:cstheme="majorBidi"/>
          <w:sz w:val="22"/>
          <w:szCs w:val="22"/>
        </w:rPr>
        <w:t xml:space="preserve">[9] </w:t>
      </w:r>
      <w:r w:rsidRPr="00121DEF">
        <w:rPr>
          <w:rFonts w:asciiTheme="majorBidi" w:hAnsiTheme="majorBidi" w:cstheme="majorBidi"/>
          <w:sz w:val="22"/>
          <w:szCs w:val="22"/>
        </w:rPr>
        <w:t xml:space="preserve">Weimer, R. D., Dominic, J. R., (2005). </w:t>
      </w:r>
      <w:r w:rsidRPr="00121DEF">
        <w:rPr>
          <w:rFonts w:asciiTheme="majorBidi" w:hAnsiTheme="majorBidi" w:cstheme="majorBidi"/>
          <w:i/>
          <w:iCs/>
          <w:sz w:val="22"/>
          <w:szCs w:val="22"/>
        </w:rPr>
        <w:t>Research in the mass media</w:t>
      </w:r>
      <w:r w:rsidRPr="00121DEF">
        <w:rPr>
          <w:rFonts w:asciiTheme="majorBidi" w:hAnsiTheme="majorBidi" w:cstheme="majorBidi"/>
          <w:sz w:val="22"/>
          <w:szCs w:val="22"/>
        </w:rPr>
        <w:t>. Translated by Kavos Seidemami. Tehran: Soroush, and the Center for Research and Evaluation of Islamic Republic of Iran Broadcasting Corporation.</w:t>
      </w:r>
    </w:p>
    <w:p w:rsidR="00104C97" w:rsidRPr="00121DEF" w:rsidRDefault="000D5E66" w:rsidP="000D5E66">
      <w:pPr>
        <w:spacing w:line="276" w:lineRule="auto"/>
        <w:jc w:val="both"/>
        <w:rPr>
          <w:rFonts w:asciiTheme="majorBidi" w:hAnsiTheme="majorBidi" w:cstheme="majorBidi"/>
          <w:sz w:val="22"/>
          <w:szCs w:val="22"/>
          <w:lang w:bidi="fa-IR"/>
        </w:rPr>
      </w:pPr>
      <w:r>
        <w:rPr>
          <w:rFonts w:asciiTheme="majorBidi" w:hAnsiTheme="majorBidi" w:cstheme="majorBidi"/>
          <w:sz w:val="22"/>
          <w:szCs w:val="22"/>
          <w:lang w:bidi="fa-IR"/>
        </w:rPr>
        <w:t xml:space="preserve">[10] </w:t>
      </w:r>
      <w:r w:rsidRPr="00121DEF">
        <w:rPr>
          <w:rFonts w:asciiTheme="majorBidi" w:hAnsiTheme="majorBidi" w:cstheme="majorBidi"/>
          <w:sz w:val="22"/>
          <w:szCs w:val="22"/>
          <w:lang w:bidi="fa-IR"/>
        </w:rPr>
        <w:t xml:space="preserve">Bengtsson, M., (2016), How to Plan and Perform a Qualitative Study Using content Analysis. </w:t>
      </w:r>
      <w:r w:rsidRPr="00121DEF">
        <w:rPr>
          <w:rFonts w:asciiTheme="majorBidi" w:hAnsiTheme="majorBidi" w:cstheme="majorBidi"/>
          <w:i/>
          <w:iCs/>
          <w:sz w:val="22"/>
          <w:szCs w:val="22"/>
          <w:lang w:bidi="fa-IR"/>
        </w:rPr>
        <w:t>NursingPlus Open</w:t>
      </w:r>
      <w:r w:rsidRPr="00121DEF">
        <w:rPr>
          <w:rFonts w:asciiTheme="majorBidi" w:hAnsiTheme="majorBidi" w:cstheme="majorBidi"/>
          <w:sz w:val="22"/>
          <w:szCs w:val="22"/>
          <w:lang w:bidi="fa-IR"/>
        </w:rPr>
        <w:t>, 2, pp. 8-14.</w:t>
      </w:r>
    </w:p>
    <w:p w:rsidR="00104C97" w:rsidRDefault="000D5E66" w:rsidP="00980E46">
      <w:pPr>
        <w:spacing w:line="276" w:lineRule="auto"/>
        <w:jc w:val="both"/>
        <w:rPr>
          <w:rFonts w:asciiTheme="majorBidi" w:hAnsiTheme="majorBidi" w:cstheme="majorBidi"/>
          <w:sz w:val="22"/>
          <w:szCs w:val="22"/>
          <w:lang w:bidi="fa-IR"/>
        </w:rPr>
      </w:pPr>
      <w:r>
        <w:rPr>
          <w:rFonts w:asciiTheme="majorBidi" w:hAnsiTheme="majorBidi" w:cstheme="majorBidi"/>
          <w:sz w:val="22"/>
          <w:szCs w:val="22"/>
          <w:lang w:bidi="fa-IR"/>
        </w:rPr>
        <w:t xml:space="preserve">[11] </w:t>
      </w:r>
      <w:r w:rsidR="00104C97" w:rsidRPr="00121DEF">
        <w:rPr>
          <w:rFonts w:asciiTheme="majorBidi" w:hAnsiTheme="majorBidi" w:cstheme="majorBidi"/>
          <w:sz w:val="22"/>
          <w:szCs w:val="22"/>
          <w:lang w:bidi="fa-IR"/>
        </w:rPr>
        <w:t>Allen, B.; Resser, D., (1990), Content Analysis and Information Science Researches</w:t>
      </w:r>
      <w:r w:rsidR="00104C97" w:rsidRPr="00121DEF">
        <w:rPr>
          <w:rFonts w:asciiTheme="majorBidi" w:hAnsiTheme="majorBidi" w:cstheme="majorBidi"/>
          <w:i/>
          <w:iCs/>
          <w:sz w:val="22"/>
          <w:szCs w:val="22"/>
          <w:lang w:bidi="fa-IR"/>
        </w:rPr>
        <w:t>. Library and Information Science Research,</w:t>
      </w:r>
      <w:r w:rsidR="00104C97" w:rsidRPr="00121DEF">
        <w:rPr>
          <w:rFonts w:asciiTheme="majorBidi" w:hAnsiTheme="majorBidi" w:cstheme="majorBidi"/>
          <w:sz w:val="22"/>
          <w:szCs w:val="22"/>
          <w:rtl/>
          <w:lang w:bidi="fa-IR"/>
        </w:rPr>
        <w:t xml:space="preserve"> </w:t>
      </w:r>
      <w:r w:rsidR="00104C97" w:rsidRPr="00121DEF">
        <w:rPr>
          <w:rFonts w:asciiTheme="majorBidi" w:hAnsiTheme="majorBidi" w:cstheme="majorBidi"/>
          <w:sz w:val="22"/>
          <w:szCs w:val="22"/>
          <w:lang w:bidi="fa-IR"/>
        </w:rPr>
        <w:t>12 (3).</w:t>
      </w:r>
    </w:p>
    <w:p w:rsidR="007115E2" w:rsidRDefault="007115E2" w:rsidP="007115E2">
      <w:pPr>
        <w:widowControl w:val="0"/>
        <w:autoSpaceDE w:val="0"/>
        <w:autoSpaceDN w:val="0"/>
        <w:adjustRightInd w:val="0"/>
        <w:spacing w:line="240" w:lineRule="auto"/>
        <w:jc w:val="both"/>
        <w:rPr>
          <w:rFonts w:asciiTheme="majorBidi" w:hAnsiTheme="majorBidi" w:cstheme="majorBidi"/>
          <w:sz w:val="22"/>
          <w:szCs w:val="22"/>
        </w:rPr>
      </w:pPr>
      <w:r>
        <w:rPr>
          <w:rFonts w:asciiTheme="majorBidi" w:hAnsiTheme="majorBidi" w:cstheme="majorBidi"/>
          <w:sz w:val="22"/>
          <w:szCs w:val="22"/>
        </w:rPr>
        <w:t>[12]</w:t>
      </w:r>
      <w:r>
        <w:rPr>
          <w:sz w:val="12"/>
          <w:szCs w:val="12"/>
        </w:rPr>
        <w:t xml:space="preserve"> </w:t>
      </w:r>
      <w:r w:rsidRPr="00740318">
        <w:rPr>
          <w:rFonts w:asciiTheme="majorBidi" w:hAnsiTheme="majorBidi" w:cstheme="majorBidi"/>
          <w:sz w:val="22"/>
          <w:szCs w:val="22"/>
        </w:rPr>
        <w:t>Burak Güneralp, George Gertner, Guillermo Mend</w:t>
      </w:r>
      <w:r>
        <w:rPr>
          <w:rFonts w:asciiTheme="majorBidi" w:hAnsiTheme="majorBidi" w:cstheme="majorBidi"/>
          <w:sz w:val="22"/>
          <w:szCs w:val="22"/>
        </w:rPr>
        <w:t xml:space="preserve">oza, Alan Anderson, Eval-uating </w:t>
      </w:r>
      <w:r w:rsidRPr="00740318">
        <w:rPr>
          <w:rFonts w:asciiTheme="majorBidi" w:hAnsiTheme="majorBidi" w:cstheme="majorBidi"/>
          <w:sz w:val="22"/>
          <w:szCs w:val="22"/>
        </w:rPr>
        <w:t>probabilistic data with a possibilistic criterion in land-restorationdecision-making: effects on the precisi</w:t>
      </w:r>
      <w:r>
        <w:rPr>
          <w:rFonts w:asciiTheme="majorBidi" w:hAnsiTheme="majorBidi" w:cstheme="majorBidi"/>
          <w:sz w:val="22"/>
          <w:szCs w:val="22"/>
        </w:rPr>
        <w:t>on of results., Fuzzy Sets Syst, 2007. 158 (14): p.</w:t>
      </w:r>
      <w:r w:rsidRPr="00740318">
        <w:rPr>
          <w:rFonts w:asciiTheme="majorBidi" w:hAnsiTheme="majorBidi" w:cstheme="majorBidi"/>
          <w:sz w:val="22"/>
          <w:szCs w:val="22"/>
        </w:rPr>
        <w:t>1546–1560</w:t>
      </w:r>
      <w:r>
        <w:rPr>
          <w:rFonts w:asciiTheme="majorBidi" w:hAnsiTheme="majorBidi" w:cstheme="majorBidi"/>
          <w:sz w:val="22"/>
          <w:szCs w:val="22"/>
        </w:rPr>
        <w:t>.</w:t>
      </w:r>
    </w:p>
    <w:p w:rsidR="00104C97" w:rsidRDefault="007115E2" w:rsidP="007115E2">
      <w:pPr>
        <w:spacing w:line="276" w:lineRule="auto"/>
        <w:jc w:val="both"/>
        <w:rPr>
          <w:rFonts w:asciiTheme="majorBidi" w:hAnsiTheme="majorBidi" w:cstheme="majorBidi"/>
          <w:sz w:val="22"/>
          <w:szCs w:val="22"/>
        </w:rPr>
      </w:pPr>
      <w:r>
        <w:rPr>
          <w:rFonts w:asciiTheme="majorBidi" w:hAnsiTheme="majorBidi" w:cstheme="majorBidi"/>
          <w:sz w:val="22"/>
          <w:szCs w:val="22"/>
        </w:rPr>
        <w:t xml:space="preserve"> </w:t>
      </w:r>
      <w:r w:rsidR="000D5E66">
        <w:rPr>
          <w:rFonts w:asciiTheme="majorBidi" w:hAnsiTheme="majorBidi" w:cstheme="majorBidi"/>
          <w:sz w:val="22"/>
          <w:szCs w:val="22"/>
        </w:rPr>
        <w:t>[</w:t>
      </w:r>
      <w:r>
        <w:rPr>
          <w:rFonts w:asciiTheme="majorBidi" w:hAnsiTheme="majorBidi" w:cstheme="majorBidi"/>
          <w:sz w:val="22"/>
          <w:szCs w:val="22"/>
        </w:rPr>
        <w:t>13</w:t>
      </w:r>
      <w:r w:rsidR="000D5E66">
        <w:rPr>
          <w:rFonts w:asciiTheme="majorBidi" w:hAnsiTheme="majorBidi" w:cstheme="majorBidi"/>
          <w:sz w:val="22"/>
          <w:szCs w:val="22"/>
        </w:rPr>
        <w:t xml:space="preserve">] </w:t>
      </w:r>
      <w:r w:rsidR="00104C97" w:rsidRPr="00121DEF">
        <w:rPr>
          <w:rFonts w:asciiTheme="majorBidi" w:hAnsiTheme="majorBidi" w:cstheme="majorBidi"/>
          <w:sz w:val="22"/>
          <w:szCs w:val="22"/>
        </w:rPr>
        <w:t xml:space="preserve">Azar, A., (2001). The development of Shannon’s entropy method for data processing in content analysis. </w:t>
      </w:r>
      <w:r w:rsidR="00104C97" w:rsidRPr="00121DEF">
        <w:rPr>
          <w:rFonts w:asciiTheme="majorBidi" w:hAnsiTheme="majorBidi" w:cstheme="majorBidi"/>
          <w:i/>
          <w:iCs/>
          <w:sz w:val="22"/>
          <w:szCs w:val="22"/>
        </w:rPr>
        <w:t>Human Sciences Quarterly Journal of Al-Zahra University,</w:t>
      </w:r>
      <w:r w:rsidR="00104C97" w:rsidRPr="00121DEF">
        <w:rPr>
          <w:rFonts w:asciiTheme="majorBidi" w:hAnsiTheme="majorBidi" w:cstheme="majorBidi"/>
          <w:sz w:val="22"/>
          <w:szCs w:val="22"/>
        </w:rPr>
        <w:t xml:space="preserve"> 11 (37 &amp; 38), pp. 2-18.</w:t>
      </w:r>
    </w:p>
    <w:p w:rsidR="000D5E66" w:rsidRPr="00121DEF" w:rsidRDefault="000D5E66" w:rsidP="007115E2">
      <w:pPr>
        <w:spacing w:line="276" w:lineRule="auto"/>
        <w:jc w:val="both"/>
        <w:rPr>
          <w:rFonts w:asciiTheme="majorBidi" w:hAnsiTheme="majorBidi" w:cstheme="majorBidi"/>
          <w:sz w:val="22"/>
          <w:szCs w:val="22"/>
          <w:lang w:bidi="fa-IR"/>
        </w:rPr>
      </w:pPr>
      <w:r>
        <w:rPr>
          <w:rFonts w:asciiTheme="majorBidi" w:hAnsiTheme="majorBidi" w:cstheme="majorBidi"/>
          <w:sz w:val="22"/>
          <w:szCs w:val="22"/>
          <w:lang w:bidi="fa-IR"/>
        </w:rPr>
        <w:lastRenderedPageBreak/>
        <w:t>[</w:t>
      </w:r>
      <w:r w:rsidR="007115E2">
        <w:rPr>
          <w:rFonts w:asciiTheme="majorBidi" w:hAnsiTheme="majorBidi" w:cstheme="majorBidi"/>
          <w:sz w:val="22"/>
          <w:szCs w:val="22"/>
          <w:lang w:bidi="fa-IR"/>
        </w:rPr>
        <w:t>14</w:t>
      </w:r>
      <w:r>
        <w:rPr>
          <w:rFonts w:asciiTheme="majorBidi" w:hAnsiTheme="majorBidi" w:cstheme="majorBidi"/>
          <w:sz w:val="22"/>
          <w:szCs w:val="22"/>
          <w:lang w:bidi="fa-IR"/>
        </w:rPr>
        <w:t xml:space="preserve">] </w:t>
      </w:r>
      <w:r w:rsidRPr="00121DEF">
        <w:rPr>
          <w:rFonts w:asciiTheme="majorBidi" w:hAnsiTheme="majorBidi" w:cstheme="majorBidi"/>
          <w:sz w:val="22"/>
          <w:szCs w:val="22"/>
          <w:lang w:bidi="fa-IR"/>
        </w:rPr>
        <w:t xml:space="preserve">Wu, Y., Zhou, Y., Saveriades, G., Agaian, S., Noonan, J. P., Natarajan, P., (2013), Local Shannon entropy Measure with Statistical Tests for Image Randomness. </w:t>
      </w:r>
      <w:r w:rsidRPr="00121DEF">
        <w:rPr>
          <w:rFonts w:asciiTheme="majorBidi" w:hAnsiTheme="majorBidi" w:cstheme="majorBidi"/>
          <w:i/>
          <w:iCs/>
          <w:sz w:val="22"/>
          <w:szCs w:val="22"/>
          <w:lang w:bidi="fa-IR"/>
        </w:rPr>
        <w:t>Information Science</w:t>
      </w:r>
      <w:r w:rsidRPr="00121DEF">
        <w:rPr>
          <w:rFonts w:asciiTheme="majorBidi" w:hAnsiTheme="majorBidi" w:cstheme="majorBidi"/>
          <w:sz w:val="22"/>
          <w:szCs w:val="22"/>
          <w:lang w:bidi="fa-IR"/>
        </w:rPr>
        <w:t>, 222, pp. 323- 342.</w:t>
      </w:r>
    </w:p>
    <w:p w:rsidR="000D5E66" w:rsidRPr="00121DEF" w:rsidRDefault="000D5E66" w:rsidP="007115E2">
      <w:pPr>
        <w:spacing w:line="276" w:lineRule="auto"/>
        <w:jc w:val="both"/>
        <w:rPr>
          <w:rFonts w:asciiTheme="majorBidi" w:hAnsiTheme="majorBidi" w:cstheme="majorBidi"/>
          <w:sz w:val="22"/>
          <w:szCs w:val="22"/>
          <w:lang w:bidi="fa-IR"/>
        </w:rPr>
      </w:pPr>
      <w:r>
        <w:rPr>
          <w:rFonts w:asciiTheme="majorBidi" w:hAnsiTheme="majorBidi" w:cstheme="majorBidi"/>
          <w:sz w:val="22"/>
          <w:szCs w:val="22"/>
          <w:lang w:bidi="fa-IR"/>
        </w:rPr>
        <w:t>[</w:t>
      </w:r>
      <w:r w:rsidR="007115E2">
        <w:rPr>
          <w:rFonts w:asciiTheme="majorBidi" w:hAnsiTheme="majorBidi" w:cstheme="majorBidi"/>
          <w:sz w:val="22"/>
          <w:szCs w:val="22"/>
          <w:lang w:bidi="fa-IR"/>
        </w:rPr>
        <w:t>15</w:t>
      </w:r>
      <w:r>
        <w:rPr>
          <w:rFonts w:asciiTheme="majorBidi" w:hAnsiTheme="majorBidi" w:cstheme="majorBidi"/>
          <w:sz w:val="22"/>
          <w:szCs w:val="22"/>
          <w:lang w:bidi="fa-IR"/>
        </w:rPr>
        <w:t xml:space="preserve">] </w:t>
      </w:r>
      <w:r w:rsidRPr="00121DEF">
        <w:rPr>
          <w:rFonts w:asciiTheme="majorBidi" w:hAnsiTheme="majorBidi" w:cstheme="majorBidi"/>
          <w:sz w:val="22"/>
          <w:szCs w:val="22"/>
          <w:lang w:bidi="fa-IR"/>
        </w:rPr>
        <w:t>Shuai, J. J., Wu, W. W., (2011), Evaluating the Influence of E-Marketing on Hotel Performance by DEA and Grey Entropy</w:t>
      </w:r>
      <w:r w:rsidRPr="00121DEF">
        <w:rPr>
          <w:rFonts w:asciiTheme="majorBidi" w:hAnsiTheme="majorBidi" w:cstheme="majorBidi"/>
          <w:i/>
          <w:iCs/>
          <w:sz w:val="22"/>
          <w:szCs w:val="22"/>
          <w:lang w:bidi="fa-IR"/>
        </w:rPr>
        <w:t>. Expert Systems with Applications</w:t>
      </w:r>
      <w:r w:rsidRPr="00121DEF">
        <w:rPr>
          <w:rFonts w:asciiTheme="majorBidi" w:hAnsiTheme="majorBidi" w:cstheme="majorBidi"/>
          <w:sz w:val="22"/>
          <w:szCs w:val="22"/>
          <w:lang w:bidi="fa-IR"/>
        </w:rPr>
        <w:t>, 38, pp. 8763-8769.</w:t>
      </w:r>
    </w:p>
    <w:p w:rsidR="000D5E66" w:rsidRPr="00121DEF" w:rsidRDefault="000D5E66" w:rsidP="007115E2">
      <w:pPr>
        <w:spacing w:line="276" w:lineRule="auto"/>
        <w:jc w:val="both"/>
        <w:rPr>
          <w:rFonts w:asciiTheme="majorBidi" w:hAnsiTheme="majorBidi" w:cstheme="majorBidi"/>
          <w:sz w:val="22"/>
          <w:szCs w:val="22"/>
          <w:lang w:bidi="fa-IR"/>
        </w:rPr>
      </w:pPr>
      <w:r>
        <w:rPr>
          <w:rFonts w:asciiTheme="majorBidi" w:hAnsiTheme="majorBidi" w:cstheme="majorBidi"/>
          <w:sz w:val="22"/>
          <w:szCs w:val="22"/>
          <w:lang w:bidi="fa-IR"/>
        </w:rPr>
        <w:t>[</w:t>
      </w:r>
      <w:r w:rsidR="007115E2">
        <w:rPr>
          <w:rFonts w:asciiTheme="majorBidi" w:hAnsiTheme="majorBidi" w:cstheme="majorBidi"/>
          <w:sz w:val="22"/>
          <w:szCs w:val="22"/>
          <w:lang w:bidi="fa-IR"/>
        </w:rPr>
        <w:t>16</w:t>
      </w:r>
      <w:r>
        <w:rPr>
          <w:rFonts w:asciiTheme="majorBidi" w:hAnsiTheme="majorBidi" w:cstheme="majorBidi"/>
          <w:sz w:val="22"/>
          <w:szCs w:val="22"/>
          <w:lang w:bidi="fa-IR"/>
        </w:rPr>
        <w:t xml:space="preserve">] </w:t>
      </w:r>
      <w:r w:rsidRPr="00121DEF">
        <w:rPr>
          <w:rFonts w:asciiTheme="majorBidi" w:hAnsiTheme="majorBidi" w:cstheme="majorBidi"/>
          <w:sz w:val="22"/>
          <w:szCs w:val="22"/>
          <w:lang w:bidi="fa-IR"/>
        </w:rPr>
        <w:t xml:space="preserve">Warrens, M., (2013), Conditional Inequalities between Cohen’s Kappa and Weighted Kappas. </w:t>
      </w:r>
      <w:r w:rsidRPr="00121DEF">
        <w:rPr>
          <w:rFonts w:asciiTheme="majorBidi" w:hAnsiTheme="majorBidi" w:cstheme="majorBidi"/>
          <w:i/>
          <w:iCs/>
          <w:sz w:val="22"/>
          <w:szCs w:val="22"/>
          <w:lang w:bidi="fa-IR"/>
        </w:rPr>
        <w:t>Statistical Methodology</w:t>
      </w:r>
      <w:r w:rsidRPr="00121DEF">
        <w:rPr>
          <w:rFonts w:asciiTheme="majorBidi" w:hAnsiTheme="majorBidi" w:cstheme="majorBidi"/>
          <w:sz w:val="22"/>
          <w:szCs w:val="22"/>
          <w:lang w:bidi="fa-IR"/>
        </w:rPr>
        <w:t>, 10 (1), pp. 14-22.</w:t>
      </w:r>
    </w:p>
    <w:p w:rsidR="000D5E66" w:rsidRPr="00121DEF" w:rsidRDefault="000D5E66" w:rsidP="007115E2">
      <w:pPr>
        <w:spacing w:line="276" w:lineRule="auto"/>
        <w:jc w:val="both"/>
        <w:rPr>
          <w:rFonts w:asciiTheme="majorBidi" w:hAnsiTheme="majorBidi" w:cstheme="majorBidi"/>
          <w:sz w:val="22"/>
          <w:szCs w:val="22"/>
          <w:lang w:bidi="fa-IR"/>
        </w:rPr>
      </w:pPr>
      <w:r>
        <w:rPr>
          <w:rFonts w:asciiTheme="majorBidi" w:hAnsiTheme="majorBidi" w:cstheme="majorBidi"/>
          <w:sz w:val="22"/>
          <w:szCs w:val="22"/>
          <w:lang w:bidi="fa-IR"/>
        </w:rPr>
        <w:t>[</w:t>
      </w:r>
      <w:r w:rsidR="007115E2">
        <w:rPr>
          <w:rFonts w:asciiTheme="majorBidi" w:hAnsiTheme="majorBidi" w:cstheme="majorBidi"/>
          <w:sz w:val="22"/>
          <w:szCs w:val="22"/>
          <w:lang w:bidi="fa-IR"/>
        </w:rPr>
        <w:t>17</w:t>
      </w:r>
      <w:r>
        <w:rPr>
          <w:rFonts w:asciiTheme="majorBidi" w:hAnsiTheme="majorBidi" w:cstheme="majorBidi"/>
          <w:sz w:val="22"/>
          <w:szCs w:val="22"/>
          <w:lang w:bidi="fa-IR"/>
        </w:rPr>
        <w:t xml:space="preserve">] </w:t>
      </w:r>
      <w:r w:rsidRPr="00121DEF">
        <w:rPr>
          <w:rFonts w:asciiTheme="majorBidi" w:hAnsiTheme="majorBidi" w:cstheme="majorBidi"/>
          <w:sz w:val="22"/>
          <w:szCs w:val="22"/>
          <w:lang w:bidi="fa-IR"/>
        </w:rPr>
        <w:t xml:space="preserve">Warrens, M., (2011), Cohen’s Kappa Is a Weighted Average. </w:t>
      </w:r>
      <w:r w:rsidRPr="00121DEF">
        <w:rPr>
          <w:rFonts w:asciiTheme="majorBidi" w:hAnsiTheme="majorBidi" w:cstheme="majorBidi"/>
          <w:i/>
          <w:iCs/>
          <w:sz w:val="22"/>
          <w:szCs w:val="22"/>
          <w:lang w:bidi="fa-IR"/>
        </w:rPr>
        <w:t>Statistical Methodology</w:t>
      </w:r>
      <w:r>
        <w:rPr>
          <w:rFonts w:asciiTheme="majorBidi" w:hAnsiTheme="majorBidi" w:cstheme="majorBidi"/>
          <w:sz w:val="22"/>
          <w:szCs w:val="22"/>
          <w:lang w:bidi="fa-IR"/>
        </w:rPr>
        <w:t>, 8 (6), pp. 473-484.</w:t>
      </w:r>
    </w:p>
    <w:p w:rsidR="00104C97" w:rsidRPr="00121DEF" w:rsidRDefault="000D5E66" w:rsidP="007115E2">
      <w:pPr>
        <w:spacing w:line="276" w:lineRule="auto"/>
        <w:jc w:val="both"/>
        <w:rPr>
          <w:rFonts w:asciiTheme="majorBidi" w:hAnsiTheme="majorBidi" w:cstheme="majorBidi"/>
          <w:sz w:val="22"/>
          <w:szCs w:val="22"/>
        </w:rPr>
      </w:pPr>
      <w:r>
        <w:rPr>
          <w:rFonts w:asciiTheme="majorBidi" w:hAnsiTheme="majorBidi" w:cstheme="majorBidi"/>
          <w:sz w:val="22"/>
          <w:szCs w:val="22"/>
        </w:rPr>
        <w:t>[</w:t>
      </w:r>
      <w:r w:rsidR="007115E2">
        <w:rPr>
          <w:rFonts w:asciiTheme="majorBidi" w:hAnsiTheme="majorBidi" w:cstheme="majorBidi"/>
          <w:sz w:val="22"/>
          <w:szCs w:val="22"/>
        </w:rPr>
        <w:t>18</w:t>
      </w:r>
      <w:r>
        <w:rPr>
          <w:rFonts w:asciiTheme="majorBidi" w:hAnsiTheme="majorBidi" w:cstheme="majorBidi"/>
          <w:sz w:val="22"/>
          <w:szCs w:val="22"/>
        </w:rPr>
        <w:t xml:space="preserve">] </w:t>
      </w:r>
      <w:r w:rsidR="00104C97" w:rsidRPr="00121DEF">
        <w:rPr>
          <w:rFonts w:asciiTheme="majorBidi" w:hAnsiTheme="majorBidi" w:cstheme="majorBidi"/>
          <w:sz w:val="22"/>
          <w:szCs w:val="22"/>
        </w:rPr>
        <w:t xml:space="preserve">Bolandraftar, Sh., (2014). </w:t>
      </w:r>
      <w:r w:rsidR="00104C97" w:rsidRPr="00121DEF">
        <w:rPr>
          <w:rFonts w:asciiTheme="majorBidi" w:hAnsiTheme="majorBidi" w:cstheme="majorBidi"/>
          <w:i/>
          <w:iCs/>
          <w:sz w:val="22"/>
          <w:szCs w:val="22"/>
        </w:rPr>
        <w:t>The weighted kappa and its application</w:t>
      </w:r>
      <w:r w:rsidR="00104C97" w:rsidRPr="00121DEF">
        <w:rPr>
          <w:rFonts w:asciiTheme="majorBidi" w:hAnsiTheme="majorBidi" w:cstheme="majorBidi"/>
          <w:sz w:val="22"/>
          <w:szCs w:val="22"/>
        </w:rPr>
        <w:t>. Master’s Thesis of Alzahra University.</w:t>
      </w:r>
    </w:p>
    <w:p w:rsidR="004A642A" w:rsidRPr="004A642A" w:rsidRDefault="004A642A" w:rsidP="004A642A">
      <w:pPr>
        <w:widowControl w:val="0"/>
        <w:autoSpaceDE w:val="0"/>
        <w:autoSpaceDN w:val="0"/>
        <w:adjustRightInd w:val="0"/>
        <w:spacing w:line="240" w:lineRule="auto"/>
        <w:jc w:val="both"/>
        <w:rPr>
          <w:rFonts w:asciiTheme="majorBidi" w:hAnsiTheme="majorBidi" w:cstheme="majorBidi"/>
          <w:sz w:val="22"/>
          <w:szCs w:val="22"/>
        </w:rPr>
      </w:pPr>
      <w:r w:rsidRPr="004A642A">
        <w:rPr>
          <w:rFonts w:asciiTheme="majorBidi" w:hAnsiTheme="majorBidi" w:cstheme="majorBidi"/>
          <w:sz w:val="22"/>
          <w:szCs w:val="22"/>
        </w:rPr>
        <w:t xml:space="preserve">[19] Ahadi, A.a., M. Masoudi Nejad, and A. Piriaei, </w:t>
      </w:r>
      <w:r w:rsidRPr="004A642A">
        <w:rPr>
          <w:rFonts w:asciiTheme="majorBidi" w:hAnsiTheme="majorBidi" w:cstheme="majorBidi"/>
          <w:i/>
          <w:iCs/>
          <w:sz w:val="22"/>
          <w:szCs w:val="22"/>
        </w:rPr>
        <w:t>Proper design of windows in order to achieve the appropriate daylight level in apartment buildings in Tehran.</w:t>
      </w:r>
      <w:r w:rsidRPr="004A642A">
        <w:rPr>
          <w:rFonts w:asciiTheme="majorBidi" w:hAnsiTheme="majorBidi" w:cstheme="majorBidi"/>
          <w:sz w:val="22"/>
          <w:szCs w:val="22"/>
        </w:rPr>
        <w:t xml:space="preserve"> Hoviatshahr, 2017. 10(25): p. 41-50.</w:t>
      </w:r>
    </w:p>
    <w:p w:rsidR="004A642A" w:rsidRPr="004A642A" w:rsidRDefault="004A642A" w:rsidP="004A642A">
      <w:pPr>
        <w:widowControl w:val="0"/>
        <w:autoSpaceDE w:val="0"/>
        <w:autoSpaceDN w:val="0"/>
        <w:adjustRightInd w:val="0"/>
        <w:spacing w:line="240" w:lineRule="auto"/>
        <w:jc w:val="both"/>
        <w:rPr>
          <w:rFonts w:asciiTheme="majorBidi" w:hAnsiTheme="majorBidi" w:cstheme="majorBidi"/>
          <w:sz w:val="22"/>
          <w:szCs w:val="22"/>
        </w:rPr>
      </w:pPr>
      <w:r w:rsidRPr="004A642A">
        <w:rPr>
          <w:rFonts w:asciiTheme="majorBidi" w:hAnsiTheme="majorBidi" w:cstheme="majorBidi"/>
          <w:sz w:val="22"/>
          <w:szCs w:val="22"/>
        </w:rPr>
        <w:t xml:space="preserve">[20] Alalhesabi, M. and A. Ghorbani, </w:t>
      </w:r>
      <w:r w:rsidRPr="004A642A">
        <w:rPr>
          <w:rFonts w:asciiTheme="majorBidi" w:hAnsiTheme="majorBidi" w:cstheme="majorBidi"/>
          <w:i/>
          <w:iCs/>
          <w:sz w:val="22"/>
          <w:szCs w:val="22"/>
        </w:rPr>
        <w:t>Investigating features of the inbound space as a joint and visual privacy in adjacent public areas.</w:t>
      </w:r>
      <w:r w:rsidRPr="004A642A">
        <w:rPr>
          <w:rFonts w:asciiTheme="majorBidi" w:hAnsiTheme="majorBidi" w:cstheme="majorBidi"/>
          <w:sz w:val="22"/>
          <w:szCs w:val="22"/>
        </w:rPr>
        <w:t xml:space="preserve"> Islamic Architectural Researches, 2015. 2(4): p. 87-106.</w:t>
      </w:r>
    </w:p>
    <w:p w:rsidR="004A642A" w:rsidRPr="004A642A" w:rsidRDefault="004A642A" w:rsidP="004A642A">
      <w:pPr>
        <w:widowControl w:val="0"/>
        <w:autoSpaceDE w:val="0"/>
        <w:autoSpaceDN w:val="0"/>
        <w:adjustRightInd w:val="0"/>
        <w:spacing w:line="240" w:lineRule="auto"/>
        <w:jc w:val="both"/>
        <w:rPr>
          <w:rFonts w:asciiTheme="majorBidi" w:hAnsiTheme="majorBidi" w:cstheme="majorBidi"/>
          <w:sz w:val="22"/>
          <w:szCs w:val="22"/>
        </w:rPr>
      </w:pPr>
      <w:r w:rsidRPr="004A642A">
        <w:rPr>
          <w:rFonts w:asciiTheme="majorBidi" w:hAnsiTheme="majorBidi" w:cstheme="majorBidi"/>
          <w:sz w:val="22"/>
          <w:szCs w:val="22"/>
        </w:rPr>
        <w:t xml:space="preserve">[21] Alalhesabi, M., B. Hosseini, and F. Nasabi, </w:t>
      </w:r>
      <w:r w:rsidRPr="004A642A">
        <w:rPr>
          <w:rFonts w:asciiTheme="majorBidi" w:hAnsiTheme="majorBidi" w:cstheme="majorBidi"/>
          <w:i/>
          <w:iCs/>
          <w:sz w:val="22"/>
          <w:szCs w:val="22"/>
        </w:rPr>
        <w:t>Housing Visual Quality in Urban Pattern; Application of Isovist Method in Old Fabric of Bushehr City.</w:t>
      </w:r>
      <w:r w:rsidRPr="004A642A">
        <w:rPr>
          <w:rFonts w:asciiTheme="majorBidi" w:hAnsiTheme="majorBidi" w:cstheme="majorBidi"/>
          <w:sz w:val="22"/>
          <w:szCs w:val="22"/>
        </w:rPr>
        <w:t xml:space="preserve"> International Journal of Architectural Engineering and Urban Planning, 2013. 22(1): p. 60-64.</w:t>
      </w:r>
    </w:p>
    <w:p w:rsidR="004A642A" w:rsidRPr="004A642A" w:rsidRDefault="004A642A" w:rsidP="004A642A">
      <w:pPr>
        <w:widowControl w:val="0"/>
        <w:autoSpaceDE w:val="0"/>
        <w:autoSpaceDN w:val="0"/>
        <w:adjustRightInd w:val="0"/>
        <w:spacing w:line="240" w:lineRule="auto"/>
        <w:jc w:val="both"/>
        <w:rPr>
          <w:rFonts w:asciiTheme="majorBidi" w:hAnsiTheme="majorBidi" w:cstheme="majorBidi"/>
          <w:sz w:val="22"/>
          <w:szCs w:val="22"/>
        </w:rPr>
      </w:pPr>
      <w:r w:rsidRPr="004A642A">
        <w:rPr>
          <w:rFonts w:asciiTheme="majorBidi" w:hAnsiTheme="majorBidi" w:cstheme="majorBidi"/>
          <w:sz w:val="22"/>
          <w:szCs w:val="22"/>
        </w:rPr>
        <w:t xml:space="preserve">[22] Alalhesabi, M. and N. Korani, </w:t>
      </w:r>
      <w:r w:rsidRPr="004A642A">
        <w:rPr>
          <w:rFonts w:asciiTheme="majorBidi" w:hAnsiTheme="majorBidi" w:cstheme="majorBidi"/>
          <w:i/>
          <w:iCs/>
          <w:sz w:val="22"/>
          <w:szCs w:val="22"/>
        </w:rPr>
        <w:t>Factors affecting the transformation of housing from the past to the future.</w:t>
      </w:r>
      <w:r w:rsidRPr="004A642A">
        <w:rPr>
          <w:rFonts w:asciiTheme="majorBidi" w:hAnsiTheme="majorBidi" w:cstheme="majorBidi"/>
          <w:sz w:val="22"/>
          <w:szCs w:val="22"/>
        </w:rPr>
        <w:t xml:space="preserve"> Housing and Rural Environment, 2014. 32(141): p. 19-36.</w:t>
      </w:r>
    </w:p>
    <w:p w:rsidR="004A642A" w:rsidRPr="004A642A" w:rsidRDefault="004A642A" w:rsidP="004A642A">
      <w:pPr>
        <w:widowControl w:val="0"/>
        <w:autoSpaceDE w:val="0"/>
        <w:autoSpaceDN w:val="0"/>
        <w:adjustRightInd w:val="0"/>
        <w:spacing w:line="240" w:lineRule="auto"/>
        <w:jc w:val="both"/>
        <w:rPr>
          <w:rFonts w:asciiTheme="majorBidi" w:hAnsiTheme="majorBidi" w:cstheme="majorBidi"/>
          <w:sz w:val="22"/>
          <w:szCs w:val="22"/>
        </w:rPr>
      </w:pPr>
      <w:r w:rsidRPr="004A642A">
        <w:rPr>
          <w:rFonts w:asciiTheme="majorBidi" w:hAnsiTheme="majorBidi" w:cstheme="majorBidi"/>
          <w:sz w:val="22"/>
          <w:szCs w:val="22"/>
        </w:rPr>
        <w:t xml:space="preserve">[23] Baghaei, P., et al., </w:t>
      </w:r>
      <w:r w:rsidRPr="004A642A">
        <w:rPr>
          <w:rFonts w:asciiTheme="majorBidi" w:hAnsiTheme="majorBidi" w:cstheme="majorBidi"/>
          <w:i/>
          <w:iCs/>
          <w:sz w:val="22"/>
          <w:szCs w:val="22"/>
        </w:rPr>
        <w:t>The thermal comfort zone in the traditional residential texture of Yazd.</w:t>
      </w:r>
      <w:r w:rsidRPr="004A642A">
        <w:rPr>
          <w:rFonts w:asciiTheme="majorBidi" w:hAnsiTheme="majorBidi" w:cstheme="majorBidi"/>
          <w:sz w:val="22"/>
          <w:szCs w:val="22"/>
        </w:rPr>
        <w:t xml:space="preserve"> Hoviatshahr, 2016. 9(23): p. 59-72.</w:t>
      </w:r>
    </w:p>
    <w:p w:rsidR="004A642A" w:rsidRPr="004A642A" w:rsidRDefault="004A642A" w:rsidP="004A642A">
      <w:pPr>
        <w:widowControl w:val="0"/>
        <w:autoSpaceDE w:val="0"/>
        <w:autoSpaceDN w:val="0"/>
        <w:adjustRightInd w:val="0"/>
        <w:spacing w:line="240" w:lineRule="auto"/>
        <w:jc w:val="both"/>
        <w:rPr>
          <w:rFonts w:asciiTheme="majorBidi" w:hAnsiTheme="majorBidi" w:cstheme="majorBidi"/>
          <w:sz w:val="22"/>
          <w:szCs w:val="22"/>
        </w:rPr>
      </w:pPr>
      <w:r w:rsidRPr="004A642A">
        <w:rPr>
          <w:rFonts w:asciiTheme="majorBidi" w:hAnsiTheme="majorBidi" w:cstheme="majorBidi"/>
          <w:sz w:val="22"/>
          <w:szCs w:val="22"/>
        </w:rPr>
        <w:t xml:space="preserve">[24] Bagheri, H., S. Noroozian Maleki, and S.B. Hosseini, </w:t>
      </w:r>
      <w:r w:rsidRPr="004A642A">
        <w:rPr>
          <w:rFonts w:asciiTheme="majorBidi" w:hAnsiTheme="majorBidi" w:cstheme="majorBidi"/>
          <w:i/>
          <w:iCs/>
          <w:sz w:val="22"/>
          <w:szCs w:val="22"/>
        </w:rPr>
        <w:t>Identification of variables affecting socialization in the realm of housing.</w:t>
      </w:r>
      <w:r w:rsidRPr="004A642A">
        <w:rPr>
          <w:rFonts w:asciiTheme="majorBidi" w:hAnsiTheme="majorBidi" w:cstheme="majorBidi"/>
          <w:sz w:val="22"/>
          <w:szCs w:val="22"/>
        </w:rPr>
        <w:t xml:space="preserve"> Housing and Rural Environment, 2017. </w:t>
      </w:r>
    </w:p>
    <w:p w:rsidR="004A642A" w:rsidRPr="004A642A" w:rsidRDefault="004A642A" w:rsidP="004A642A">
      <w:pPr>
        <w:widowControl w:val="0"/>
        <w:autoSpaceDE w:val="0"/>
        <w:autoSpaceDN w:val="0"/>
        <w:adjustRightInd w:val="0"/>
        <w:spacing w:line="240" w:lineRule="auto"/>
        <w:jc w:val="both"/>
        <w:rPr>
          <w:rFonts w:asciiTheme="majorBidi" w:hAnsiTheme="majorBidi" w:cstheme="majorBidi"/>
          <w:sz w:val="22"/>
          <w:szCs w:val="22"/>
        </w:rPr>
      </w:pPr>
      <w:r w:rsidRPr="004A642A">
        <w:rPr>
          <w:rFonts w:asciiTheme="majorBidi" w:hAnsiTheme="majorBidi" w:cstheme="majorBidi"/>
          <w:sz w:val="22"/>
          <w:szCs w:val="22"/>
        </w:rPr>
        <w:t xml:space="preserve">[25] Balian Asl, L., et al., </w:t>
      </w:r>
      <w:r w:rsidRPr="004A642A">
        <w:rPr>
          <w:rFonts w:asciiTheme="majorBidi" w:hAnsiTheme="majorBidi" w:cstheme="majorBidi"/>
          <w:i/>
          <w:iCs/>
          <w:sz w:val="22"/>
          <w:szCs w:val="22"/>
        </w:rPr>
        <w:t>Comparison of Heat Loss and Air Infiltration through the Openings of Gajar and Pahlavi Era Houses in Tabriz.</w:t>
      </w:r>
      <w:r w:rsidRPr="004A642A">
        <w:rPr>
          <w:rFonts w:asciiTheme="majorBidi" w:hAnsiTheme="majorBidi" w:cstheme="majorBidi"/>
          <w:sz w:val="22"/>
          <w:szCs w:val="22"/>
        </w:rPr>
        <w:t xml:space="preserve"> International Journal of Architectural Engineering and Urban Planning, 2014. 24(2): p. 90-102.</w:t>
      </w:r>
    </w:p>
    <w:p w:rsidR="004A642A" w:rsidRPr="004A642A" w:rsidRDefault="004A642A" w:rsidP="004A642A">
      <w:pPr>
        <w:widowControl w:val="0"/>
        <w:autoSpaceDE w:val="0"/>
        <w:autoSpaceDN w:val="0"/>
        <w:adjustRightInd w:val="0"/>
        <w:spacing w:line="240" w:lineRule="auto"/>
        <w:jc w:val="both"/>
        <w:rPr>
          <w:rFonts w:asciiTheme="majorBidi" w:hAnsiTheme="majorBidi" w:cstheme="majorBidi"/>
          <w:sz w:val="22"/>
          <w:szCs w:val="22"/>
        </w:rPr>
      </w:pPr>
      <w:r w:rsidRPr="004A642A">
        <w:rPr>
          <w:rFonts w:asciiTheme="majorBidi" w:hAnsiTheme="majorBidi" w:cstheme="majorBidi"/>
          <w:sz w:val="22"/>
          <w:szCs w:val="22"/>
        </w:rPr>
        <w:t xml:space="preserve">[26] Behzadfar, M. and A. Shakibamanesh, </w:t>
      </w:r>
      <w:r w:rsidRPr="004A642A">
        <w:rPr>
          <w:rFonts w:asciiTheme="majorBidi" w:hAnsiTheme="majorBidi" w:cstheme="majorBidi"/>
          <w:i/>
          <w:iCs/>
          <w:sz w:val="22"/>
          <w:szCs w:val="22"/>
        </w:rPr>
        <w:t>An Investigation on the Philosophy of the Phenomenology of the Place; Review of David Simon's Thoughts on the Concept of a House as a Place.</w:t>
      </w:r>
      <w:r w:rsidRPr="004A642A">
        <w:rPr>
          <w:rFonts w:asciiTheme="majorBidi" w:hAnsiTheme="majorBidi" w:cstheme="majorBidi"/>
          <w:sz w:val="22"/>
          <w:szCs w:val="22"/>
        </w:rPr>
        <w:t xml:space="preserve"> Hoviatshahr, 2015. 8(17): p. 1-14.</w:t>
      </w:r>
    </w:p>
    <w:p w:rsidR="004A642A" w:rsidRPr="004A642A" w:rsidRDefault="004A642A" w:rsidP="004A642A">
      <w:pPr>
        <w:widowControl w:val="0"/>
        <w:autoSpaceDE w:val="0"/>
        <w:autoSpaceDN w:val="0"/>
        <w:adjustRightInd w:val="0"/>
        <w:spacing w:line="240" w:lineRule="auto"/>
        <w:jc w:val="both"/>
        <w:rPr>
          <w:rFonts w:asciiTheme="majorBidi" w:hAnsiTheme="majorBidi" w:cstheme="majorBidi"/>
          <w:sz w:val="22"/>
          <w:szCs w:val="22"/>
        </w:rPr>
      </w:pPr>
      <w:r w:rsidRPr="004A642A">
        <w:rPr>
          <w:rFonts w:asciiTheme="majorBidi" w:hAnsiTheme="majorBidi" w:cstheme="majorBidi"/>
          <w:sz w:val="22"/>
          <w:szCs w:val="22"/>
        </w:rPr>
        <w:t xml:space="preserve">[27] Bemanian, M.R., S. Arjmandi, and F. Ali Mohammadi, </w:t>
      </w:r>
      <w:r w:rsidRPr="004A642A">
        <w:rPr>
          <w:rFonts w:asciiTheme="majorBidi" w:hAnsiTheme="majorBidi" w:cstheme="majorBidi"/>
          <w:i/>
          <w:iCs/>
          <w:sz w:val="22"/>
          <w:szCs w:val="22"/>
        </w:rPr>
        <w:t>The Effect of Jurisprudential Principles Related to Civil Rights Based on Justice in Housing Design.</w:t>
      </w:r>
      <w:r w:rsidRPr="004A642A">
        <w:rPr>
          <w:rFonts w:asciiTheme="majorBidi" w:hAnsiTheme="majorBidi" w:cstheme="majorBidi"/>
          <w:sz w:val="22"/>
          <w:szCs w:val="22"/>
        </w:rPr>
        <w:t xml:space="preserve"> Studies on Iranian-Islamic City, 2014. 3(12): p. 89-100.</w:t>
      </w:r>
    </w:p>
    <w:p w:rsidR="004A642A" w:rsidRPr="004A642A" w:rsidRDefault="004A642A" w:rsidP="004A642A">
      <w:pPr>
        <w:widowControl w:val="0"/>
        <w:autoSpaceDE w:val="0"/>
        <w:autoSpaceDN w:val="0"/>
        <w:adjustRightInd w:val="0"/>
        <w:spacing w:line="240" w:lineRule="auto"/>
        <w:jc w:val="both"/>
        <w:rPr>
          <w:rFonts w:asciiTheme="majorBidi" w:hAnsiTheme="majorBidi" w:cstheme="majorBidi"/>
          <w:sz w:val="22"/>
          <w:szCs w:val="22"/>
        </w:rPr>
      </w:pPr>
      <w:r w:rsidRPr="004A642A">
        <w:rPr>
          <w:rFonts w:asciiTheme="majorBidi" w:hAnsiTheme="majorBidi" w:cstheme="majorBidi"/>
          <w:sz w:val="22"/>
          <w:szCs w:val="22"/>
        </w:rPr>
        <w:t xml:space="preserve">[28] Eghbali, S.R. and P. Hesari, </w:t>
      </w:r>
      <w:r w:rsidRPr="004A642A">
        <w:rPr>
          <w:rFonts w:asciiTheme="majorBidi" w:hAnsiTheme="majorBidi" w:cstheme="majorBidi"/>
          <w:i/>
          <w:iCs/>
          <w:sz w:val="22"/>
          <w:szCs w:val="22"/>
        </w:rPr>
        <w:t>Modular approach and prefabricating in flexible housing.</w:t>
      </w:r>
      <w:r w:rsidRPr="004A642A">
        <w:rPr>
          <w:rFonts w:asciiTheme="majorBidi" w:hAnsiTheme="majorBidi" w:cstheme="majorBidi"/>
          <w:sz w:val="22"/>
          <w:szCs w:val="22"/>
        </w:rPr>
        <w:t xml:space="preserve"> Housing and Rural Environment, 2014. 32(143): p. 53-68.</w:t>
      </w:r>
    </w:p>
    <w:p w:rsidR="004A642A" w:rsidRPr="004A642A" w:rsidRDefault="004A642A" w:rsidP="004A642A">
      <w:pPr>
        <w:widowControl w:val="0"/>
        <w:autoSpaceDE w:val="0"/>
        <w:autoSpaceDN w:val="0"/>
        <w:adjustRightInd w:val="0"/>
        <w:spacing w:line="240" w:lineRule="auto"/>
        <w:jc w:val="both"/>
        <w:rPr>
          <w:rFonts w:asciiTheme="majorBidi" w:hAnsiTheme="majorBidi" w:cstheme="majorBidi"/>
          <w:sz w:val="22"/>
          <w:szCs w:val="22"/>
        </w:rPr>
      </w:pPr>
      <w:r w:rsidRPr="004A642A">
        <w:rPr>
          <w:rFonts w:asciiTheme="majorBidi" w:hAnsiTheme="majorBidi" w:cstheme="majorBidi"/>
          <w:sz w:val="22"/>
          <w:szCs w:val="22"/>
        </w:rPr>
        <w:t xml:space="preserve">[29] Emadian Razavi, S.Z. and M. Tahbaz, </w:t>
      </w:r>
      <w:r w:rsidRPr="004A642A">
        <w:rPr>
          <w:rFonts w:asciiTheme="majorBidi" w:hAnsiTheme="majorBidi" w:cstheme="majorBidi"/>
          <w:i/>
          <w:iCs/>
          <w:sz w:val="22"/>
          <w:szCs w:val="22"/>
        </w:rPr>
        <w:t>Climatic Exterior Walls in Residential Buildings of Yazd.</w:t>
      </w:r>
      <w:r w:rsidRPr="004A642A">
        <w:rPr>
          <w:rFonts w:asciiTheme="majorBidi" w:hAnsiTheme="majorBidi" w:cstheme="majorBidi"/>
          <w:sz w:val="22"/>
          <w:szCs w:val="22"/>
        </w:rPr>
        <w:t xml:space="preserve"> International Journal of Architectural Engineering and Urban Planning, 2015. 25(1): p. 1-5.</w:t>
      </w:r>
    </w:p>
    <w:p w:rsidR="004A642A" w:rsidRPr="004A642A" w:rsidRDefault="004A642A" w:rsidP="004A642A">
      <w:pPr>
        <w:widowControl w:val="0"/>
        <w:autoSpaceDE w:val="0"/>
        <w:autoSpaceDN w:val="0"/>
        <w:adjustRightInd w:val="0"/>
        <w:spacing w:line="240" w:lineRule="auto"/>
        <w:jc w:val="both"/>
        <w:rPr>
          <w:rFonts w:asciiTheme="majorBidi" w:hAnsiTheme="majorBidi" w:cstheme="majorBidi"/>
          <w:sz w:val="22"/>
          <w:szCs w:val="22"/>
        </w:rPr>
      </w:pPr>
      <w:r w:rsidRPr="004A642A">
        <w:rPr>
          <w:rFonts w:asciiTheme="majorBidi" w:hAnsiTheme="majorBidi" w:cstheme="majorBidi"/>
          <w:sz w:val="22"/>
          <w:szCs w:val="22"/>
        </w:rPr>
        <w:t xml:space="preserve">[30] Esabegloo, A., M. Haghshenas, and A. Borzoui, </w:t>
      </w:r>
      <w:r w:rsidRPr="004A642A">
        <w:rPr>
          <w:rFonts w:asciiTheme="majorBidi" w:hAnsiTheme="majorBidi" w:cstheme="majorBidi"/>
          <w:i/>
          <w:iCs/>
          <w:sz w:val="22"/>
          <w:szCs w:val="22"/>
        </w:rPr>
        <w:t>Comparing the Results of Thermal Simulation of Rasoulian House in Yazd by Design Builder Software.</w:t>
      </w:r>
      <w:r w:rsidRPr="004A642A">
        <w:rPr>
          <w:rFonts w:asciiTheme="majorBidi" w:hAnsiTheme="majorBidi" w:cstheme="majorBidi"/>
          <w:sz w:val="22"/>
          <w:szCs w:val="22"/>
        </w:rPr>
        <w:t xml:space="preserve"> International Journal of Architectural Engineering and Urban Planning, 2016. 26(2): p. 121-130.</w:t>
      </w:r>
    </w:p>
    <w:p w:rsidR="004A642A" w:rsidRPr="004A642A" w:rsidRDefault="004A642A" w:rsidP="004A642A">
      <w:pPr>
        <w:widowControl w:val="0"/>
        <w:autoSpaceDE w:val="0"/>
        <w:autoSpaceDN w:val="0"/>
        <w:adjustRightInd w:val="0"/>
        <w:spacing w:line="240" w:lineRule="auto"/>
        <w:jc w:val="both"/>
        <w:rPr>
          <w:rFonts w:asciiTheme="majorBidi" w:hAnsiTheme="majorBidi" w:cstheme="majorBidi"/>
          <w:sz w:val="22"/>
          <w:szCs w:val="22"/>
        </w:rPr>
      </w:pPr>
      <w:r w:rsidRPr="004A642A">
        <w:rPr>
          <w:rFonts w:asciiTheme="majorBidi" w:hAnsiTheme="majorBidi" w:cstheme="majorBidi"/>
          <w:sz w:val="22"/>
          <w:szCs w:val="22"/>
        </w:rPr>
        <w:t xml:space="preserve">[31] Falahat, M.S. and S. Shahidi, </w:t>
      </w:r>
      <w:r w:rsidRPr="004A642A">
        <w:rPr>
          <w:rFonts w:asciiTheme="majorBidi" w:hAnsiTheme="majorBidi" w:cstheme="majorBidi"/>
          <w:i/>
          <w:iCs/>
          <w:sz w:val="22"/>
          <w:szCs w:val="22"/>
        </w:rPr>
        <w:t>The role of mass-space concept in explaining the place in architecture.</w:t>
      </w:r>
      <w:r w:rsidRPr="004A642A">
        <w:rPr>
          <w:rFonts w:asciiTheme="majorBidi" w:hAnsiTheme="majorBidi" w:cstheme="majorBidi"/>
          <w:sz w:val="22"/>
          <w:szCs w:val="22"/>
        </w:rPr>
        <w:t xml:space="preserve"> Bagh e Nazar, 2016. 12(35): p. 27-38.</w:t>
      </w:r>
    </w:p>
    <w:p w:rsidR="004A642A" w:rsidRPr="004A642A" w:rsidRDefault="004A642A" w:rsidP="004A642A">
      <w:pPr>
        <w:widowControl w:val="0"/>
        <w:autoSpaceDE w:val="0"/>
        <w:autoSpaceDN w:val="0"/>
        <w:adjustRightInd w:val="0"/>
        <w:spacing w:line="240" w:lineRule="auto"/>
        <w:jc w:val="both"/>
        <w:rPr>
          <w:rFonts w:asciiTheme="majorBidi" w:hAnsiTheme="majorBidi" w:cstheme="majorBidi"/>
          <w:sz w:val="22"/>
          <w:szCs w:val="22"/>
        </w:rPr>
      </w:pPr>
      <w:r w:rsidRPr="004A642A">
        <w:rPr>
          <w:rFonts w:asciiTheme="majorBidi" w:hAnsiTheme="majorBidi" w:cstheme="majorBidi"/>
          <w:sz w:val="22"/>
          <w:szCs w:val="22"/>
        </w:rPr>
        <w:t xml:space="preserve">[32] Fayyaz, R., </w:t>
      </w:r>
      <w:r w:rsidRPr="004A642A">
        <w:rPr>
          <w:rFonts w:asciiTheme="majorBidi" w:hAnsiTheme="majorBidi" w:cstheme="majorBidi"/>
          <w:i/>
          <w:iCs/>
          <w:sz w:val="22"/>
          <w:szCs w:val="22"/>
        </w:rPr>
        <w:t>The optimal level of residential buildings in Ardebil and Tehran.</w:t>
      </w:r>
      <w:r w:rsidRPr="004A642A">
        <w:rPr>
          <w:rFonts w:asciiTheme="majorBidi" w:hAnsiTheme="majorBidi" w:cstheme="majorBidi"/>
          <w:sz w:val="22"/>
          <w:szCs w:val="22"/>
        </w:rPr>
        <w:t xml:space="preserve"> Journal of Architecture and Urban Planning, 2014. 5(10): p. 105-119.</w:t>
      </w:r>
    </w:p>
    <w:p w:rsidR="004A642A" w:rsidRPr="004A642A" w:rsidRDefault="004A642A" w:rsidP="004A642A">
      <w:pPr>
        <w:widowControl w:val="0"/>
        <w:autoSpaceDE w:val="0"/>
        <w:autoSpaceDN w:val="0"/>
        <w:adjustRightInd w:val="0"/>
        <w:spacing w:line="240" w:lineRule="auto"/>
        <w:jc w:val="both"/>
        <w:rPr>
          <w:rFonts w:asciiTheme="majorBidi" w:hAnsiTheme="majorBidi" w:cstheme="majorBidi"/>
          <w:sz w:val="22"/>
          <w:szCs w:val="22"/>
        </w:rPr>
      </w:pPr>
      <w:r w:rsidRPr="004A642A">
        <w:rPr>
          <w:rFonts w:asciiTheme="majorBidi" w:hAnsiTheme="majorBidi" w:cstheme="majorBidi"/>
          <w:sz w:val="22"/>
          <w:szCs w:val="22"/>
        </w:rPr>
        <w:t xml:space="preserve">[33] Ghanbaran, A. and M. Jafari, </w:t>
      </w:r>
      <w:r w:rsidRPr="004A642A">
        <w:rPr>
          <w:rFonts w:asciiTheme="majorBidi" w:hAnsiTheme="majorBidi" w:cstheme="majorBidi"/>
          <w:i/>
          <w:iCs/>
          <w:sz w:val="22"/>
          <w:szCs w:val="22"/>
        </w:rPr>
        <w:t>Investigating the Factors Affecting the Promotion of Social Interactions among Residents of Neighborhoods.</w:t>
      </w:r>
      <w:r w:rsidRPr="004A642A">
        <w:rPr>
          <w:rFonts w:asciiTheme="majorBidi" w:hAnsiTheme="majorBidi" w:cstheme="majorBidi"/>
          <w:sz w:val="22"/>
          <w:szCs w:val="22"/>
        </w:rPr>
        <w:t xml:space="preserve"> Iranian Architecture and Urbanism, 2015. 5(7): p. 57-64.</w:t>
      </w:r>
    </w:p>
    <w:p w:rsidR="004A642A" w:rsidRPr="004A642A" w:rsidRDefault="004A642A" w:rsidP="004A642A">
      <w:pPr>
        <w:widowControl w:val="0"/>
        <w:autoSpaceDE w:val="0"/>
        <w:autoSpaceDN w:val="0"/>
        <w:adjustRightInd w:val="0"/>
        <w:spacing w:line="240" w:lineRule="auto"/>
        <w:jc w:val="both"/>
        <w:rPr>
          <w:rFonts w:asciiTheme="majorBidi" w:hAnsiTheme="majorBidi" w:cstheme="majorBidi"/>
          <w:sz w:val="22"/>
          <w:szCs w:val="22"/>
        </w:rPr>
      </w:pPr>
      <w:r w:rsidRPr="004A642A">
        <w:rPr>
          <w:rFonts w:asciiTheme="majorBidi" w:hAnsiTheme="majorBidi" w:cstheme="majorBidi"/>
          <w:sz w:val="22"/>
          <w:szCs w:val="22"/>
        </w:rPr>
        <w:t xml:space="preserve">[34] Gharebegloo, M., A. Eini Far, and A.A. Izadi, </w:t>
      </w:r>
      <w:r w:rsidRPr="004A642A">
        <w:rPr>
          <w:rFonts w:asciiTheme="majorBidi" w:hAnsiTheme="majorBidi" w:cstheme="majorBidi"/>
          <w:i/>
          <w:iCs/>
          <w:sz w:val="22"/>
          <w:szCs w:val="22"/>
        </w:rPr>
        <w:t>Promoting child interaction with outdoor space in residential complexes; Case study three types of residential open spaces in Tabriz.</w:t>
      </w:r>
      <w:r w:rsidRPr="004A642A">
        <w:rPr>
          <w:rFonts w:asciiTheme="majorBidi" w:hAnsiTheme="majorBidi" w:cstheme="majorBidi"/>
          <w:sz w:val="22"/>
          <w:szCs w:val="22"/>
        </w:rPr>
        <w:t xml:space="preserve"> architecture and Urbanism, 2014. 18(2): p. 69-82.</w:t>
      </w:r>
    </w:p>
    <w:p w:rsidR="004A642A" w:rsidRPr="004A642A" w:rsidRDefault="004A642A" w:rsidP="004A642A">
      <w:pPr>
        <w:widowControl w:val="0"/>
        <w:autoSpaceDE w:val="0"/>
        <w:autoSpaceDN w:val="0"/>
        <w:adjustRightInd w:val="0"/>
        <w:spacing w:line="240" w:lineRule="auto"/>
        <w:jc w:val="both"/>
        <w:rPr>
          <w:rFonts w:asciiTheme="majorBidi" w:hAnsiTheme="majorBidi" w:cstheme="majorBidi"/>
          <w:sz w:val="22"/>
          <w:szCs w:val="22"/>
        </w:rPr>
      </w:pPr>
      <w:r w:rsidRPr="004A642A">
        <w:rPr>
          <w:rFonts w:asciiTheme="majorBidi" w:hAnsiTheme="majorBidi" w:cstheme="majorBidi"/>
          <w:sz w:val="22"/>
          <w:szCs w:val="22"/>
        </w:rPr>
        <w:t xml:space="preserve">[35] Hamzeh Nejad, M. and M. Dashti, </w:t>
      </w:r>
      <w:r w:rsidRPr="004A642A">
        <w:rPr>
          <w:rFonts w:asciiTheme="majorBidi" w:hAnsiTheme="majorBidi" w:cstheme="majorBidi"/>
          <w:i/>
          <w:iCs/>
          <w:sz w:val="22"/>
          <w:szCs w:val="22"/>
        </w:rPr>
        <w:t xml:space="preserve">An examination of traditional Iranian houses from the </w:t>
      </w:r>
      <w:r w:rsidRPr="004A642A">
        <w:rPr>
          <w:rFonts w:asciiTheme="majorBidi" w:hAnsiTheme="majorBidi" w:cstheme="majorBidi"/>
          <w:i/>
          <w:iCs/>
          <w:sz w:val="22"/>
          <w:szCs w:val="22"/>
        </w:rPr>
        <w:lastRenderedPageBreak/>
        <w:t>perspective of phenomenologists and spiritual traditionalists.</w:t>
      </w:r>
      <w:r w:rsidRPr="004A642A">
        <w:rPr>
          <w:rFonts w:asciiTheme="majorBidi" w:hAnsiTheme="majorBidi" w:cstheme="majorBidi"/>
          <w:sz w:val="22"/>
          <w:szCs w:val="22"/>
        </w:rPr>
        <w:t xml:space="preserve"> Naghsh-e Jahan, 2017. 6(2): p. 24-35.</w:t>
      </w:r>
    </w:p>
    <w:p w:rsidR="004A642A" w:rsidRPr="004A642A" w:rsidRDefault="004A642A" w:rsidP="004A642A">
      <w:pPr>
        <w:widowControl w:val="0"/>
        <w:autoSpaceDE w:val="0"/>
        <w:autoSpaceDN w:val="0"/>
        <w:adjustRightInd w:val="0"/>
        <w:spacing w:line="240" w:lineRule="auto"/>
        <w:jc w:val="both"/>
        <w:rPr>
          <w:rFonts w:asciiTheme="majorBidi" w:hAnsiTheme="majorBidi" w:cstheme="majorBidi"/>
          <w:sz w:val="22"/>
          <w:szCs w:val="22"/>
        </w:rPr>
      </w:pPr>
      <w:r w:rsidRPr="004A642A">
        <w:rPr>
          <w:rFonts w:asciiTheme="majorBidi" w:hAnsiTheme="majorBidi" w:cstheme="majorBidi"/>
          <w:sz w:val="22"/>
          <w:szCs w:val="22"/>
        </w:rPr>
        <w:t xml:space="preserve">[36] Hamzeh Nejad, M. and Z. Sadrian, </w:t>
      </w:r>
      <w:r w:rsidRPr="004A642A">
        <w:rPr>
          <w:rFonts w:asciiTheme="majorBidi" w:hAnsiTheme="majorBidi" w:cstheme="majorBidi"/>
          <w:i/>
          <w:iCs/>
          <w:sz w:val="22"/>
          <w:szCs w:val="22"/>
        </w:rPr>
        <w:t>Principles of Housing Design from Islamic Perspective and Contemporary Functional Patterns.</w:t>
      </w:r>
      <w:r w:rsidRPr="004A642A">
        <w:rPr>
          <w:rFonts w:asciiTheme="majorBidi" w:hAnsiTheme="majorBidi" w:cstheme="majorBidi"/>
          <w:sz w:val="22"/>
          <w:szCs w:val="22"/>
        </w:rPr>
        <w:t xml:space="preserve"> Islamic Architectural Researches, 2015. 1(4): p. 60-78.</w:t>
      </w:r>
    </w:p>
    <w:p w:rsidR="004A642A" w:rsidRPr="004A642A" w:rsidRDefault="004A642A" w:rsidP="004A642A">
      <w:pPr>
        <w:widowControl w:val="0"/>
        <w:autoSpaceDE w:val="0"/>
        <w:autoSpaceDN w:val="0"/>
        <w:adjustRightInd w:val="0"/>
        <w:spacing w:line="240" w:lineRule="auto"/>
        <w:jc w:val="both"/>
        <w:rPr>
          <w:rFonts w:asciiTheme="majorBidi" w:hAnsiTheme="majorBidi" w:cstheme="majorBidi"/>
          <w:sz w:val="22"/>
          <w:szCs w:val="22"/>
        </w:rPr>
      </w:pPr>
      <w:r w:rsidRPr="004A642A">
        <w:rPr>
          <w:rFonts w:asciiTheme="majorBidi" w:hAnsiTheme="majorBidi" w:cstheme="majorBidi"/>
          <w:sz w:val="22"/>
          <w:szCs w:val="22"/>
        </w:rPr>
        <w:t xml:space="preserve">[37] Heidari, A.A., Y. Peyvastegar, and M. Kiaei, </w:t>
      </w:r>
      <w:r w:rsidRPr="004A642A">
        <w:rPr>
          <w:rFonts w:asciiTheme="majorBidi" w:hAnsiTheme="majorBidi" w:cstheme="majorBidi"/>
          <w:i/>
          <w:iCs/>
          <w:sz w:val="22"/>
          <w:szCs w:val="22"/>
        </w:rPr>
        <w:t>Analysis of granularity of residential blocks from the perspective of criminology using space syntax.</w:t>
      </w:r>
      <w:r w:rsidRPr="004A642A">
        <w:rPr>
          <w:rFonts w:asciiTheme="majorBidi" w:hAnsiTheme="majorBidi" w:cstheme="majorBidi"/>
          <w:sz w:val="22"/>
          <w:szCs w:val="22"/>
        </w:rPr>
        <w:t xml:space="preserve"> architecture and Urbanism, 2017. 21(3): p. 91-101.</w:t>
      </w:r>
    </w:p>
    <w:p w:rsidR="004A642A" w:rsidRPr="004A642A" w:rsidRDefault="004A642A" w:rsidP="004A642A">
      <w:pPr>
        <w:widowControl w:val="0"/>
        <w:autoSpaceDE w:val="0"/>
        <w:autoSpaceDN w:val="0"/>
        <w:adjustRightInd w:val="0"/>
        <w:spacing w:line="240" w:lineRule="auto"/>
        <w:jc w:val="both"/>
        <w:rPr>
          <w:rFonts w:asciiTheme="majorBidi" w:hAnsiTheme="majorBidi" w:cstheme="majorBidi"/>
          <w:sz w:val="22"/>
          <w:szCs w:val="22"/>
        </w:rPr>
      </w:pPr>
      <w:r w:rsidRPr="004A642A">
        <w:rPr>
          <w:rFonts w:asciiTheme="majorBidi" w:hAnsiTheme="majorBidi" w:cstheme="majorBidi"/>
          <w:sz w:val="22"/>
          <w:szCs w:val="22"/>
        </w:rPr>
        <w:t xml:space="preserve">[38] Hosseini, A. and S. Sharif Zade, </w:t>
      </w:r>
      <w:r w:rsidRPr="004A642A">
        <w:rPr>
          <w:rFonts w:asciiTheme="majorBidi" w:hAnsiTheme="majorBidi" w:cstheme="majorBidi"/>
          <w:i/>
          <w:iCs/>
          <w:sz w:val="22"/>
          <w:szCs w:val="22"/>
        </w:rPr>
        <w:t>Analysis of the damage and flexibility constraints in contemporary Iranian housing.</w:t>
      </w:r>
      <w:r w:rsidRPr="004A642A">
        <w:rPr>
          <w:rFonts w:asciiTheme="majorBidi" w:hAnsiTheme="majorBidi" w:cstheme="majorBidi"/>
          <w:sz w:val="22"/>
          <w:szCs w:val="22"/>
        </w:rPr>
        <w:t xml:space="preserve"> Housing and Rural Environment, 2015. 34(150): p. 19-32.</w:t>
      </w:r>
    </w:p>
    <w:p w:rsidR="004A642A" w:rsidRPr="004A642A" w:rsidRDefault="004A642A" w:rsidP="004A642A">
      <w:pPr>
        <w:widowControl w:val="0"/>
        <w:autoSpaceDE w:val="0"/>
        <w:autoSpaceDN w:val="0"/>
        <w:adjustRightInd w:val="0"/>
        <w:spacing w:line="240" w:lineRule="auto"/>
        <w:jc w:val="both"/>
        <w:rPr>
          <w:rFonts w:asciiTheme="majorBidi" w:hAnsiTheme="majorBidi" w:cstheme="majorBidi"/>
          <w:sz w:val="22"/>
          <w:szCs w:val="22"/>
        </w:rPr>
      </w:pPr>
      <w:r w:rsidRPr="004A642A">
        <w:rPr>
          <w:rFonts w:asciiTheme="majorBidi" w:hAnsiTheme="majorBidi" w:cstheme="majorBidi"/>
          <w:sz w:val="22"/>
          <w:szCs w:val="22"/>
        </w:rPr>
        <w:t xml:space="preserve">[39] Iranmanesh, E., et al., </w:t>
      </w:r>
      <w:r w:rsidRPr="004A642A">
        <w:rPr>
          <w:rFonts w:asciiTheme="majorBidi" w:hAnsiTheme="majorBidi" w:cstheme="majorBidi"/>
          <w:i/>
          <w:iCs/>
          <w:sz w:val="22"/>
          <w:szCs w:val="22"/>
        </w:rPr>
        <w:t>Providing indigenous housing design indicators with emphasis on urban climate design components (Case study Kerman).</w:t>
      </w:r>
      <w:r w:rsidRPr="004A642A">
        <w:rPr>
          <w:rFonts w:asciiTheme="majorBidi" w:hAnsiTheme="majorBidi" w:cstheme="majorBidi"/>
          <w:sz w:val="22"/>
          <w:szCs w:val="22"/>
        </w:rPr>
        <w:t xml:space="preserve"> Urban Management, 2016. 14(38): p. 347-370.</w:t>
      </w:r>
    </w:p>
    <w:p w:rsidR="004A642A" w:rsidRPr="004A642A" w:rsidRDefault="004A642A" w:rsidP="004A642A">
      <w:pPr>
        <w:widowControl w:val="0"/>
        <w:autoSpaceDE w:val="0"/>
        <w:autoSpaceDN w:val="0"/>
        <w:adjustRightInd w:val="0"/>
        <w:spacing w:line="240" w:lineRule="auto"/>
        <w:jc w:val="both"/>
        <w:rPr>
          <w:rFonts w:asciiTheme="majorBidi" w:hAnsiTheme="majorBidi" w:cstheme="majorBidi"/>
          <w:sz w:val="22"/>
          <w:szCs w:val="22"/>
        </w:rPr>
      </w:pPr>
      <w:r w:rsidRPr="004A642A">
        <w:rPr>
          <w:rFonts w:asciiTheme="majorBidi" w:hAnsiTheme="majorBidi" w:cstheme="majorBidi"/>
          <w:sz w:val="22"/>
          <w:szCs w:val="22"/>
        </w:rPr>
        <w:t xml:space="preserve">[40] Kamel Nia, H., </w:t>
      </w:r>
      <w:r w:rsidRPr="004A642A">
        <w:rPr>
          <w:rFonts w:asciiTheme="majorBidi" w:hAnsiTheme="majorBidi" w:cstheme="majorBidi"/>
          <w:i/>
          <w:iCs/>
          <w:sz w:val="22"/>
          <w:szCs w:val="22"/>
        </w:rPr>
        <w:t>A New Framework for Interaction of Collective Architecture in the Design of Contemporary Residential Complexes.</w:t>
      </w:r>
      <w:r w:rsidRPr="004A642A">
        <w:rPr>
          <w:rFonts w:asciiTheme="majorBidi" w:hAnsiTheme="majorBidi" w:cstheme="majorBidi"/>
          <w:sz w:val="22"/>
          <w:szCs w:val="22"/>
        </w:rPr>
        <w:t xml:space="preserve"> Naghsh-e Jahan, 2014. 3(2): p. 63-73.</w:t>
      </w:r>
    </w:p>
    <w:p w:rsidR="004A642A" w:rsidRPr="004A642A" w:rsidRDefault="004A642A" w:rsidP="004A642A">
      <w:pPr>
        <w:widowControl w:val="0"/>
        <w:autoSpaceDE w:val="0"/>
        <w:autoSpaceDN w:val="0"/>
        <w:adjustRightInd w:val="0"/>
        <w:spacing w:line="240" w:lineRule="auto"/>
        <w:jc w:val="both"/>
        <w:rPr>
          <w:rFonts w:asciiTheme="majorBidi" w:hAnsiTheme="majorBidi" w:cstheme="majorBidi"/>
          <w:sz w:val="22"/>
          <w:szCs w:val="22"/>
        </w:rPr>
      </w:pPr>
      <w:r w:rsidRPr="004A642A">
        <w:rPr>
          <w:rFonts w:asciiTheme="majorBidi" w:hAnsiTheme="majorBidi" w:cstheme="majorBidi"/>
          <w:sz w:val="22"/>
          <w:szCs w:val="22"/>
        </w:rPr>
        <w:t xml:space="preserve">[41] memarian, G.H., S. Azimi, and M. Kaboodi, </w:t>
      </w:r>
      <w:r w:rsidRPr="004A642A">
        <w:rPr>
          <w:rFonts w:asciiTheme="majorBidi" w:hAnsiTheme="majorBidi" w:cstheme="majorBidi"/>
          <w:i/>
          <w:iCs/>
          <w:sz w:val="22"/>
          <w:szCs w:val="22"/>
        </w:rPr>
        <w:t>Rooting blue color in traditional houses windows; Case study houses of Ooraman.</w:t>
      </w:r>
      <w:r w:rsidRPr="004A642A">
        <w:rPr>
          <w:rFonts w:asciiTheme="majorBidi" w:hAnsiTheme="majorBidi" w:cstheme="majorBidi"/>
          <w:sz w:val="22"/>
          <w:szCs w:val="22"/>
        </w:rPr>
        <w:t xml:space="preserve"> Islamic Architectural Researches, 2015. 1(3): p. 46-59.</w:t>
      </w:r>
    </w:p>
    <w:p w:rsidR="004A642A" w:rsidRPr="004A642A" w:rsidRDefault="004A642A" w:rsidP="004A642A">
      <w:pPr>
        <w:widowControl w:val="0"/>
        <w:autoSpaceDE w:val="0"/>
        <w:autoSpaceDN w:val="0"/>
        <w:adjustRightInd w:val="0"/>
        <w:spacing w:line="240" w:lineRule="auto"/>
        <w:jc w:val="both"/>
        <w:rPr>
          <w:rFonts w:asciiTheme="majorBidi" w:hAnsiTheme="majorBidi" w:cstheme="majorBidi"/>
          <w:sz w:val="22"/>
          <w:szCs w:val="22"/>
        </w:rPr>
      </w:pPr>
      <w:r w:rsidRPr="004A642A">
        <w:rPr>
          <w:rFonts w:asciiTheme="majorBidi" w:hAnsiTheme="majorBidi" w:cstheme="majorBidi"/>
          <w:sz w:val="22"/>
          <w:szCs w:val="22"/>
        </w:rPr>
        <w:t xml:space="preserve">[42] Momeni, k. and N. Naseri, </w:t>
      </w:r>
      <w:r w:rsidRPr="004A642A">
        <w:rPr>
          <w:rFonts w:asciiTheme="majorBidi" w:hAnsiTheme="majorBidi" w:cstheme="majorBidi"/>
          <w:i/>
          <w:iCs/>
          <w:sz w:val="22"/>
          <w:szCs w:val="22"/>
        </w:rPr>
        <w:t>Investigating tools and methods of creating privacy at Zainat al-Molk's house in Shiraz according to verses of Quran and religious narrations.</w:t>
      </w:r>
      <w:r w:rsidRPr="004A642A">
        <w:rPr>
          <w:rFonts w:asciiTheme="majorBidi" w:hAnsiTheme="majorBidi" w:cstheme="majorBidi"/>
          <w:sz w:val="22"/>
          <w:szCs w:val="22"/>
        </w:rPr>
        <w:t xml:space="preserve"> islamic Architectural Researches, 2016. 3(4): p. 18-33.</w:t>
      </w:r>
    </w:p>
    <w:p w:rsidR="004A642A" w:rsidRPr="004A642A" w:rsidRDefault="004A642A" w:rsidP="004A642A">
      <w:pPr>
        <w:widowControl w:val="0"/>
        <w:autoSpaceDE w:val="0"/>
        <w:autoSpaceDN w:val="0"/>
        <w:adjustRightInd w:val="0"/>
        <w:spacing w:line="240" w:lineRule="auto"/>
        <w:jc w:val="both"/>
        <w:rPr>
          <w:rFonts w:asciiTheme="majorBidi" w:hAnsiTheme="majorBidi" w:cstheme="majorBidi"/>
          <w:sz w:val="22"/>
          <w:szCs w:val="22"/>
        </w:rPr>
      </w:pPr>
      <w:r w:rsidRPr="004A642A">
        <w:rPr>
          <w:rFonts w:asciiTheme="majorBidi" w:hAnsiTheme="majorBidi" w:cstheme="majorBidi"/>
          <w:sz w:val="22"/>
          <w:szCs w:val="22"/>
        </w:rPr>
        <w:t xml:space="preserve">[43] Motallebi, G., F. Khodadai Agh Ghale, and A. Akbari, </w:t>
      </w:r>
      <w:r w:rsidRPr="004A642A">
        <w:rPr>
          <w:rFonts w:asciiTheme="majorBidi" w:hAnsiTheme="majorBidi" w:cstheme="majorBidi"/>
          <w:i/>
          <w:iCs/>
          <w:sz w:val="22"/>
          <w:szCs w:val="22"/>
        </w:rPr>
        <w:t>The Impact of Security on Residential Satisfaction of Nazi Abad Millennium Residential Complex Based on C.P.T.E.D Model.</w:t>
      </w:r>
      <w:r w:rsidRPr="004A642A">
        <w:rPr>
          <w:rFonts w:asciiTheme="majorBidi" w:hAnsiTheme="majorBidi" w:cstheme="majorBidi"/>
          <w:sz w:val="22"/>
          <w:szCs w:val="22"/>
        </w:rPr>
        <w:t xml:space="preserve"> Architecture and Urbanism, 2017. 21(1): p. 67-78.</w:t>
      </w:r>
    </w:p>
    <w:p w:rsidR="004A642A" w:rsidRPr="004A642A" w:rsidRDefault="004A642A" w:rsidP="004A642A">
      <w:pPr>
        <w:widowControl w:val="0"/>
        <w:autoSpaceDE w:val="0"/>
        <w:autoSpaceDN w:val="0"/>
        <w:adjustRightInd w:val="0"/>
        <w:spacing w:line="240" w:lineRule="auto"/>
        <w:jc w:val="both"/>
        <w:rPr>
          <w:rFonts w:asciiTheme="majorBidi" w:hAnsiTheme="majorBidi" w:cstheme="majorBidi"/>
          <w:sz w:val="22"/>
          <w:szCs w:val="22"/>
        </w:rPr>
      </w:pPr>
      <w:r w:rsidRPr="004A642A">
        <w:rPr>
          <w:rFonts w:asciiTheme="majorBidi" w:hAnsiTheme="majorBidi" w:cstheme="majorBidi"/>
          <w:sz w:val="22"/>
          <w:szCs w:val="22"/>
        </w:rPr>
        <w:t xml:space="preserve">[44] Mozaffar, F. and A. Asad Pour, </w:t>
      </w:r>
      <w:r w:rsidRPr="004A642A">
        <w:rPr>
          <w:rFonts w:asciiTheme="majorBidi" w:hAnsiTheme="majorBidi" w:cstheme="majorBidi"/>
          <w:i/>
          <w:iCs/>
          <w:sz w:val="22"/>
          <w:szCs w:val="22"/>
        </w:rPr>
        <w:t>The role of social and structural patterns in organizing open spaces of residential complexes (Comparison of twentieth century urban experiences and Iranian examples).</w:t>
      </w:r>
      <w:r w:rsidRPr="004A642A">
        <w:rPr>
          <w:rFonts w:asciiTheme="majorBidi" w:hAnsiTheme="majorBidi" w:cstheme="majorBidi"/>
          <w:sz w:val="22"/>
          <w:szCs w:val="22"/>
        </w:rPr>
        <w:t xml:space="preserve"> Urban Studies, 2013. 1(3): p. 3-12.</w:t>
      </w:r>
    </w:p>
    <w:p w:rsidR="004A642A" w:rsidRPr="004A642A" w:rsidRDefault="004A642A" w:rsidP="004A642A">
      <w:pPr>
        <w:widowControl w:val="0"/>
        <w:autoSpaceDE w:val="0"/>
        <w:autoSpaceDN w:val="0"/>
        <w:adjustRightInd w:val="0"/>
        <w:spacing w:line="240" w:lineRule="auto"/>
        <w:jc w:val="both"/>
        <w:rPr>
          <w:rFonts w:asciiTheme="majorBidi" w:hAnsiTheme="majorBidi" w:cstheme="majorBidi"/>
          <w:sz w:val="22"/>
          <w:szCs w:val="22"/>
        </w:rPr>
      </w:pPr>
      <w:r w:rsidRPr="004A642A">
        <w:rPr>
          <w:rFonts w:asciiTheme="majorBidi" w:hAnsiTheme="majorBidi" w:cstheme="majorBidi"/>
          <w:sz w:val="22"/>
          <w:szCs w:val="22"/>
        </w:rPr>
        <w:t xml:space="preserve">[45] Nari Ghomi, M. and M.J. Abbas Zadeh, </w:t>
      </w:r>
      <w:r w:rsidRPr="004A642A">
        <w:rPr>
          <w:rFonts w:asciiTheme="majorBidi" w:hAnsiTheme="majorBidi" w:cstheme="majorBidi"/>
          <w:i/>
          <w:iCs/>
          <w:sz w:val="22"/>
          <w:szCs w:val="22"/>
        </w:rPr>
        <w:t>The placement of the child's mentality of the role of father at home.</w:t>
      </w:r>
      <w:r w:rsidRPr="004A642A">
        <w:rPr>
          <w:rFonts w:asciiTheme="majorBidi" w:hAnsiTheme="majorBidi" w:cstheme="majorBidi"/>
          <w:sz w:val="22"/>
          <w:szCs w:val="22"/>
        </w:rPr>
        <w:t xml:space="preserve"> Architecture and Urbanism, 2017. 21(1): p. 55-66.</w:t>
      </w:r>
    </w:p>
    <w:p w:rsidR="004A642A" w:rsidRPr="004A642A" w:rsidRDefault="004A642A" w:rsidP="004A642A">
      <w:pPr>
        <w:widowControl w:val="0"/>
        <w:autoSpaceDE w:val="0"/>
        <w:autoSpaceDN w:val="0"/>
        <w:adjustRightInd w:val="0"/>
        <w:spacing w:line="240" w:lineRule="auto"/>
        <w:jc w:val="both"/>
        <w:rPr>
          <w:rFonts w:asciiTheme="majorBidi" w:hAnsiTheme="majorBidi" w:cstheme="majorBidi"/>
          <w:sz w:val="22"/>
          <w:szCs w:val="22"/>
        </w:rPr>
      </w:pPr>
      <w:r w:rsidRPr="004A642A">
        <w:rPr>
          <w:rFonts w:asciiTheme="majorBidi" w:hAnsiTheme="majorBidi" w:cstheme="majorBidi"/>
          <w:sz w:val="22"/>
          <w:szCs w:val="22"/>
        </w:rPr>
        <w:t xml:space="preserve">[46] Nik Ghadam, N., </w:t>
      </w:r>
      <w:r w:rsidRPr="004A642A">
        <w:rPr>
          <w:rFonts w:asciiTheme="majorBidi" w:hAnsiTheme="majorBidi" w:cstheme="majorBidi"/>
          <w:i/>
          <w:iCs/>
          <w:sz w:val="22"/>
          <w:szCs w:val="22"/>
        </w:rPr>
        <w:t>The pattern of semi-open spaces in Dezful, Bushehr and Bandar Lengeh houses in relation to local climatic components.</w:t>
      </w:r>
      <w:r w:rsidRPr="004A642A">
        <w:rPr>
          <w:rFonts w:asciiTheme="majorBidi" w:hAnsiTheme="majorBidi" w:cstheme="majorBidi"/>
          <w:sz w:val="22"/>
          <w:szCs w:val="22"/>
        </w:rPr>
        <w:t xml:space="preserve"> Architecture and Urbanism, 2014. 18(3): p. 54-69.</w:t>
      </w:r>
    </w:p>
    <w:p w:rsidR="004A642A" w:rsidRPr="004A642A" w:rsidRDefault="004A642A" w:rsidP="004A642A">
      <w:pPr>
        <w:widowControl w:val="0"/>
        <w:autoSpaceDE w:val="0"/>
        <w:autoSpaceDN w:val="0"/>
        <w:adjustRightInd w:val="0"/>
        <w:spacing w:line="240" w:lineRule="auto"/>
        <w:jc w:val="both"/>
        <w:rPr>
          <w:rFonts w:asciiTheme="majorBidi" w:hAnsiTheme="majorBidi" w:cstheme="majorBidi"/>
          <w:sz w:val="22"/>
          <w:szCs w:val="22"/>
        </w:rPr>
      </w:pPr>
      <w:r w:rsidRPr="004A642A">
        <w:rPr>
          <w:rFonts w:asciiTheme="majorBidi" w:hAnsiTheme="majorBidi" w:cstheme="majorBidi"/>
          <w:sz w:val="22"/>
          <w:szCs w:val="22"/>
        </w:rPr>
        <w:t xml:space="preserve">[47] Nik Ghadam, N., </w:t>
      </w:r>
      <w:r w:rsidRPr="004A642A">
        <w:rPr>
          <w:rFonts w:asciiTheme="majorBidi" w:hAnsiTheme="majorBidi" w:cstheme="majorBidi"/>
          <w:i/>
          <w:iCs/>
          <w:sz w:val="22"/>
          <w:szCs w:val="22"/>
        </w:rPr>
        <w:t>Extracting climatic patterns of functional spaces in native homes of Bushehr port using the Granded Theory.</w:t>
      </w:r>
      <w:r w:rsidRPr="004A642A">
        <w:rPr>
          <w:rFonts w:asciiTheme="majorBidi" w:hAnsiTheme="majorBidi" w:cstheme="majorBidi"/>
          <w:sz w:val="22"/>
          <w:szCs w:val="22"/>
        </w:rPr>
        <w:t xml:space="preserve"> Bagh e Nazar, 2016. 12(32): p. 77-90.</w:t>
      </w:r>
    </w:p>
    <w:p w:rsidR="004A642A" w:rsidRPr="004A642A" w:rsidRDefault="004A642A" w:rsidP="004A642A">
      <w:pPr>
        <w:widowControl w:val="0"/>
        <w:autoSpaceDE w:val="0"/>
        <w:autoSpaceDN w:val="0"/>
        <w:adjustRightInd w:val="0"/>
        <w:spacing w:line="240" w:lineRule="auto"/>
        <w:jc w:val="both"/>
        <w:rPr>
          <w:rFonts w:asciiTheme="majorBidi" w:hAnsiTheme="majorBidi" w:cstheme="majorBidi"/>
          <w:sz w:val="22"/>
          <w:szCs w:val="22"/>
        </w:rPr>
      </w:pPr>
      <w:r w:rsidRPr="004A642A">
        <w:rPr>
          <w:rFonts w:asciiTheme="majorBidi" w:hAnsiTheme="majorBidi" w:cstheme="majorBidi"/>
          <w:sz w:val="22"/>
          <w:szCs w:val="22"/>
        </w:rPr>
        <w:t xml:space="preserve">[48] Noghre Kar, A., M. Hamzeh Nejad, and H. Bagheri, </w:t>
      </w:r>
      <w:r w:rsidRPr="004A642A">
        <w:rPr>
          <w:rFonts w:asciiTheme="majorBidi" w:hAnsiTheme="majorBidi" w:cstheme="majorBidi"/>
          <w:i/>
          <w:iCs/>
          <w:sz w:val="22"/>
          <w:szCs w:val="22"/>
        </w:rPr>
        <w:t>Communicativeness in the courtyard of the Iranian house (recognizing the presence of the yard through the analysis of cinematic sequences).</w:t>
      </w:r>
      <w:r w:rsidRPr="004A642A">
        <w:rPr>
          <w:rFonts w:asciiTheme="majorBidi" w:hAnsiTheme="majorBidi" w:cstheme="majorBidi"/>
          <w:sz w:val="22"/>
          <w:szCs w:val="22"/>
        </w:rPr>
        <w:t xml:space="preserve"> Iranian Architecture and Urbanism, 2015. 5(7): p. 45-56.</w:t>
      </w:r>
    </w:p>
    <w:p w:rsidR="004A642A" w:rsidRPr="004A642A" w:rsidRDefault="004A642A" w:rsidP="004A642A">
      <w:pPr>
        <w:widowControl w:val="0"/>
        <w:autoSpaceDE w:val="0"/>
        <w:autoSpaceDN w:val="0"/>
        <w:adjustRightInd w:val="0"/>
        <w:spacing w:line="240" w:lineRule="auto"/>
        <w:jc w:val="both"/>
        <w:rPr>
          <w:rFonts w:asciiTheme="majorBidi" w:hAnsiTheme="majorBidi" w:cstheme="majorBidi"/>
          <w:sz w:val="22"/>
          <w:szCs w:val="22"/>
        </w:rPr>
      </w:pPr>
      <w:r w:rsidRPr="004A642A">
        <w:rPr>
          <w:rFonts w:asciiTheme="majorBidi" w:hAnsiTheme="majorBidi" w:cstheme="majorBidi"/>
          <w:sz w:val="22"/>
          <w:szCs w:val="22"/>
        </w:rPr>
        <w:t xml:space="preserve">[49] Nour taghani, A., et al., </w:t>
      </w:r>
      <w:r w:rsidRPr="004A642A">
        <w:rPr>
          <w:rFonts w:asciiTheme="majorBidi" w:hAnsiTheme="majorBidi" w:cstheme="majorBidi"/>
          <w:i/>
          <w:iCs/>
          <w:sz w:val="22"/>
          <w:szCs w:val="22"/>
        </w:rPr>
        <w:t>Making, Verifying, Ensuring the Decoding Tool for the Meaning of Turkmen Housing.</w:t>
      </w:r>
      <w:r w:rsidRPr="004A642A">
        <w:rPr>
          <w:rFonts w:asciiTheme="majorBidi" w:hAnsiTheme="majorBidi" w:cstheme="majorBidi"/>
          <w:sz w:val="22"/>
          <w:szCs w:val="22"/>
        </w:rPr>
        <w:t xml:space="preserve"> Housing and Rural Environment, 2017. 35(156): p. 3-14.</w:t>
      </w:r>
    </w:p>
    <w:p w:rsidR="004A642A" w:rsidRPr="004A642A" w:rsidRDefault="004A642A" w:rsidP="004A642A">
      <w:pPr>
        <w:widowControl w:val="0"/>
        <w:autoSpaceDE w:val="0"/>
        <w:autoSpaceDN w:val="0"/>
        <w:adjustRightInd w:val="0"/>
        <w:spacing w:line="240" w:lineRule="auto"/>
        <w:jc w:val="both"/>
        <w:rPr>
          <w:rFonts w:asciiTheme="majorBidi" w:hAnsiTheme="majorBidi" w:cstheme="majorBidi"/>
          <w:sz w:val="22"/>
          <w:szCs w:val="22"/>
        </w:rPr>
      </w:pPr>
      <w:r w:rsidRPr="004A642A">
        <w:rPr>
          <w:rFonts w:asciiTheme="majorBidi" w:hAnsiTheme="majorBidi" w:cstheme="majorBidi"/>
          <w:sz w:val="22"/>
          <w:szCs w:val="22"/>
        </w:rPr>
        <w:t xml:space="preserve">[50] Okhovat, H., </w:t>
      </w:r>
      <w:r w:rsidRPr="004A642A">
        <w:rPr>
          <w:rFonts w:asciiTheme="majorBidi" w:hAnsiTheme="majorBidi" w:cstheme="majorBidi"/>
          <w:i/>
          <w:iCs/>
          <w:sz w:val="22"/>
          <w:szCs w:val="22"/>
        </w:rPr>
        <w:t>Comparative study of privacy dimensions in traditional and contemporary housing using the BDSR analytical model.</w:t>
      </w:r>
      <w:r w:rsidRPr="004A642A">
        <w:rPr>
          <w:rFonts w:asciiTheme="majorBidi" w:hAnsiTheme="majorBidi" w:cstheme="majorBidi"/>
          <w:sz w:val="22"/>
          <w:szCs w:val="22"/>
        </w:rPr>
        <w:t xml:space="preserve"> Housing and Rural Environment, 2014. 32(142): p. 97-112.</w:t>
      </w:r>
    </w:p>
    <w:p w:rsidR="000401EC" w:rsidRPr="00121DEF" w:rsidRDefault="004A642A" w:rsidP="00D41B0A">
      <w:pPr>
        <w:widowControl w:val="0"/>
        <w:autoSpaceDE w:val="0"/>
        <w:autoSpaceDN w:val="0"/>
        <w:adjustRightInd w:val="0"/>
        <w:spacing w:line="240" w:lineRule="auto"/>
        <w:jc w:val="both"/>
        <w:rPr>
          <w:rFonts w:asciiTheme="majorBidi" w:hAnsiTheme="majorBidi" w:cstheme="majorBidi"/>
          <w:sz w:val="22"/>
          <w:szCs w:val="22"/>
        </w:rPr>
      </w:pPr>
      <w:r w:rsidRPr="004A642A">
        <w:rPr>
          <w:rFonts w:asciiTheme="majorBidi" w:hAnsiTheme="majorBidi" w:cstheme="majorBidi"/>
          <w:sz w:val="22"/>
          <w:szCs w:val="22"/>
        </w:rPr>
        <w:t xml:space="preserve">[51] Pourdeihimi, S., S. Mashayekhi Faridani, and A. Nour taghani, </w:t>
      </w:r>
      <w:r w:rsidRPr="004A642A">
        <w:rPr>
          <w:rFonts w:asciiTheme="majorBidi" w:hAnsiTheme="majorBidi" w:cstheme="majorBidi"/>
          <w:i/>
          <w:iCs/>
          <w:sz w:val="22"/>
          <w:szCs w:val="22"/>
        </w:rPr>
        <w:t>Identity and Housing; A Survey on the Mechanism for Interacting the Identity of Residents and the Residential Environment.</w:t>
      </w:r>
      <w:r w:rsidRPr="004A642A">
        <w:rPr>
          <w:rFonts w:asciiTheme="majorBidi" w:hAnsiTheme="majorBidi" w:cstheme="majorBidi"/>
          <w:sz w:val="22"/>
          <w:szCs w:val="22"/>
        </w:rPr>
        <w:t xml:space="preserve"> Housing and Rural Environment, 2014. 32</w:t>
      </w:r>
      <w:r w:rsidR="00D41B0A">
        <w:rPr>
          <w:rFonts w:asciiTheme="majorBidi" w:hAnsiTheme="majorBidi" w:cstheme="majorBidi"/>
          <w:sz w:val="22"/>
          <w:szCs w:val="22"/>
        </w:rPr>
        <w:t>(141): p. 3-18.</w:t>
      </w:r>
    </w:p>
    <w:p w:rsidR="002C49E5" w:rsidRPr="00D41B0A" w:rsidRDefault="004A642A" w:rsidP="00D41B0A">
      <w:pPr>
        <w:widowControl w:val="0"/>
        <w:autoSpaceDE w:val="0"/>
        <w:autoSpaceDN w:val="0"/>
        <w:adjustRightInd w:val="0"/>
        <w:spacing w:line="240" w:lineRule="auto"/>
        <w:jc w:val="both"/>
        <w:rPr>
          <w:rFonts w:asciiTheme="majorBidi" w:hAnsiTheme="majorBidi" w:cstheme="majorBidi"/>
          <w:sz w:val="22"/>
          <w:szCs w:val="22"/>
        </w:rPr>
      </w:pPr>
      <w:bookmarkStart w:id="0" w:name="_GoBack"/>
      <w:r w:rsidRPr="00D41B0A">
        <w:rPr>
          <w:rFonts w:asciiTheme="majorBidi" w:hAnsiTheme="majorBidi" w:cstheme="majorBidi"/>
          <w:sz w:val="22"/>
          <w:szCs w:val="22"/>
        </w:rPr>
        <w:t xml:space="preserve">[52] </w:t>
      </w:r>
      <w:r w:rsidR="002C49E5" w:rsidRPr="00D41B0A">
        <w:rPr>
          <w:rFonts w:asciiTheme="majorBidi" w:hAnsiTheme="majorBidi" w:cstheme="majorBidi"/>
          <w:sz w:val="22"/>
          <w:szCs w:val="22"/>
        </w:rPr>
        <w:t xml:space="preserve">Alfirevic, D. and S. Simonovic Alfirevic, </w:t>
      </w:r>
      <w:r w:rsidR="002C49E5" w:rsidRPr="00D41B0A">
        <w:rPr>
          <w:rFonts w:asciiTheme="majorBidi" w:hAnsiTheme="majorBidi" w:cstheme="majorBidi"/>
          <w:i/>
          <w:iCs/>
          <w:sz w:val="22"/>
          <w:szCs w:val="22"/>
        </w:rPr>
        <w:t>Urban housing experiments in Yugoslavia 1948-1970.</w:t>
      </w:r>
      <w:r w:rsidR="002C49E5" w:rsidRPr="00D41B0A">
        <w:rPr>
          <w:rFonts w:asciiTheme="majorBidi" w:hAnsiTheme="majorBidi" w:cstheme="majorBidi"/>
          <w:sz w:val="22"/>
          <w:szCs w:val="22"/>
        </w:rPr>
        <w:t xml:space="preserve"> SPATIUM, 2015(34): p. 1-9.</w:t>
      </w:r>
    </w:p>
    <w:p w:rsidR="002C49E5" w:rsidRPr="00D41B0A" w:rsidRDefault="00D41B0A" w:rsidP="00D41B0A">
      <w:pPr>
        <w:widowControl w:val="0"/>
        <w:autoSpaceDE w:val="0"/>
        <w:autoSpaceDN w:val="0"/>
        <w:adjustRightInd w:val="0"/>
        <w:spacing w:line="240" w:lineRule="auto"/>
        <w:jc w:val="both"/>
        <w:rPr>
          <w:rFonts w:asciiTheme="majorBidi" w:hAnsiTheme="majorBidi" w:cstheme="majorBidi"/>
          <w:sz w:val="22"/>
          <w:szCs w:val="22"/>
        </w:rPr>
      </w:pPr>
      <w:r w:rsidRPr="00D41B0A">
        <w:rPr>
          <w:rFonts w:asciiTheme="majorBidi" w:hAnsiTheme="majorBidi" w:cstheme="majorBidi"/>
          <w:sz w:val="22"/>
          <w:szCs w:val="22"/>
        </w:rPr>
        <w:t xml:space="preserve">[53] </w:t>
      </w:r>
      <w:r w:rsidR="002C49E5" w:rsidRPr="00D41B0A">
        <w:rPr>
          <w:rFonts w:asciiTheme="majorBidi" w:hAnsiTheme="majorBidi" w:cstheme="majorBidi"/>
          <w:sz w:val="22"/>
          <w:szCs w:val="22"/>
        </w:rPr>
        <w:t xml:space="preserve">Baek, J., </w:t>
      </w:r>
      <w:r w:rsidR="002C49E5" w:rsidRPr="00D41B0A">
        <w:rPr>
          <w:rFonts w:asciiTheme="majorBidi" w:hAnsiTheme="majorBidi" w:cstheme="majorBidi"/>
          <w:i/>
          <w:iCs/>
          <w:sz w:val="22"/>
          <w:szCs w:val="22"/>
        </w:rPr>
        <w:t>Between Material Sensuousness and Thingness: the Significance of the Structural Glass in Kengo Kuma&amp;prime;s Water/ Glass House from the Perspective of Phenomenology.</w:t>
      </w:r>
      <w:r w:rsidR="002C49E5" w:rsidRPr="00D41B0A">
        <w:rPr>
          <w:rFonts w:asciiTheme="majorBidi" w:hAnsiTheme="majorBidi" w:cstheme="majorBidi"/>
          <w:sz w:val="22"/>
          <w:szCs w:val="22"/>
        </w:rPr>
        <w:t xml:space="preserve"> Journal of Asian Architecture and Building Engineering, 2013. 12(1): p. 1-7.</w:t>
      </w:r>
    </w:p>
    <w:p w:rsidR="002C49E5" w:rsidRPr="00D41B0A" w:rsidRDefault="00D41B0A" w:rsidP="00D41B0A">
      <w:pPr>
        <w:widowControl w:val="0"/>
        <w:autoSpaceDE w:val="0"/>
        <w:autoSpaceDN w:val="0"/>
        <w:adjustRightInd w:val="0"/>
        <w:spacing w:line="240" w:lineRule="auto"/>
        <w:jc w:val="both"/>
        <w:rPr>
          <w:rFonts w:asciiTheme="majorBidi" w:hAnsiTheme="majorBidi" w:cstheme="majorBidi"/>
          <w:sz w:val="22"/>
          <w:szCs w:val="22"/>
        </w:rPr>
      </w:pPr>
      <w:r w:rsidRPr="00D41B0A">
        <w:rPr>
          <w:rFonts w:asciiTheme="majorBidi" w:hAnsiTheme="majorBidi" w:cstheme="majorBidi"/>
          <w:sz w:val="22"/>
          <w:szCs w:val="22"/>
        </w:rPr>
        <w:t xml:space="preserve">[54] </w:t>
      </w:r>
      <w:r w:rsidR="002C49E5" w:rsidRPr="00D41B0A">
        <w:rPr>
          <w:rFonts w:asciiTheme="majorBidi" w:hAnsiTheme="majorBidi" w:cstheme="majorBidi"/>
          <w:sz w:val="22"/>
          <w:szCs w:val="22"/>
        </w:rPr>
        <w:t xml:space="preserve">Brotas, L. and F. Nicol, </w:t>
      </w:r>
      <w:r w:rsidR="002C49E5" w:rsidRPr="00D41B0A">
        <w:rPr>
          <w:rFonts w:asciiTheme="majorBidi" w:hAnsiTheme="majorBidi" w:cstheme="majorBidi"/>
          <w:i/>
          <w:iCs/>
          <w:sz w:val="22"/>
          <w:szCs w:val="22"/>
        </w:rPr>
        <w:t>Estimating overheating in European dwellings.</w:t>
      </w:r>
      <w:r w:rsidR="002C49E5" w:rsidRPr="00D41B0A">
        <w:rPr>
          <w:rFonts w:asciiTheme="majorBidi" w:hAnsiTheme="majorBidi" w:cstheme="majorBidi"/>
          <w:sz w:val="22"/>
          <w:szCs w:val="22"/>
        </w:rPr>
        <w:t xml:space="preserve"> Architectural Science Review, 2017. 60(3): p. 180-191.</w:t>
      </w:r>
    </w:p>
    <w:p w:rsidR="002C49E5" w:rsidRPr="00D41B0A" w:rsidRDefault="00D41B0A" w:rsidP="00D41B0A">
      <w:pPr>
        <w:widowControl w:val="0"/>
        <w:autoSpaceDE w:val="0"/>
        <w:autoSpaceDN w:val="0"/>
        <w:adjustRightInd w:val="0"/>
        <w:spacing w:line="240" w:lineRule="auto"/>
        <w:jc w:val="both"/>
        <w:rPr>
          <w:rFonts w:asciiTheme="majorBidi" w:hAnsiTheme="majorBidi" w:cstheme="majorBidi"/>
          <w:sz w:val="22"/>
          <w:szCs w:val="22"/>
        </w:rPr>
      </w:pPr>
      <w:r w:rsidRPr="00D41B0A">
        <w:rPr>
          <w:rFonts w:asciiTheme="majorBidi" w:hAnsiTheme="majorBidi" w:cstheme="majorBidi"/>
          <w:sz w:val="22"/>
          <w:szCs w:val="22"/>
        </w:rPr>
        <w:t xml:space="preserve">[55] </w:t>
      </w:r>
      <w:r w:rsidR="002C49E5" w:rsidRPr="00D41B0A">
        <w:rPr>
          <w:rFonts w:asciiTheme="majorBidi" w:hAnsiTheme="majorBidi" w:cstheme="majorBidi"/>
          <w:sz w:val="22"/>
          <w:szCs w:val="22"/>
        </w:rPr>
        <w:t xml:space="preserve">Calautit, J.K., B.R. Hughes, and S.A. Ghani, </w:t>
      </w:r>
      <w:r w:rsidR="002C49E5" w:rsidRPr="00D41B0A">
        <w:rPr>
          <w:rFonts w:asciiTheme="majorBidi" w:hAnsiTheme="majorBidi" w:cstheme="majorBidi"/>
          <w:i/>
          <w:iCs/>
          <w:sz w:val="22"/>
          <w:szCs w:val="22"/>
        </w:rPr>
        <w:t>A numerical investigation into the feasibility of integrating green building technologies into row houses in the Middle East.</w:t>
      </w:r>
      <w:r w:rsidR="002C49E5" w:rsidRPr="00D41B0A">
        <w:rPr>
          <w:rFonts w:asciiTheme="majorBidi" w:hAnsiTheme="majorBidi" w:cstheme="majorBidi"/>
          <w:sz w:val="22"/>
          <w:szCs w:val="22"/>
        </w:rPr>
        <w:t xml:space="preserve"> Architectural Science Review, 2013. 56(4): p. 279-296.</w:t>
      </w:r>
    </w:p>
    <w:p w:rsidR="002C49E5" w:rsidRPr="00D41B0A" w:rsidRDefault="00D41B0A" w:rsidP="00D41B0A">
      <w:pPr>
        <w:widowControl w:val="0"/>
        <w:autoSpaceDE w:val="0"/>
        <w:autoSpaceDN w:val="0"/>
        <w:adjustRightInd w:val="0"/>
        <w:spacing w:line="240" w:lineRule="auto"/>
        <w:jc w:val="both"/>
        <w:rPr>
          <w:rFonts w:asciiTheme="majorBidi" w:hAnsiTheme="majorBidi" w:cstheme="majorBidi"/>
          <w:sz w:val="22"/>
          <w:szCs w:val="22"/>
        </w:rPr>
      </w:pPr>
      <w:r w:rsidRPr="00D41B0A">
        <w:rPr>
          <w:rFonts w:asciiTheme="majorBidi" w:hAnsiTheme="majorBidi" w:cstheme="majorBidi"/>
          <w:sz w:val="22"/>
          <w:szCs w:val="22"/>
        </w:rPr>
        <w:t xml:space="preserve">[56] </w:t>
      </w:r>
      <w:r w:rsidR="002C49E5" w:rsidRPr="00D41B0A">
        <w:rPr>
          <w:rFonts w:asciiTheme="majorBidi" w:hAnsiTheme="majorBidi" w:cstheme="majorBidi"/>
          <w:sz w:val="22"/>
          <w:szCs w:val="22"/>
        </w:rPr>
        <w:t xml:space="preserve">Cho, K., </w:t>
      </w:r>
      <w:r w:rsidR="002C49E5" w:rsidRPr="00D41B0A">
        <w:rPr>
          <w:rFonts w:asciiTheme="majorBidi" w:hAnsiTheme="majorBidi" w:cstheme="majorBidi"/>
          <w:i/>
          <w:iCs/>
          <w:sz w:val="22"/>
          <w:szCs w:val="22"/>
        </w:rPr>
        <w:t xml:space="preserve">Evaluation of Technologies Ensuring Green Performance in Multi-family Housing </w:t>
      </w:r>
      <w:r w:rsidR="002C49E5" w:rsidRPr="00D41B0A">
        <w:rPr>
          <w:rFonts w:asciiTheme="majorBidi" w:hAnsiTheme="majorBidi" w:cstheme="majorBidi"/>
          <w:i/>
          <w:iCs/>
          <w:sz w:val="22"/>
          <w:szCs w:val="22"/>
        </w:rPr>
        <w:lastRenderedPageBreak/>
        <w:t>Projects in Korea.</w:t>
      </w:r>
      <w:r w:rsidR="002C49E5" w:rsidRPr="00D41B0A">
        <w:rPr>
          <w:rFonts w:asciiTheme="majorBidi" w:hAnsiTheme="majorBidi" w:cstheme="majorBidi"/>
          <w:sz w:val="22"/>
          <w:szCs w:val="22"/>
        </w:rPr>
        <w:t xml:space="preserve"> Journal of Asian Architecture and Building Engineering, 2014. 13(1): p. 133-139.</w:t>
      </w:r>
    </w:p>
    <w:p w:rsidR="002C49E5" w:rsidRPr="00D41B0A" w:rsidRDefault="00D41B0A" w:rsidP="00D41B0A">
      <w:pPr>
        <w:widowControl w:val="0"/>
        <w:autoSpaceDE w:val="0"/>
        <w:autoSpaceDN w:val="0"/>
        <w:adjustRightInd w:val="0"/>
        <w:spacing w:line="240" w:lineRule="auto"/>
        <w:jc w:val="both"/>
        <w:rPr>
          <w:rFonts w:asciiTheme="majorBidi" w:hAnsiTheme="majorBidi" w:cstheme="majorBidi"/>
          <w:sz w:val="22"/>
          <w:szCs w:val="22"/>
        </w:rPr>
      </w:pPr>
      <w:r w:rsidRPr="00D41B0A">
        <w:rPr>
          <w:rFonts w:asciiTheme="majorBidi" w:hAnsiTheme="majorBidi" w:cstheme="majorBidi"/>
          <w:sz w:val="22"/>
          <w:szCs w:val="22"/>
        </w:rPr>
        <w:t xml:space="preserve">[57] </w:t>
      </w:r>
      <w:r w:rsidR="002C49E5" w:rsidRPr="00D41B0A">
        <w:rPr>
          <w:rFonts w:asciiTheme="majorBidi" w:hAnsiTheme="majorBidi" w:cstheme="majorBidi"/>
          <w:sz w:val="22"/>
          <w:szCs w:val="22"/>
        </w:rPr>
        <w:t xml:space="preserve">Ciampi, G., et al., </w:t>
      </w:r>
      <w:r w:rsidR="002C49E5" w:rsidRPr="00D41B0A">
        <w:rPr>
          <w:rFonts w:asciiTheme="majorBidi" w:hAnsiTheme="majorBidi" w:cstheme="majorBidi"/>
          <w:i/>
          <w:iCs/>
          <w:sz w:val="22"/>
          <w:szCs w:val="22"/>
        </w:rPr>
        <w:t>Energy performance of a residential building-integrated micro-cogeneration system upon varying thermal load and control logic†.</w:t>
      </w:r>
      <w:r w:rsidR="002C49E5" w:rsidRPr="00D41B0A">
        <w:rPr>
          <w:rFonts w:asciiTheme="majorBidi" w:hAnsiTheme="majorBidi" w:cstheme="majorBidi"/>
          <w:sz w:val="22"/>
          <w:szCs w:val="22"/>
        </w:rPr>
        <w:t xml:space="preserve"> International Journal of Low-Carbon Technologies, 2016. 11(1): p. 75-88.</w:t>
      </w:r>
    </w:p>
    <w:p w:rsidR="002C49E5" w:rsidRPr="00D41B0A" w:rsidRDefault="00D41B0A" w:rsidP="00D41B0A">
      <w:pPr>
        <w:widowControl w:val="0"/>
        <w:autoSpaceDE w:val="0"/>
        <w:autoSpaceDN w:val="0"/>
        <w:adjustRightInd w:val="0"/>
        <w:spacing w:line="240" w:lineRule="auto"/>
        <w:jc w:val="both"/>
        <w:rPr>
          <w:rFonts w:asciiTheme="majorBidi" w:hAnsiTheme="majorBidi" w:cstheme="majorBidi"/>
          <w:sz w:val="22"/>
          <w:szCs w:val="22"/>
        </w:rPr>
      </w:pPr>
      <w:r w:rsidRPr="00D41B0A">
        <w:rPr>
          <w:rFonts w:asciiTheme="majorBidi" w:hAnsiTheme="majorBidi" w:cstheme="majorBidi"/>
          <w:sz w:val="22"/>
          <w:szCs w:val="22"/>
        </w:rPr>
        <w:t xml:space="preserve">[58] </w:t>
      </w:r>
      <w:r w:rsidR="002C49E5" w:rsidRPr="00D41B0A">
        <w:rPr>
          <w:rFonts w:asciiTheme="majorBidi" w:hAnsiTheme="majorBidi" w:cstheme="majorBidi"/>
          <w:sz w:val="22"/>
          <w:szCs w:val="22"/>
        </w:rPr>
        <w:t xml:space="preserve">Erik, B. and T. Nirooja, </w:t>
      </w:r>
      <w:r w:rsidR="002C49E5" w:rsidRPr="00D41B0A">
        <w:rPr>
          <w:rFonts w:asciiTheme="majorBidi" w:hAnsiTheme="majorBidi" w:cstheme="majorBidi"/>
          <w:i/>
          <w:iCs/>
          <w:sz w:val="22"/>
          <w:szCs w:val="22"/>
        </w:rPr>
        <w:t>Behaviour change strategies for energy efficiency in owner‐occupied housing.</w:t>
      </w:r>
      <w:r w:rsidR="002C49E5" w:rsidRPr="00D41B0A">
        <w:rPr>
          <w:rFonts w:asciiTheme="majorBidi" w:hAnsiTheme="majorBidi" w:cstheme="majorBidi"/>
          <w:sz w:val="22"/>
          <w:szCs w:val="22"/>
        </w:rPr>
        <w:t xml:space="preserve"> Construction Innovation, 2013. 13(2): p. 165-185.</w:t>
      </w:r>
    </w:p>
    <w:p w:rsidR="002C49E5" w:rsidRPr="00D41B0A" w:rsidRDefault="00D41B0A" w:rsidP="00D41B0A">
      <w:pPr>
        <w:widowControl w:val="0"/>
        <w:autoSpaceDE w:val="0"/>
        <w:autoSpaceDN w:val="0"/>
        <w:adjustRightInd w:val="0"/>
        <w:spacing w:line="240" w:lineRule="auto"/>
        <w:jc w:val="both"/>
        <w:rPr>
          <w:rFonts w:asciiTheme="majorBidi" w:hAnsiTheme="majorBidi" w:cstheme="majorBidi"/>
          <w:sz w:val="22"/>
          <w:szCs w:val="22"/>
        </w:rPr>
      </w:pPr>
      <w:r w:rsidRPr="00D41B0A">
        <w:rPr>
          <w:rFonts w:asciiTheme="majorBidi" w:hAnsiTheme="majorBidi" w:cstheme="majorBidi"/>
          <w:sz w:val="22"/>
          <w:szCs w:val="22"/>
        </w:rPr>
        <w:t xml:space="preserve">[59] </w:t>
      </w:r>
      <w:r w:rsidR="002C49E5" w:rsidRPr="00D41B0A">
        <w:rPr>
          <w:rFonts w:asciiTheme="majorBidi" w:hAnsiTheme="majorBidi" w:cstheme="majorBidi"/>
          <w:sz w:val="22"/>
          <w:szCs w:val="22"/>
        </w:rPr>
        <w:t xml:space="preserve">Fakere, A.A., O. Arayela, and C.O. Folorunso, </w:t>
      </w:r>
      <w:r w:rsidR="002C49E5" w:rsidRPr="00D41B0A">
        <w:rPr>
          <w:rFonts w:asciiTheme="majorBidi" w:hAnsiTheme="majorBidi" w:cstheme="majorBidi"/>
          <w:i/>
          <w:iCs/>
          <w:sz w:val="22"/>
          <w:szCs w:val="22"/>
        </w:rPr>
        <w:t>Nexus between the participation of residents in house design and residential satisfaction in Akure, Nigeria.</w:t>
      </w:r>
      <w:r w:rsidR="002C49E5" w:rsidRPr="00D41B0A">
        <w:rPr>
          <w:rFonts w:asciiTheme="majorBidi" w:hAnsiTheme="majorBidi" w:cstheme="majorBidi"/>
          <w:sz w:val="22"/>
          <w:szCs w:val="22"/>
        </w:rPr>
        <w:t xml:space="preserve"> Frontiers of Architectural Research, 2017. 6(2): p. 137-148.</w:t>
      </w:r>
    </w:p>
    <w:p w:rsidR="002C49E5" w:rsidRPr="00D41B0A" w:rsidRDefault="00D41B0A" w:rsidP="00D41B0A">
      <w:pPr>
        <w:widowControl w:val="0"/>
        <w:autoSpaceDE w:val="0"/>
        <w:autoSpaceDN w:val="0"/>
        <w:adjustRightInd w:val="0"/>
        <w:spacing w:line="240" w:lineRule="auto"/>
        <w:jc w:val="both"/>
        <w:rPr>
          <w:rFonts w:asciiTheme="majorBidi" w:hAnsiTheme="majorBidi" w:cstheme="majorBidi"/>
          <w:sz w:val="22"/>
          <w:szCs w:val="22"/>
        </w:rPr>
      </w:pPr>
      <w:r w:rsidRPr="00D41B0A">
        <w:rPr>
          <w:rFonts w:asciiTheme="majorBidi" w:hAnsiTheme="majorBidi" w:cstheme="majorBidi"/>
          <w:sz w:val="22"/>
          <w:szCs w:val="22"/>
        </w:rPr>
        <w:t xml:space="preserve">[60] </w:t>
      </w:r>
      <w:r w:rsidR="002C49E5" w:rsidRPr="00D41B0A">
        <w:rPr>
          <w:rFonts w:asciiTheme="majorBidi" w:hAnsiTheme="majorBidi" w:cstheme="majorBidi"/>
          <w:sz w:val="22"/>
          <w:szCs w:val="22"/>
        </w:rPr>
        <w:t xml:space="preserve">Ghabra, N., L. Rodrigues, and P. Oldfield, </w:t>
      </w:r>
      <w:r w:rsidR="002C49E5" w:rsidRPr="00D41B0A">
        <w:rPr>
          <w:rFonts w:asciiTheme="majorBidi" w:hAnsiTheme="majorBidi" w:cstheme="majorBidi"/>
          <w:i/>
          <w:iCs/>
          <w:sz w:val="22"/>
          <w:szCs w:val="22"/>
        </w:rPr>
        <w:t>The impact of the building envelope on the energy efficiency of residential tall buildings in Saudi Arabia.</w:t>
      </w:r>
      <w:r w:rsidR="002C49E5" w:rsidRPr="00D41B0A">
        <w:rPr>
          <w:rFonts w:asciiTheme="majorBidi" w:hAnsiTheme="majorBidi" w:cstheme="majorBidi"/>
          <w:sz w:val="22"/>
          <w:szCs w:val="22"/>
        </w:rPr>
        <w:t xml:space="preserve"> International Journal of Low-Carbon Technologies, 2017. 12(4): p. 411-419.</w:t>
      </w:r>
    </w:p>
    <w:p w:rsidR="002C49E5" w:rsidRPr="00D41B0A" w:rsidRDefault="00D41B0A" w:rsidP="00D41B0A">
      <w:pPr>
        <w:widowControl w:val="0"/>
        <w:autoSpaceDE w:val="0"/>
        <w:autoSpaceDN w:val="0"/>
        <w:adjustRightInd w:val="0"/>
        <w:spacing w:line="240" w:lineRule="auto"/>
        <w:jc w:val="both"/>
        <w:rPr>
          <w:rFonts w:asciiTheme="majorBidi" w:hAnsiTheme="majorBidi" w:cstheme="majorBidi"/>
          <w:sz w:val="22"/>
          <w:szCs w:val="22"/>
        </w:rPr>
      </w:pPr>
      <w:r w:rsidRPr="00D41B0A">
        <w:rPr>
          <w:rFonts w:asciiTheme="majorBidi" w:hAnsiTheme="majorBidi" w:cstheme="majorBidi"/>
          <w:sz w:val="22"/>
          <w:szCs w:val="22"/>
        </w:rPr>
        <w:t xml:space="preserve">[61] </w:t>
      </w:r>
      <w:r w:rsidR="002C49E5" w:rsidRPr="00D41B0A">
        <w:rPr>
          <w:rFonts w:asciiTheme="majorBidi" w:hAnsiTheme="majorBidi" w:cstheme="majorBidi"/>
          <w:sz w:val="22"/>
          <w:szCs w:val="22"/>
        </w:rPr>
        <w:t xml:space="preserve">Iwaro, J., et al., </w:t>
      </w:r>
      <w:r w:rsidR="002C49E5" w:rsidRPr="00D41B0A">
        <w:rPr>
          <w:rFonts w:asciiTheme="majorBidi" w:hAnsiTheme="majorBidi" w:cstheme="majorBidi"/>
          <w:i/>
          <w:iCs/>
          <w:sz w:val="22"/>
          <w:szCs w:val="22"/>
        </w:rPr>
        <w:t>An integrated approach for sustainable design and assessment of residential building envelope: part I.</w:t>
      </w:r>
      <w:r w:rsidR="002C49E5" w:rsidRPr="00D41B0A">
        <w:rPr>
          <w:rFonts w:asciiTheme="majorBidi" w:hAnsiTheme="majorBidi" w:cstheme="majorBidi"/>
          <w:sz w:val="22"/>
          <w:szCs w:val="22"/>
        </w:rPr>
        <w:t xml:space="preserve"> International Journal of Low-Carbon Technologies, 2015. 10(3): p. 268-274.</w:t>
      </w:r>
    </w:p>
    <w:p w:rsidR="002C49E5" w:rsidRPr="00D41B0A" w:rsidRDefault="00D41B0A" w:rsidP="00D41B0A">
      <w:pPr>
        <w:widowControl w:val="0"/>
        <w:autoSpaceDE w:val="0"/>
        <w:autoSpaceDN w:val="0"/>
        <w:adjustRightInd w:val="0"/>
        <w:spacing w:line="240" w:lineRule="auto"/>
        <w:jc w:val="both"/>
        <w:rPr>
          <w:rFonts w:asciiTheme="majorBidi" w:hAnsiTheme="majorBidi" w:cstheme="majorBidi"/>
          <w:sz w:val="22"/>
          <w:szCs w:val="22"/>
        </w:rPr>
      </w:pPr>
      <w:r w:rsidRPr="00D41B0A">
        <w:rPr>
          <w:rFonts w:asciiTheme="majorBidi" w:hAnsiTheme="majorBidi" w:cstheme="majorBidi"/>
          <w:sz w:val="22"/>
          <w:szCs w:val="22"/>
        </w:rPr>
        <w:t xml:space="preserve">[62] </w:t>
      </w:r>
      <w:r w:rsidR="002C49E5" w:rsidRPr="00D41B0A">
        <w:rPr>
          <w:rFonts w:asciiTheme="majorBidi" w:hAnsiTheme="majorBidi" w:cstheme="majorBidi"/>
          <w:sz w:val="22"/>
          <w:szCs w:val="22"/>
        </w:rPr>
        <w:t xml:space="preserve">Iwaro, J., et al., </w:t>
      </w:r>
      <w:r w:rsidR="002C49E5" w:rsidRPr="00D41B0A">
        <w:rPr>
          <w:rFonts w:asciiTheme="majorBidi" w:hAnsiTheme="majorBidi" w:cstheme="majorBidi"/>
          <w:i/>
          <w:iCs/>
          <w:sz w:val="22"/>
          <w:szCs w:val="22"/>
        </w:rPr>
        <w:t>An integrated approach for sustainable design and assessment of residential building envelope: part II.</w:t>
      </w:r>
      <w:r w:rsidR="002C49E5" w:rsidRPr="00D41B0A">
        <w:rPr>
          <w:rFonts w:asciiTheme="majorBidi" w:hAnsiTheme="majorBidi" w:cstheme="majorBidi"/>
          <w:sz w:val="22"/>
          <w:szCs w:val="22"/>
        </w:rPr>
        <w:t xml:space="preserve"> International Journal of Low-Carbon Technologies, 2016. 11(1): p. 89-108.</w:t>
      </w:r>
    </w:p>
    <w:p w:rsidR="002C49E5" w:rsidRPr="00D41B0A" w:rsidRDefault="00D41B0A" w:rsidP="00D41B0A">
      <w:pPr>
        <w:widowControl w:val="0"/>
        <w:autoSpaceDE w:val="0"/>
        <w:autoSpaceDN w:val="0"/>
        <w:adjustRightInd w:val="0"/>
        <w:spacing w:line="240" w:lineRule="auto"/>
        <w:jc w:val="both"/>
        <w:rPr>
          <w:rFonts w:asciiTheme="majorBidi" w:hAnsiTheme="majorBidi" w:cstheme="majorBidi"/>
          <w:sz w:val="22"/>
          <w:szCs w:val="22"/>
        </w:rPr>
      </w:pPr>
      <w:r w:rsidRPr="00D41B0A">
        <w:rPr>
          <w:rFonts w:asciiTheme="majorBidi" w:hAnsiTheme="majorBidi" w:cstheme="majorBidi"/>
          <w:sz w:val="22"/>
          <w:szCs w:val="22"/>
        </w:rPr>
        <w:t xml:space="preserve">[63] </w:t>
      </w:r>
      <w:r w:rsidR="002C49E5" w:rsidRPr="00D41B0A">
        <w:rPr>
          <w:rFonts w:asciiTheme="majorBidi" w:hAnsiTheme="majorBidi" w:cstheme="majorBidi"/>
          <w:sz w:val="22"/>
          <w:szCs w:val="22"/>
        </w:rPr>
        <w:t xml:space="preserve">Jin, L., et al., </w:t>
      </w:r>
      <w:r w:rsidR="002C49E5" w:rsidRPr="00D41B0A">
        <w:rPr>
          <w:rFonts w:asciiTheme="majorBidi" w:hAnsiTheme="majorBidi" w:cstheme="majorBidi"/>
          <w:i/>
          <w:iCs/>
          <w:sz w:val="22"/>
          <w:szCs w:val="22"/>
        </w:rPr>
        <w:t>Indoor Environment and Thermal Comfort in Rural Houses in East Guangdong of China.</w:t>
      </w:r>
      <w:r w:rsidR="002C49E5" w:rsidRPr="00D41B0A">
        <w:rPr>
          <w:rFonts w:asciiTheme="majorBidi" w:hAnsiTheme="majorBidi" w:cstheme="majorBidi"/>
          <w:sz w:val="22"/>
          <w:szCs w:val="22"/>
        </w:rPr>
        <w:t xml:space="preserve"> Journal of Civil, Architectural &amp; Environmental Engineering, 2013(2): p. 105-112.</w:t>
      </w:r>
    </w:p>
    <w:p w:rsidR="002C49E5" w:rsidRPr="00D41B0A" w:rsidRDefault="00D41B0A" w:rsidP="00D41B0A">
      <w:pPr>
        <w:widowControl w:val="0"/>
        <w:autoSpaceDE w:val="0"/>
        <w:autoSpaceDN w:val="0"/>
        <w:adjustRightInd w:val="0"/>
        <w:spacing w:line="240" w:lineRule="auto"/>
        <w:jc w:val="both"/>
        <w:rPr>
          <w:rFonts w:asciiTheme="majorBidi" w:hAnsiTheme="majorBidi" w:cstheme="majorBidi"/>
          <w:sz w:val="22"/>
          <w:szCs w:val="22"/>
        </w:rPr>
      </w:pPr>
      <w:r w:rsidRPr="00D41B0A">
        <w:rPr>
          <w:rFonts w:asciiTheme="majorBidi" w:hAnsiTheme="majorBidi" w:cstheme="majorBidi"/>
          <w:sz w:val="22"/>
          <w:szCs w:val="22"/>
        </w:rPr>
        <w:t xml:space="preserve">[64] </w:t>
      </w:r>
      <w:r w:rsidR="002C49E5" w:rsidRPr="00D41B0A">
        <w:rPr>
          <w:rFonts w:asciiTheme="majorBidi" w:hAnsiTheme="majorBidi" w:cstheme="majorBidi"/>
          <w:sz w:val="22"/>
          <w:szCs w:val="22"/>
        </w:rPr>
        <w:t xml:space="preserve">Ju, J.H., et al., </w:t>
      </w:r>
      <w:r w:rsidR="002C49E5" w:rsidRPr="00D41B0A">
        <w:rPr>
          <w:rFonts w:asciiTheme="majorBidi" w:hAnsiTheme="majorBidi" w:cstheme="majorBidi"/>
          <w:i/>
          <w:iCs/>
          <w:sz w:val="22"/>
          <w:szCs w:val="22"/>
        </w:rPr>
        <w:t>Prediction Equations for Energy Consumption Through Surveys on Energy Consumption in Apartment Buildings.</w:t>
      </w:r>
      <w:r w:rsidR="002C49E5" w:rsidRPr="00D41B0A">
        <w:rPr>
          <w:rFonts w:asciiTheme="majorBidi" w:hAnsiTheme="majorBidi" w:cstheme="majorBidi"/>
          <w:sz w:val="22"/>
          <w:szCs w:val="22"/>
        </w:rPr>
        <w:t xml:space="preserve"> Journal of Asian Architecture and Building Engineering, 2014. 13(3): p. 657-664.</w:t>
      </w:r>
    </w:p>
    <w:p w:rsidR="002C49E5" w:rsidRPr="00D41B0A" w:rsidRDefault="00D41B0A" w:rsidP="00D41B0A">
      <w:pPr>
        <w:widowControl w:val="0"/>
        <w:autoSpaceDE w:val="0"/>
        <w:autoSpaceDN w:val="0"/>
        <w:adjustRightInd w:val="0"/>
        <w:spacing w:line="240" w:lineRule="auto"/>
        <w:jc w:val="both"/>
        <w:rPr>
          <w:rFonts w:asciiTheme="majorBidi" w:hAnsiTheme="majorBidi" w:cstheme="majorBidi"/>
          <w:sz w:val="22"/>
          <w:szCs w:val="22"/>
        </w:rPr>
      </w:pPr>
      <w:r w:rsidRPr="00D41B0A">
        <w:rPr>
          <w:rFonts w:asciiTheme="majorBidi" w:hAnsiTheme="majorBidi" w:cstheme="majorBidi"/>
          <w:sz w:val="22"/>
          <w:szCs w:val="22"/>
        </w:rPr>
        <w:t xml:space="preserve">[65] </w:t>
      </w:r>
      <w:r w:rsidR="002C49E5" w:rsidRPr="00D41B0A">
        <w:rPr>
          <w:rFonts w:asciiTheme="majorBidi" w:hAnsiTheme="majorBidi" w:cstheme="majorBidi"/>
          <w:sz w:val="22"/>
          <w:szCs w:val="22"/>
        </w:rPr>
        <w:t xml:space="preserve">Kabre, C., </w:t>
      </w:r>
      <w:r w:rsidR="002C49E5" w:rsidRPr="00D41B0A">
        <w:rPr>
          <w:rFonts w:asciiTheme="majorBidi" w:hAnsiTheme="majorBidi" w:cstheme="majorBidi"/>
          <w:i/>
          <w:iCs/>
          <w:sz w:val="22"/>
          <w:szCs w:val="22"/>
        </w:rPr>
        <w:t>Sustainable Greek traditional dwellings of Cyclades.</w:t>
      </w:r>
      <w:r w:rsidR="002C49E5" w:rsidRPr="00D41B0A">
        <w:rPr>
          <w:rFonts w:asciiTheme="majorBidi" w:hAnsiTheme="majorBidi" w:cstheme="majorBidi"/>
          <w:sz w:val="22"/>
          <w:szCs w:val="22"/>
        </w:rPr>
        <w:t xml:space="preserve"> Architectural Science Review, 2016. 59(2): p. 81-90.</w:t>
      </w:r>
    </w:p>
    <w:p w:rsidR="002C49E5" w:rsidRPr="00D41B0A" w:rsidRDefault="00D41B0A" w:rsidP="00D41B0A">
      <w:pPr>
        <w:widowControl w:val="0"/>
        <w:autoSpaceDE w:val="0"/>
        <w:autoSpaceDN w:val="0"/>
        <w:adjustRightInd w:val="0"/>
        <w:spacing w:line="240" w:lineRule="auto"/>
        <w:jc w:val="both"/>
        <w:rPr>
          <w:rFonts w:asciiTheme="majorBidi" w:hAnsiTheme="majorBidi" w:cstheme="majorBidi"/>
          <w:sz w:val="22"/>
          <w:szCs w:val="22"/>
        </w:rPr>
      </w:pPr>
      <w:r w:rsidRPr="00D41B0A">
        <w:rPr>
          <w:rFonts w:asciiTheme="majorBidi" w:hAnsiTheme="majorBidi" w:cstheme="majorBidi"/>
          <w:sz w:val="22"/>
          <w:szCs w:val="22"/>
        </w:rPr>
        <w:t xml:space="preserve">[66] </w:t>
      </w:r>
      <w:r w:rsidR="002C49E5" w:rsidRPr="00D41B0A">
        <w:rPr>
          <w:rFonts w:asciiTheme="majorBidi" w:hAnsiTheme="majorBidi" w:cstheme="majorBidi"/>
          <w:sz w:val="22"/>
          <w:szCs w:val="22"/>
        </w:rPr>
        <w:t xml:space="preserve">Kim, M.K. and M.J. Kim, </w:t>
      </w:r>
      <w:r w:rsidR="002C49E5" w:rsidRPr="00D41B0A">
        <w:rPr>
          <w:rFonts w:asciiTheme="majorBidi" w:hAnsiTheme="majorBidi" w:cstheme="majorBidi"/>
          <w:i/>
          <w:iCs/>
          <w:sz w:val="22"/>
          <w:szCs w:val="22"/>
        </w:rPr>
        <w:t>Affordable Modular Housing for College Students Emphasizing Habitability.</w:t>
      </w:r>
      <w:r w:rsidR="002C49E5" w:rsidRPr="00D41B0A">
        <w:rPr>
          <w:rFonts w:asciiTheme="majorBidi" w:hAnsiTheme="majorBidi" w:cstheme="majorBidi"/>
          <w:sz w:val="22"/>
          <w:szCs w:val="22"/>
        </w:rPr>
        <w:t xml:space="preserve"> Journal of Asian Architecture and Building Engineering, 2016. 15(1): p. 49-56.</w:t>
      </w:r>
    </w:p>
    <w:p w:rsidR="002C49E5" w:rsidRPr="00D41B0A" w:rsidRDefault="00D41B0A" w:rsidP="00D41B0A">
      <w:pPr>
        <w:widowControl w:val="0"/>
        <w:autoSpaceDE w:val="0"/>
        <w:autoSpaceDN w:val="0"/>
        <w:adjustRightInd w:val="0"/>
        <w:spacing w:line="240" w:lineRule="auto"/>
        <w:jc w:val="both"/>
        <w:rPr>
          <w:rFonts w:asciiTheme="majorBidi" w:hAnsiTheme="majorBidi" w:cstheme="majorBidi"/>
          <w:sz w:val="22"/>
          <w:szCs w:val="22"/>
        </w:rPr>
      </w:pPr>
      <w:r w:rsidRPr="00D41B0A">
        <w:rPr>
          <w:rFonts w:asciiTheme="majorBidi" w:hAnsiTheme="majorBidi" w:cstheme="majorBidi"/>
          <w:sz w:val="22"/>
          <w:szCs w:val="22"/>
        </w:rPr>
        <w:t xml:space="preserve">[67] </w:t>
      </w:r>
      <w:r w:rsidR="002C49E5" w:rsidRPr="00D41B0A">
        <w:rPr>
          <w:rFonts w:asciiTheme="majorBidi" w:hAnsiTheme="majorBidi" w:cstheme="majorBidi"/>
          <w:sz w:val="22"/>
          <w:szCs w:val="22"/>
        </w:rPr>
        <w:t xml:space="preserve">Lee, R.X., S.K. Jusuf, and N.H. Wong, </w:t>
      </w:r>
      <w:r w:rsidR="002C49E5" w:rsidRPr="00D41B0A">
        <w:rPr>
          <w:rFonts w:asciiTheme="majorBidi" w:hAnsiTheme="majorBidi" w:cstheme="majorBidi"/>
          <w:i/>
          <w:iCs/>
          <w:sz w:val="22"/>
          <w:szCs w:val="22"/>
        </w:rPr>
        <w:t>The study of height variation on outdoor ventilation for Singapore's high-rise residential housing estates.</w:t>
      </w:r>
      <w:r w:rsidR="002C49E5" w:rsidRPr="00D41B0A">
        <w:rPr>
          <w:rFonts w:asciiTheme="majorBidi" w:hAnsiTheme="majorBidi" w:cstheme="majorBidi"/>
          <w:sz w:val="22"/>
          <w:szCs w:val="22"/>
        </w:rPr>
        <w:t xml:space="preserve"> International Journal of Low-Carbon Technologies, 2015. 10(1): p. 15-33.</w:t>
      </w:r>
    </w:p>
    <w:p w:rsidR="002C49E5" w:rsidRPr="00D41B0A" w:rsidRDefault="00D41B0A" w:rsidP="00D41B0A">
      <w:pPr>
        <w:widowControl w:val="0"/>
        <w:autoSpaceDE w:val="0"/>
        <w:autoSpaceDN w:val="0"/>
        <w:adjustRightInd w:val="0"/>
        <w:spacing w:line="240" w:lineRule="auto"/>
        <w:jc w:val="both"/>
        <w:rPr>
          <w:rFonts w:asciiTheme="majorBidi" w:hAnsiTheme="majorBidi" w:cstheme="majorBidi"/>
          <w:sz w:val="22"/>
          <w:szCs w:val="22"/>
        </w:rPr>
      </w:pPr>
      <w:r w:rsidRPr="00D41B0A">
        <w:rPr>
          <w:rFonts w:asciiTheme="majorBidi" w:hAnsiTheme="majorBidi" w:cstheme="majorBidi"/>
          <w:sz w:val="22"/>
          <w:szCs w:val="22"/>
        </w:rPr>
        <w:t xml:space="preserve">[68] </w:t>
      </w:r>
      <w:r w:rsidR="002C49E5" w:rsidRPr="00D41B0A">
        <w:rPr>
          <w:rFonts w:asciiTheme="majorBidi" w:hAnsiTheme="majorBidi" w:cstheme="majorBidi"/>
          <w:sz w:val="22"/>
          <w:szCs w:val="22"/>
        </w:rPr>
        <w:t xml:space="preserve">Lin, Y., et al., </w:t>
      </w:r>
      <w:r w:rsidR="002C49E5" w:rsidRPr="00D41B0A">
        <w:rPr>
          <w:rFonts w:asciiTheme="majorBidi" w:hAnsiTheme="majorBidi" w:cstheme="majorBidi"/>
          <w:i/>
          <w:iCs/>
          <w:sz w:val="22"/>
          <w:szCs w:val="22"/>
        </w:rPr>
        <w:t>Physiological adaptability and subjective evaluation between different regions residents in neutral environment.</w:t>
      </w:r>
      <w:r w:rsidR="002C49E5" w:rsidRPr="00D41B0A">
        <w:rPr>
          <w:rFonts w:asciiTheme="majorBidi" w:hAnsiTheme="majorBidi" w:cstheme="majorBidi"/>
          <w:sz w:val="22"/>
          <w:szCs w:val="22"/>
        </w:rPr>
        <w:t xml:space="preserve"> 2016. 38: p. 130-137.</w:t>
      </w:r>
    </w:p>
    <w:bookmarkEnd w:id="0"/>
    <w:p w:rsidR="00FE4713" w:rsidRPr="00D41B0A" w:rsidRDefault="00FE4713" w:rsidP="00D41B0A">
      <w:pPr>
        <w:pStyle w:val="Figurecaption"/>
        <w:rPr>
          <w:rFonts w:asciiTheme="majorBidi" w:hAnsiTheme="majorBidi" w:cstheme="majorBidi"/>
          <w:sz w:val="22"/>
          <w:szCs w:val="22"/>
        </w:rPr>
      </w:pPr>
    </w:p>
    <w:sectPr w:rsidR="00FE4713" w:rsidRPr="00D41B0A" w:rsidSect="00121DEF">
      <w:pgSz w:w="11901" w:h="16840" w:code="9"/>
      <w:pgMar w:top="1418"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EA8" w:rsidRDefault="00183EA8" w:rsidP="00AF2C92">
      <w:r>
        <w:separator/>
      </w:r>
    </w:p>
  </w:endnote>
  <w:endnote w:type="continuationSeparator" w:id="0">
    <w:p w:rsidR="00183EA8" w:rsidRDefault="00183EA8"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ngsana New">
    <w:panose1 w:val="02020603050405020304"/>
    <w:charset w:val="00"/>
    <w:family w:val="roman"/>
    <w:pitch w:val="variable"/>
    <w:sig w:usb0="01000003" w:usb1="00000000" w:usb2="00000000" w:usb3="00000000" w:csb0="00010001" w:csb1="00000000"/>
  </w:font>
  <w:font w:name="Meiryo">
    <w:panose1 w:val="020B0604030504040204"/>
    <w:charset w:val="80"/>
    <w:family w:val="swiss"/>
    <w:pitch w:val="variable"/>
    <w:sig w:usb0="E10102FF" w:usb1="EAC7FFFF" w:usb2="00010012" w:usb3="00000000" w:csb0="0002009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059666"/>
      <w:docPartObj>
        <w:docPartGallery w:val="Page Numbers (Bottom of Page)"/>
        <w:docPartUnique/>
      </w:docPartObj>
    </w:sdtPr>
    <w:sdtEndPr>
      <w:rPr>
        <w:noProof/>
      </w:rPr>
    </w:sdtEndPr>
    <w:sdtContent>
      <w:p w:rsidR="00FC3844" w:rsidRDefault="00FC3844">
        <w:pPr>
          <w:pStyle w:val="Footer"/>
          <w:jc w:val="center"/>
        </w:pPr>
        <w:r>
          <w:fldChar w:fldCharType="begin"/>
        </w:r>
        <w:r>
          <w:instrText xml:space="preserve"> PAGE   \* MERGEFORMAT </w:instrText>
        </w:r>
        <w:r>
          <w:fldChar w:fldCharType="separate"/>
        </w:r>
        <w:r w:rsidR="00D41B0A">
          <w:rPr>
            <w:noProof/>
          </w:rPr>
          <w:t>20</w:t>
        </w:r>
        <w:r>
          <w:rPr>
            <w:noProof/>
          </w:rPr>
          <w:fldChar w:fldCharType="end"/>
        </w:r>
      </w:p>
    </w:sdtContent>
  </w:sdt>
  <w:p w:rsidR="00FC3844" w:rsidRDefault="00FC38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EA8" w:rsidRDefault="00183EA8" w:rsidP="00AF2C92">
      <w:r>
        <w:separator/>
      </w:r>
    </w:p>
  </w:footnote>
  <w:footnote w:type="continuationSeparator" w:id="0">
    <w:p w:rsidR="00183EA8" w:rsidRDefault="00183EA8" w:rsidP="00AF2C92">
      <w:r>
        <w:continuationSeparator/>
      </w:r>
    </w:p>
  </w:footnote>
  <w:footnote w:id="1">
    <w:p w:rsidR="00FC3844" w:rsidRPr="007C43D9" w:rsidRDefault="00FC3844" w:rsidP="00C5463D">
      <w:pPr>
        <w:pStyle w:val="FootnoteText"/>
        <w:rPr>
          <w:lang w:val="en-US"/>
        </w:rPr>
      </w:pPr>
      <w:r>
        <w:rPr>
          <w:rStyle w:val="FootnoteReference"/>
        </w:rPr>
        <w:footnoteRef/>
      </w:r>
      <w:r>
        <w:t xml:space="preserve"> </w:t>
      </w:r>
      <w:r w:rsidRPr="007C43D9">
        <w:rPr>
          <w:lang w:val="en-US"/>
        </w:rPr>
        <w:t>Corresponding Author</w:t>
      </w:r>
    </w:p>
  </w:footnote>
  <w:footnote w:id="2">
    <w:p w:rsidR="00FC3844" w:rsidRPr="00387918" w:rsidRDefault="00FC3844" w:rsidP="002911ED">
      <w:pPr>
        <w:pStyle w:val="FootnoteText"/>
        <w:spacing w:line="240" w:lineRule="auto"/>
        <w:rPr>
          <w:lang w:val="en-US"/>
        </w:rPr>
      </w:pPr>
      <w:r>
        <w:rPr>
          <w:rStyle w:val="FootnoteReference"/>
        </w:rPr>
        <w:footnoteRef/>
      </w:r>
      <w:r>
        <w:t xml:space="preserve"> </w:t>
      </w:r>
      <w:r w:rsidRPr="00F511BB">
        <w:t>Iranian golden proportion</w:t>
      </w:r>
    </w:p>
  </w:footnote>
  <w:footnote w:id="3">
    <w:p w:rsidR="00FC3844" w:rsidRPr="00387918" w:rsidRDefault="00FC3844" w:rsidP="002911ED">
      <w:pPr>
        <w:pStyle w:val="FootnoteText"/>
        <w:spacing w:line="240" w:lineRule="auto"/>
        <w:rPr>
          <w:lang w:val="en-US"/>
        </w:rPr>
      </w:pPr>
      <w:r>
        <w:rPr>
          <w:rStyle w:val="FootnoteReference"/>
        </w:rPr>
        <w:footnoteRef/>
      </w:r>
      <w:r>
        <w:t xml:space="preserve"> </w:t>
      </w:r>
      <w:r w:rsidRPr="00F511BB">
        <w:t xml:space="preserve">Iranian </w:t>
      </w:r>
      <w:r w:rsidRPr="00F511BB">
        <w:rPr>
          <w:lang w:bidi="fa-IR"/>
        </w:rPr>
        <w:t>unit of measurement</w:t>
      </w:r>
    </w:p>
  </w:footnote>
  <w:footnote w:id="4">
    <w:p w:rsidR="00C5463D" w:rsidRPr="00C5463D" w:rsidRDefault="00C5463D" w:rsidP="00C5463D">
      <w:pPr>
        <w:pStyle w:val="FootnoteText"/>
        <w:rPr>
          <w:lang w:val="en-US"/>
        </w:rPr>
      </w:pPr>
      <w:r w:rsidRPr="00C5463D">
        <w:rPr>
          <w:rStyle w:val="FootnoteReference"/>
        </w:rPr>
        <w:footnoteRef/>
      </w:r>
      <w:r w:rsidRPr="00C5463D">
        <w:t xml:space="preserve"> The factors with the occurrence of 0 or 1 in both Iranian and International articles are omitted.</w:t>
      </w:r>
    </w:p>
  </w:footnote>
  <w:footnote w:id="5">
    <w:p w:rsidR="00FC3844" w:rsidRPr="009660AE" w:rsidRDefault="00FC3844" w:rsidP="009660AE">
      <w:pPr>
        <w:pStyle w:val="FootnoteText"/>
        <w:spacing w:line="240" w:lineRule="auto"/>
        <w:rPr>
          <w:lang w:val="en-US"/>
        </w:rPr>
      </w:pPr>
      <w:r w:rsidRPr="009660AE">
        <w:rPr>
          <w:rStyle w:val="FootnoteReference"/>
        </w:rPr>
        <w:footnoteRef/>
      </w:r>
      <w:r w:rsidRPr="009660AE">
        <w:t xml:space="preserve"> </w:t>
      </w:r>
      <w:r w:rsidRPr="009660AE">
        <w:rPr>
          <w:lang w:val="en-US"/>
        </w:rPr>
        <w:t>A deep cellar in houses of southern Iranian houses which provides ventilation and helps cooling the building.</w:t>
      </w:r>
    </w:p>
  </w:footnote>
  <w:footnote w:id="6">
    <w:p w:rsidR="00FC3844" w:rsidRPr="009660AE" w:rsidRDefault="00FC3844" w:rsidP="009660AE">
      <w:pPr>
        <w:pStyle w:val="FootnoteText"/>
        <w:spacing w:line="240" w:lineRule="auto"/>
        <w:rPr>
          <w:lang w:val="en-US"/>
        </w:rPr>
      </w:pPr>
      <w:r w:rsidRPr="009660AE">
        <w:rPr>
          <w:rStyle w:val="FootnoteReference"/>
        </w:rPr>
        <w:footnoteRef/>
      </w:r>
      <w:r w:rsidRPr="009660AE">
        <w:t xml:space="preserve"> </w:t>
      </w:r>
      <w:r w:rsidRPr="009660AE">
        <w:rPr>
          <w:lang w:val="en-US"/>
        </w:rPr>
        <w:t>A chamber used by families in summer for residency</w:t>
      </w:r>
    </w:p>
  </w:footnote>
  <w:footnote w:id="7">
    <w:p w:rsidR="00FC3844" w:rsidRPr="009660AE" w:rsidRDefault="00FC3844" w:rsidP="009660AE">
      <w:pPr>
        <w:pStyle w:val="FootnoteText"/>
        <w:spacing w:line="240" w:lineRule="auto"/>
        <w:rPr>
          <w:lang w:val="en-US"/>
        </w:rPr>
      </w:pPr>
      <w:r w:rsidRPr="009660AE">
        <w:rPr>
          <w:rStyle w:val="FootnoteReference"/>
        </w:rPr>
        <w:footnoteRef/>
      </w:r>
      <w:r w:rsidRPr="009660AE">
        <w:t xml:space="preserve"> </w:t>
      </w:r>
      <w:r w:rsidRPr="009660AE">
        <w:rPr>
          <w:lang w:val="en-US"/>
        </w:rPr>
        <w:t>Kind of window that opens upwards</w:t>
      </w:r>
    </w:p>
  </w:footnote>
  <w:footnote w:id="8">
    <w:p w:rsidR="00D03734" w:rsidRPr="00DB6BCF" w:rsidRDefault="00D03734" w:rsidP="009660AE">
      <w:pPr>
        <w:pStyle w:val="FootnoteText"/>
        <w:spacing w:line="240" w:lineRule="auto"/>
        <w:rPr>
          <w:lang w:val="en-US"/>
        </w:rPr>
      </w:pPr>
      <w:r w:rsidRPr="009660AE">
        <w:rPr>
          <w:rStyle w:val="FootnoteReference"/>
        </w:rPr>
        <w:footnoteRef/>
      </w:r>
      <w:r w:rsidRPr="009660AE">
        <w:t xml:space="preserve"> The factors with the occurrence of 0 or 1 in both Iranian and International articles are omitted.</w:t>
      </w:r>
    </w:p>
  </w:footnote>
  <w:footnote w:id="9">
    <w:p w:rsidR="009660AE" w:rsidRPr="00CB6137" w:rsidRDefault="009660AE" w:rsidP="009660AE">
      <w:pPr>
        <w:pStyle w:val="FootnoteText"/>
        <w:rPr>
          <w:lang w:val="en-US"/>
        </w:rPr>
      </w:pPr>
      <w:r w:rsidRPr="00B7709C">
        <w:rPr>
          <w:rStyle w:val="FootnoteReference"/>
        </w:rPr>
        <w:footnoteRef/>
      </w:r>
      <w:r w:rsidRPr="00B7709C">
        <w:t xml:space="preserve"> The factors with the occurrence of 0 or 1 in both Iranian and International articles are omitted.</w:t>
      </w:r>
    </w:p>
  </w:footnote>
  <w:footnote w:id="10">
    <w:p w:rsidR="00B7709C" w:rsidRPr="00FF6999" w:rsidRDefault="00B7709C" w:rsidP="007C43AF">
      <w:pPr>
        <w:pStyle w:val="FootnoteText"/>
        <w:spacing w:line="240" w:lineRule="auto"/>
        <w:rPr>
          <w:lang w:val="en-US"/>
        </w:rPr>
      </w:pPr>
      <w:r w:rsidRPr="007C43AF">
        <w:rPr>
          <w:rStyle w:val="FootnoteReference"/>
        </w:rPr>
        <w:footnoteRef/>
      </w:r>
      <w:r w:rsidRPr="007C43AF">
        <w:t xml:space="preserve"> The factors with the occurrence of 0 or 1 in both Iranian and International articles are omitted.</w:t>
      </w:r>
    </w:p>
  </w:footnote>
  <w:footnote w:id="11">
    <w:p w:rsidR="007C43AF" w:rsidRPr="005304BC" w:rsidRDefault="007C43AF" w:rsidP="007C43AF">
      <w:pPr>
        <w:pStyle w:val="FootnoteText"/>
        <w:spacing w:line="240" w:lineRule="auto"/>
        <w:rPr>
          <w:rFonts w:cs="B Nazanin"/>
          <w:lang w:bidi="fa-IR"/>
        </w:rPr>
      </w:pPr>
      <w:r>
        <w:rPr>
          <w:rStyle w:val="FootnoteReference"/>
        </w:rPr>
        <w:footnoteRef/>
      </w:r>
      <w:r>
        <w:t xml:space="preserve">  Sheyda Nakhaei and Rozhan Rustaie</w:t>
      </w:r>
    </w:p>
  </w:footnote>
  <w:footnote w:id="12">
    <w:p w:rsidR="007C43AF" w:rsidRPr="00EF2B7C" w:rsidRDefault="007C43AF" w:rsidP="007C43AF">
      <w:pPr>
        <w:pStyle w:val="FootnoteText"/>
        <w:rPr>
          <w:lang w:val="en-US"/>
        </w:rPr>
      </w:pPr>
      <w:r w:rsidRPr="007C43AF">
        <w:rPr>
          <w:rStyle w:val="FootnoteReference"/>
        </w:rPr>
        <w:footnoteRef/>
      </w:r>
      <w:r w:rsidRPr="007C43AF">
        <w:t xml:space="preserve"> The factors with the occurrence of 0 or 1 in both Iranian and International articles are omitted.</w:t>
      </w:r>
    </w:p>
  </w:footnote>
  <w:footnote w:id="13">
    <w:p w:rsidR="007C43AF" w:rsidRPr="00EC5A89" w:rsidRDefault="007C43AF" w:rsidP="007C43AF">
      <w:pPr>
        <w:pStyle w:val="FootnoteText"/>
        <w:rPr>
          <w:lang w:val="en-US"/>
        </w:rPr>
      </w:pPr>
      <w:r w:rsidRPr="007C43AF">
        <w:rPr>
          <w:rStyle w:val="FootnoteReference"/>
        </w:rPr>
        <w:footnoteRef/>
      </w:r>
      <w:r w:rsidRPr="007C43AF">
        <w:t xml:space="preserve"> The factors with the occurrence of 0 or 1 in both Iranian and International articles are omitted</w:t>
      </w:r>
      <w:r w:rsidRPr="007C43AF">
        <w:rPr>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FECAFE"/>
    <w:lvl w:ilvl="0">
      <w:start w:val="1"/>
      <w:numFmt w:val="decimal"/>
      <w:lvlText w:val="%1."/>
      <w:lvlJc w:val="left"/>
      <w:pPr>
        <w:tabs>
          <w:tab w:val="num" w:pos="1492"/>
        </w:tabs>
        <w:ind w:left="1492" w:hanging="360"/>
      </w:pPr>
    </w:lvl>
  </w:abstractNum>
  <w:abstractNum w:abstractNumId="2">
    <w:nsid w:val="FFFFFF7D"/>
    <w:multiLevelType w:val="singleLevel"/>
    <w:tmpl w:val="7C74E2DA"/>
    <w:lvl w:ilvl="0">
      <w:start w:val="1"/>
      <w:numFmt w:val="decimal"/>
      <w:lvlText w:val="%1."/>
      <w:lvlJc w:val="left"/>
      <w:pPr>
        <w:tabs>
          <w:tab w:val="num" w:pos="1209"/>
        </w:tabs>
        <w:ind w:left="1209" w:hanging="360"/>
      </w:pPr>
    </w:lvl>
  </w:abstractNum>
  <w:abstractNum w:abstractNumId="3">
    <w:nsid w:val="FFFFFF7E"/>
    <w:multiLevelType w:val="singleLevel"/>
    <w:tmpl w:val="E8F228EA"/>
    <w:lvl w:ilvl="0">
      <w:start w:val="1"/>
      <w:numFmt w:val="decimal"/>
      <w:lvlText w:val="%1."/>
      <w:lvlJc w:val="left"/>
      <w:pPr>
        <w:tabs>
          <w:tab w:val="num" w:pos="926"/>
        </w:tabs>
        <w:ind w:left="926" w:hanging="360"/>
      </w:pPr>
    </w:lvl>
  </w:abstractNum>
  <w:abstractNum w:abstractNumId="4">
    <w:nsid w:val="FFFFFF7F"/>
    <w:multiLevelType w:val="singleLevel"/>
    <w:tmpl w:val="A274B1E8"/>
    <w:lvl w:ilvl="0">
      <w:start w:val="1"/>
      <w:numFmt w:val="decimal"/>
      <w:lvlText w:val="%1."/>
      <w:lvlJc w:val="left"/>
      <w:pPr>
        <w:tabs>
          <w:tab w:val="num" w:pos="643"/>
        </w:tabs>
        <w:ind w:left="643" w:hanging="360"/>
      </w:pPr>
    </w:lvl>
  </w:abstractNum>
  <w:abstractNum w:abstractNumId="5">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472E25E"/>
    <w:lvl w:ilvl="0">
      <w:start w:val="1"/>
      <w:numFmt w:val="decimal"/>
      <w:lvlText w:val="%1."/>
      <w:lvlJc w:val="left"/>
      <w:pPr>
        <w:tabs>
          <w:tab w:val="num" w:pos="360"/>
        </w:tabs>
        <w:ind w:left="360" w:hanging="360"/>
      </w:pPr>
    </w:lvl>
  </w:abstractNum>
  <w:abstractNum w:abstractNumId="1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3380946"/>
    <w:multiLevelType w:val="hybridMultilevel"/>
    <w:tmpl w:val="D11E1AFE"/>
    <w:lvl w:ilvl="0" w:tplc="02AA6FC8">
      <w:start w:val="1"/>
      <w:numFmt w:val="bullet"/>
      <w:lvlText w:val="•"/>
      <w:lvlJc w:val="left"/>
      <w:pPr>
        <w:tabs>
          <w:tab w:val="num" w:pos="720"/>
        </w:tabs>
        <w:ind w:left="720" w:hanging="360"/>
      </w:pPr>
      <w:rPr>
        <w:rFonts w:ascii="Times New Roman" w:hAnsi="Times New Roman" w:hint="default"/>
      </w:rPr>
    </w:lvl>
    <w:lvl w:ilvl="1" w:tplc="BA889562" w:tentative="1">
      <w:start w:val="1"/>
      <w:numFmt w:val="bullet"/>
      <w:lvlText w:val="•"/>
      <w:lvlJc w:val="left"/>
      <w:pPr>
        <w:tabs>
          <w:tab w:val="num" w:pos="1440"/>
        </w:tabs>
        <w:ind w:left="1440" w:hanging="360"/>
      </w:pPr>
      <w:rPr>
        <w:rFonts w:ascii="Times New Roman" w:hAnsi="Times New Roman" w:hint="default"/>
      </w:rPr>
    </w:lvl>
    <w:lvl w:ilvl="2" w:tplc="4D82CEE4" w:tentative="1">
      <w:start w:val="1"/>
      <w:numFmt w:val="bullet"/>
      <w:lvlText w:val="•"/>
      <w:lvlJc w:val="left"/>
      <w:pPr>
        <w:tabs>
          <w:tab w:val="num" w:pos="2160"/>
        </w:tabs>
        <w:ind w:left="2160" w:hanging="360"/>
      </w:pPr>
      <w:rPr>
        <w:rFonts w:ascii="Times New Roman" w:hAnsi="Times New Roman" w:hint="default"/>
      </w:rPr>
    </w:lvl>
    <w:lvl w:ilvl="3" w:tplc="BADCF88C" w:tentative="1">
      <w:start w:val="1"/>
      <w:numFmt w:val="bullet"/>
      <w:lvlText w:val="•"/>
      <w:lvlJc w:val="left"/>
      <w:pPr>
        <w:tabs>
          <w:tab w:val="num" w:pos="2880"/>
        </w:tabs>
        <w:ind w:left="2880" w:hanging="360"/>
      </w:pPr>
      <w:rPr>
        <w:rFonts w:ascii="Times New Roman" w:hAnsi="Times New Roman" w:hint="default"/>
      </w:rPr>
    </w:lvl>
    <w:lvl w:ilvl="4" w:tplc="D59A145E" w:tentative="1">
      <w:start w:val="1"/>
      <w:numFmt w:val="bullet"/>
      <w:lvlText w:val="•"/>
      <w:lvlJc w:val="left"/>
      <w:pPr>
        <w:tabs>
          <w:tab w:val="num" w:pos="3600"/>
        </w:tabs>
        <w:ind w:left="3600" w:hanging="360"/>
      </w:pPr>
      <w:rPr>
        <w:rFonts w:ascii="Times New Roman" w:hAnsi="Times New Roman" w:hint="default"/>
      </w:rPr>
    </w:lvl>
    <w:lvl w:ilvl="5" w:tplc="DD12B748" w:tentative="1">
      <w:start w:val="1"/>
      <w:numFmt w:val="bullet"/>
      <w:lvlText w:val="•"/>
      <w:lvlJc w:val="left"/>
      <w:pPr>
        <w:tabs>
          <w:tab w:val="num" w:pos="4320"/>
        </w:tabs>
        <w:ind w:left="4320" w:hanging="360"/>
      </w:pPr>
      <w:rPr>
        <w:rFonts w:ascii="Times New Roman" w:hAnsi="Times New Roman" w:hint="default"/>
      </w:rPr>
    </w:lvl>
    <w:lvl w:ilvl="6" w:tplc="E63C3198" w:tentative="1">
      <w:start w:val="1"/>
      <w:numFmt w:val="bullet"/>
      <w:lvlText w:val="•"/>
      <w:lvlJc w:val="left"/>
      <w:pPr>
        <w:tabs>
          <w:tab w:val="num" w:pos="5040"/>
        </w:tabs>
        <w:ind w:left="5040" w:hanging="360"/>
      </w:pPr>
      <w:rPr>
        <w:rFonts w:ascii="Times New Roman" w:hAnsi="Times New Roman" w:hint="default"/>
      </w:rPr>
    </w:lvl>
    <w:lvl w:ilvl="7" w:tplc="1A9665EE" w:tentative="1">
      <w:start w:val="1"/>
      <w:numFmt w:val="bullet"/>
      <w:lvlText w:val="•"/>
      <w:lvlJc w:val="left"/>
      <w:pPr>
        <w:tabs>
          <w:tab w:val="num" w:pos="5760"/>
        </w:tabs>
        <w:ind w:left="5760" w:hanging="360"/>
      </w:pPr>
      <w:rPr>
        <w:rFonts w:ascii="Times New Roman" w:hAnsi="Times New Roman" w:hint="default"/>
      </w:rPr>
    </w:lvl>
    <w:lvl w:ilvl="8" w:tplc="C8F612C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19476072"/>
    <w:multiLevelType w:val="hybridMultilevel"/>
    <w:tmpl w:val="94924A6A"/>
    <w:lvl w:ilvl="0" w:tplc="4B50A790">
      <w:start w:val="1"/>
      <w:numFmt w:val="bullet"/>
      <w:lvlText w:val="•"/>
      <w:lvlJc w:val="left"/>
      <w:pPr>
        <w:tabs>
          <w:tab w:val="num" w:pos="720"/>
        </w:tabs>
        <w:ind w:left="720" w:hanging="360"/>
      </w:pPr>
      <w:rPr>
        <w:rFonts w:ascii="Times New Roman" w:hAnsi="Times New Roman" w:hint="default"/>
      </w:rPr>
    </w:lvl>
    <w:lvl w:ilvl="1" w:tplc="AF54B674" w:tentative="1">
      <w:start w:val="1"/>
      <w:numFmt w:val="bullet"/>
      <w:lvlText w:val="•"/>
      <w:lvlJc w:val="left"/>
      <w:pPr>
        <w:tabs>
          <w:tab w:val="num" w:pos="1440"/>
        </w:tabs>
        <w:ind w:left="1440" w:hanging="360"/>
      </w:pPr>
      <w:rPr>
        <w:rFonts w:ascii="Times New Roman" w:hAnsi="Times New Roman" w:hint="default"/>
      </w:rPr>
    </w:lvl>
    <w:lvl w:ilvl="2" w:tplc="27DEC20A" w:tentative="1">
      <w:start w:val="1"/>
      <w:numFmt w:val="bullet"/>
      <w:lvlText w:val="•"/>
      <w:lvlJc w:val="left"/>
      <w:pPr>
        <w:tabs>
          <w:tab w:val="num" w:pos="2160"/>
        </w:tabs>
        <w:ind w:left="2160" w:hanging="360"/>
      </w:pPr>
      <w:rPr>
        <w:rFonts w:ascii="Times New Roman" w:hAnsi="Times New Roman" w:hint="default"/>
      </w:rPr>
    </w:lvl>
    <w:lvl w:ilvl="3" w:tplc="A0EE3922" w:tentative="1">
      <w:start w:val="1"/>
      <w:numFmt w:val="bullet"/>
      <w:lvlText w:val="•"/>
      <w:lvlJc w:val="left"/>
      <w:pPr>
        <w:tabs>
          <w:tab w:val="num" w:pos="2880"/>
        </w:tabs>
        <w:ind w:left="2880" w:hanging="360"/>
      </w:pPr>
      <w:rPr>
        <w:rFonts w:ascii="Times New Roman" w:hAnsi="Times New Roman" w:hint="default"/>
      </w:rPr>
    </w:lvl>
    <w:lvl w:ilvl="4" w:tplc="2B46A1EC" w:tentative="1">
      <w:start w:val="1"/>
      <w:numFmt w:val="bullet"/>
      <w:lvlText w:val="•"/>
      <w:lvlJc w:val="left"/>
      <w:pPr>
        <w:tabs>
          <w:tab w:val="num" w:pos="3600"/>
        </w:tabs>
        <w:ind w:left="3600" w:hanging="360"/>
      </w:pPr>
      <w:rPr>
        <w:rFonts w:ascii="Times New Roman" w:hAnsi="Times New Roman" w:hint="default"/>
      </w:rPr>
    </w:lvl>
    <w:lvl w:ilvl="5" w:tplc="74DA428E" w:tentative="1">
      <w:start w:val="1"/>
      <w:numFmt w:val="bullet"/>
      <w:lvlText w:val="•"/>
      <w:lvlJc w:val="left"/>
      <w:pPr>
        <w:tabs>
          <w:tab w:val="num" w:pos="4320"/>
        </w:tabs>
        <w:ind w:left="4320" w:hanging="360"/>
      </w:pPr>
      <w:rPr>
        <w:rFonts w:ascii="Times New Roman" w:hAnsi="Times New Roman" w:hint="default"/>
      </w:rPr>
    </w:lvl>
    <w:lvl w:ilvl="6" w:tplc="AAEA3D5E" w:tentative="1">
      <w:start w:val="1"/>
      <w:numFmt w:val="bullet"/>
      <w:lvlText w:val="•"/>
      <w:lvlJc w:val="left"/>
      <w:pPr>
        <w:tabs>
          <w:tab w:val="num" w:pos="5040"/>
        </w:tabs>
        <w:ind w:left="5040" w:hanging="360"/>
      </w:pPr>
      <w:rPr>
        <w:rFonts w:ascii="Times New Roman" w:hAnsi="Times New Roman" w:hint="default"/>
      </w:rPr>
    </w:lvl>
    <w:lvl w:ilvl="7" w:tplc="989C25D2" w:tentative="1">
      <w:start w:val="1"/>
      <w:numFmt w:val="bullet"/>
      <w:lvlText w:val="•"/>
      <w:lvlJc w:val="left"/>
      <w:pPr>
        <w:tabs>
          <w:tab w:val="num" w:pos="5760"/>
        </w:tabs>
        <w:ind w:left="5760" w:hanging="360"/>
      </w:pPr>
      <w:rPr>
        <w:rFonts w:ascii="Times New Roman" w:hAnsi="Times New Roman" w:hint="default"/>
      </w:rPr>
    </w:lvl>
    <w:lvl w:ilvl="8" w:tplc="6656857A" w:tentative="1">
      <w:start w:val="1"/>
      <w:numFmt w:val="bullet"/>
      <w:lvlText w:val="•"/>
      <w:lvlJc w:val="left"/>
      <w:pPr>
        <w:tabs>
          <w:tab w:val="num" w:pos="6480"/>
        </w:tabs>
        <w:ind w:left="6480" w:hanging="360"/>
      </w:pPr>
      <w:rPr>
        <w:rFonts w:ascii="Times New Roman" w:hAnsi="Times New Roman" w:hint="default"/>
      </w:rPr>
    </w:lvl>
  </w:abstractNum>
  <w:abstractNum w:abstractNumId="15">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35C62FEE"/>
    <w:multiLevelType w:val="hybridMultilevel"/>
    <w:tmpl w:val="F92A6858"/>
    <w:lvl w:ilvl="0" w:tplc="8124E928">
      <w:start w:val="1"/>
      <w:numFmt w:val="bullet"/>
      <w:lvlText w:val="•"/>
      <w:lvlJc w:val="left"/>
      <w:pPr>
        <w:tabs>
          <w:tab w:val="num" w:pos="720"/>
        </w:tabs>
        <w:ind w:left="720" w:hanging="360"/>
      </w:pPr>
      <w:rPr>
        <w:rFonts w:ascii="Times New Roman" w:hAnsi="Times New Roman" w:hint="default"/>
      </w:rPr>
    </w:lvl>
    <w:lvl w:ilvl="1" w:tplc="2B32691C" w:tentative="1">
      <w:start w:val="1"/>
      <w:numFmt w:val="bullet"/>
      <w:lvlText w:val="•"/>
      <w:lvlJc w:val="left"/>
      <w:pPr>
        <w:tabs>
          <w:tab w:val="num" w:pos="1440"/>
        </w:tabs>
        <w:ind w:left="1440" w:hanging="360"/>
      </w:pPr>
      <w:rPr>
        <w:rFonts w:ascii="Times New Roman" w:hAnsi="Times New Roman" w:hint="default"/>
      </w:rPr>
    </w:lvl>
    <w:lvl w:ilvl="2" w:tplc="D87E1906" w:tentative="1">
      <w:start w:val="1"/>
      <w:numFmt w:val="bullet"/>
      <w:lvlText w:val="•"/>
      <w:lvlJc w:val="left"/>
      <w:pPr>
        <w:tabs>
          <w:tab w:val="num" w:pos="2160"/>
        </w:tabs>
        <w:ind w:left="2160" w:hanging="360"/>
      </w:pPr>
      <w:rPr>
        <w:rFonts w:ascii="Times New Roman" w:hAnsi="Times New Roman" w:hint="default"/>
      </w:rPr>
    </w:lvl>
    <w:lvl w:ilvl="3" w:tplc="7F82FB1C" w:tentative="1">
      <w:start w:val="1"/>
      <w:numFmt w:val="bullet"/>
      <w:lvlText w:val="•"/>
      <w:lvlJc w:val="left"/>
      <w:pPr>
        <w:tabs>
          <w:tab w:val="num" w:pos="2880"/>
        </w:tabs>
        <w:ind w:left="2880" w:hanging="360"/>
      </w:pPr>
      <w:rPr>
        <w:rFonts w:ascii="Times New Roman" w:hAnsi="Times New Roman" w:hint="default"/>
      </w:rPr>
    </w:lvl>
    <w:lvl w:ilvl="4" w:tplc="FEC8C6BC" w:tentative="1">
      <w:start w:val="1"/>
      <w:numFmt w:val="bullet"/>
      <w:lvlText w:val="•"/>
      <w:lvlJc w:val="left"/>
      <w:pPr>
        <w:tabs>
          <w:tab w:val="num" w:pos="3600"/>
        </w:tabs>
        <w:ind w:left="3600" w:hanging="360"/>
      </w:pPr>
      <w:rPr>
        <w:rFonts w:ascii="Times New Roman" w:hAnsi="Times New Roman" w:hint="default"/>
      </w:rPr>
    </w:lvl>
    <w:lvl w:ilvl="5" w:tplc="8E50F74C" w:tentative="1">
      <w:start w:val="1"/>
      <w:numFmt w:val="bullet"/>
      <w:lvlText w:val="•"/>
      <w:lvlJc w:val="left"/>
      <w:pPr>
        <w:tabs>
          <w:tab w:val="num" w:pos="4320"/>
        </w:tabs>
        <w:ind w:left="4320" w:hanging="360"/>
      </w:pPr>
      <w:rPr>
        <w:rFonts w:ascii="Times New Roman" w:hAnsi="Times New Roman" w:hint="default"/>
      </w:rPr>
    </w:lvl>
    <w:lvl w:ilvl="6" w:tplc="DFB85A82" w:tentative="1">
      <w:start w:val="1"/>
      <w:numFmt w:val="bullet"/>
      <w:lvlText w:val="•"/>
      <w:lvlJc w:val="left"/>
      <w:pPr>
        <w:tabs>
          <w:tab w:val="num" w:pos="5040"/>
        </w:tabs>
        <w:ind w:left="5040" w:hanging="360"/>
      </w:pPr>
      <w:rPr>
        <w:rFonts w:ascii="Times New Roman" w:hAnsi="Times New Roman" w:hint="default"/>
      </w:rPr>
    </w:lvl>
    <w:lvl w:ilvl="7" w:tplc="C4DCD1C2" w:tentative="1">
      <w:start w:val="1"/>
      <w:numFmt w:val="bullet"/>
      <w:lvlText w:val="•"/>
      <w:lvlJc w:val="left"/>
      <w:pPr>
        <w:tabs>
          <w:tab w:val="num" w:pos="5760"/>
        </w:tabs>
        <w:ind w:left="5760" w:hanging="360"/>
      </w:pPr>
      <w:rPr>
        <w:rFonts w:ascii="Times New Roman" w:hAnsi="Times New Roman" w:hint="default"/>
      </w:rPr>
    </w:lvl>
    <w:lvl w:ilvl="8" w:tplc="974A8FE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48692F19"/>
    <w:multiLevelType w:val="hybridMultilevel"/>
    <w:tmpl w:val="3648C77A"/>
    <w:lvl w:ilvl="0" w:tplc="0F72D664">
      <w:start w:val="1"/>
      <w:numFmt w:val="bullet"/>
      <w:lvlText w:val="•"/>
      <w:lvlJc w:val="left"/>
      <w:pPr>
        <w:tabs>
          <w:tab w:val="num" w:pos="720"/>
        </w:tabs>
        <w:ind w:left="720" w:hanging="360"/>
      </w:pPr>
      <w:rPr>
        <w:rFonts w:ascii="Times New Roman" w:hAnsi="Times New Roman" w:hint="default"/>
      </w:rPr>
    </w:lvl>
    <w:lvl w:ilvl="1" w:tplc="751E9E6C" w:tentative="1">
      <w:start w:val="1"/>
      <w:numFmt w:val="bullet"/>
      <w:lvlText w:val="•"/>
      <w:lvlJc w:val="left"/>
      <w:pPr>
        <w:tabs>
          <w:tab w:val="num" w:pos="1440"/>
        </w:tabs>
        <w:ind w:left="1440" w:hanging="360"/>
      </w:pPr>
      <w:rPr>
        <w:rFonts w:ascii="Times New Roman" w:hAnsi="Times New Roman" w:hint="default"/>
      </w:rPr>
    </w:lvl>
    <w:lvl w:ilvl="2" w:tplc="3B50C3F4" w:tentative="1">
      <w:start w:val="1"/>
      <w:numFmt w:val="bullet"/>
      <w:lvlText w:val="•"/>
      <w:lvlJc w:val="left"/>
      <w:pPr>
        <w:tabs>
          <w:tab w:val="num" w:pos="2160"/>
        </w:tabs>
        <w:ind w:left="2160" w:hanging="360"/>
      </w:pPr>
      <w:rPr>
        <w:rFonts w:ascii="Times New Roman" w:hAnsi="Times New Roman" w:hint="default"/>
      </w:rPr>
    </w:lvl>
    <w:lvl w:ilvl="3" w:tplc="DA1AA008" w:tentative="1">
      <w:start w:val="1"/>
      <w:numFmt w:val="bullet"/>
      <w:lvlText w:val="•"/>
      <w:lvlJc w:val="left"/>
      <w:pPr>
        <w:tabs>
          <w:tab w:val="num" w:pos="2880"/>
        </w:tabs>
        <w:ind w:left="2880" w:hanging="360"/>
      </w:pPr>
      <w:rPr>
        <w:rFonts w:ascii="Times New Roman" w:hAnsi="Times New Roman" w:hint="default"/>
      </w:rPr>
    </w:lvl>
    <w:lvl w:ilvl="4" w:tplc="DCD0A75E" w:tentative="1">
      <w:start w:val="1"/>
      <w:numFmt w:val="bullet"/>
      <w:lvlText w:val="•"/>
      <w:lvlJc w:val="left"/>
      <w:pPr>
        <w:tabs>
          <w:tab w:val="num" w:pos="3600"/>
        </w:tabs>
        <w:ind w:left="3600" w:hanging="360"/>
      </w:pPr>
      <w:rPr>
        <w:rFonts w:ascii="Times New Roman" w:hAnsi="Times New Roman" w:hint="default"/>
      </w:rPr>
    </w:lvl>
    <w:lvl w:ilvl="5" w:tplc="37EE2100" w:tentative="1">
      <w:start w:val="1"/>
      <w:numFmt w:val="bullet"/>
      <w:lvlText w:val="•"/>
      <w:lvlJc w:val="left"/>
      <w:pPr>
        <w:tabs>
          <w:tab w:val="num" w:pos="4320"/>
        </w:tabs>
        <w:ind w:left="4320" w:hanging="360"/>
      </w:pPr>
      <w:rPr>
        <w:rFonts w:ascii="Times New Roman" w:hAnsi="Times New Roman" w:hint="default"/>
      </w:rPr>
    </w:lvl>
    <w:lvl w:ilvl="6" w:tplc="828A824E" w:tentative="1">
      <w:start w:val="1"/>
      <w:numFmt w:val="bullet"/>
      <w:lvlText w:val="•"/>
      <w:lvlJc w:val="left"/>
      <w:pPr>
        <w:tabs>
          <w:tab w:val="num" w:pos="5040"/>
        </w:tabs>
        <w:ind w:left="5040" w:hanging="360"/>
      </w:pPr>
      <w:rPr>
        <w:rFonts w:ascii="Times New Roman" w:hAnsi="Times New Roman" w:hint="default"/>
      </w:rPr>
    </w:lvl>
    <w:lvl w:ilvl="7" w:tplc="55786102" w:tentative="1">
      <w:start w:val="1"/>
      <w:numFmt w:val="bullet"/>
      <w:lvlText w:val="•"/>
      <w:lvlJc w:val="left"/>
      <w:pPr>
        <w:tabs>
          <w:tab w:val="num" w:pos="5760"/>
        </w:tabs>
        <w:ind w:left="5760" w:hanging="360"/>
      </w:pPr>
      <w:rPr>
        <w:rFonts w:ascii="Times New Roman" w:hAnsi="Times New Roman" w:hint="default"/>
      </w:rPr>
    </w:lvl>
    <w:lvl w:ilvl="8" w:tplc="FCCE132C" w:tentative="1">
      <w:start w:val="1"/>
      <w:numFmt w:val="bullet"/>
      <w:lvlText w:val="•"/>
      <w:lvlJc w:val="left"/>
      <w:pPr>
        <w:tabs>
          <w:tab w:val="num" w:pos="6480"/>
        </w:tabs>
        <w:ind w:left="6480" w:hanging="360"/>
      </w:pPr>
      <w:rPr>
        <w:rFonts w:ascii="Times New Roman" w:hAnsi="Times New Roman" w:hint="default"/>
      </w:rPr>
    </w:lvl>
  </w:abstractNum>
  <w:abstractNum w:abstractNumId="23">
    <w:nsid w:val="4EF7197B"/>
    <w:multiLevelType w:val="hybridMultilevel"/>
    <w:tmpl w:val="63C87462"/>
    <w:lvl w:ilvl="0" w:tplc="64D82D48">
      <w:start w:val="1"/>
      <w:numFmt w:val="bullet"/>
      <w:lvlText w:val="•"/>
      <w:lvlJc w:val="left"/>
      <w:pPr>
        <w:tabs>
          <w:tab w:val="num" w:pos="720"/>
        </w:tabs>
        <w:ind w:left="720" w:hanging="360"/>
      </w:pPr>
      <w:rPr>
        <w:rFonts w:ascii="Times New Roman" w:hAnsi="Times New Roman" w:hint="default"/>
      </w:rPr>
    </w:lvl>
    <w:lvl w:ilvl="1" w:tplc="A47E0EF6" w:tentative="1">
      <w:start w:val="1"/>
      <w:numFmt w:val="bullet"/>
      <w:lvlText w:val="•"/>
      <w:lvlJc w:val="left"/>
      <w:pPr>
        <w:tabs>
          <w:tab w:val="num" w:pos="1440"/>
        </w:tabs>
        <w:ind w:left="1440" w:hanging="360"/>
      </w:pPr>
      <w:rPr>
        <w:rFonts w:ascii="Times New Roman" w:hAnsi="Times New Roman" w:hint="default"/>
      </w:rPr>
    </w:lvl>
    <w:lvl w:ilvl="2" w:tplc="36D03A46" w:tentative="1">
      <w:start w:val="1"/>
      <w:numFmt w:val="bullet"/>
      <w:lvlText w:val="•"/>
      <w:lvlJc w:val="left"/>
      <w:pPr>
        <w:tabs>
          <w:tab w:val="num" w:pos="2160"/>
        </w:tabs>
        <w:ind w:left="2160" w:hanging="360"/>
      </w:pPr>
      <w:rPr>
        <w:rFonts w:ascii="Times New Roman" w:hAnsi="Times New Roman" w:hint="default"/>
      </w:rPr>
    </w:lvl>
    <w:lvl w:ilvl="3" w:tplc="1F3ED144" w:tentative="1">
      <w:start w:val="1"/>
      <w:numFmt w:val="bullet"/>
      <w:lvlText w:val="•"/>
      <w:lvlJc w:val="left"/>
      <w:pPr>
        <w:tabs>
          <w:tab w:val="num" w:pos="2880"/>
        </w:tabs>
        <w:ind w:left="2880" w:hanging="360"/>
      </w:pPr>
      <w:rPr>
        <w:rFonts w:ascii="Times New Roman" w:hAnsi="Times New Roman" w:hint="default"/>
      </w:rPr>
    </w:lvl>
    <w:lvl w:ilvl="4" w:tplc="B9940AD4" w:tentative="1">
      <w:start w:val="1"/>
      <w:numFmt w:val="bullet"/>
      <w:lvlText w:val="•"/>
      <w:lvlJc w:val="left"/>
      <w:pPr>
        <w:tabs>
          <w:tab w:val="num" w:pos="3600"/>
        </w:tabs>
        <w:ind w:left="3600" w:hanging="360"/>
      </w:pPr>
      <w:rPr>
        <w:rFonts w:ascii="Times New Roman" w:hAnsi="Times New Roman" w:hint="default"/>
      </w:rPr>
    </w:lvl>
    <w:lvl w:ilvl="5" w:tplc="E0DE4D72" w:tentative="1">
      <w:start w:val="1"/>
      <w:numFmt w:val="bullet"/>
      <w:lvlText w:val="•"/>
      <w:lvlJc w:val="left"/>
      <w:pPr>
        <w:tabs>
          <w:tab w:val="num" w:pos="4320"/>
        </w:tabs>
        <w:ind w:left="4320" w:hanging="360"/>
      </w:pPr>
      <w:rPr>
        <w:rFonts w:ascii="Times New Roman" w:hAnsi="Times New Roman" w:hint="default"/>
      </w:rPr>
    </w:lvl>
    <w:lvl w:ilvl="6" w:tplc="5D8C43D2" w:tentative="1">
      <w:start w:val="1"/>
      <w:numFmt w:val="bullet"/>
      <w:lvlText w:val="•"/>
      <w:lvlJc w:val="left"/>
      <w:pPr>
        <w:tabs>
          <w:tab w:val="num" w:pos="5040"/>
        </w:tabs>
        <w:ind w:left="5040" w:hanging="360"/>
      </w:pPr>
      <w:rPr>
        <w:rFonts w:ascii="Times New Roman" w:hAnsi="Times New Roman" w:hint="default"/>
      </w:rPr>
    </w:lvl>
    <w:lvl w:ilvl="7" w:tplc="345E4CBC" w:tentative="1">
      <w:start w:val="1"/>
      <w:numFmt w:val="bullet"/>
      <w:lvlText w:val="•"/>
      <w:lvlJc w:val="left"/>
      <w:pPr>
        <w:tabs>
          <w:tab w:val="num" w:pos="5760"/>
        </w:tabs>
        <w:ind w:left="5760" w:hanging="360"/>
      </w:pPr>
      <w:rPr>
        <w:rFonts w:ascii="Times New Roman" w:hAnsi="Times New Roman" w:hint="default"/>
      </w:rPr>
    </w:lvl>
    <w:lvl w:ilvl="8" w:tplc="4FE20E3C" w:tentative="1">
      <w:start w:val="1"/>
      <w:numFmt w:val="bullet"/>
      <w:lvlText w:val="•"/>
      <w:lvlJc w:val="left"/>
      <w:pPr>
        <w:tabs>
          <w:tab w:val="num" w:pos="6480"/>
        </w:tabs>
        <w:ind w:left="6480" w:hanging="360"/>
      </w:pPr>
      <w:rPr>
        <w:rFonts w:ascii="Times New Roman" w:hAnsi="Times New Roman" w:hint="default"/>
      </w:rPr>
    </w:lvl>
  </w:abstractNum>
  <w:abstractNum w:abstractNumId="24">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8D07587"/>
    <w:multiLevelType w:val="hybridMultilevel"/>
    <w:tmpl w:val="F85459D2"/>
    <w:lvl w:ilvl="0" w:tplc="527CCB02">
      <w:start w:val="1"/>
      <w:numFmt w:val="bullet"/>
      <w:lvlText w:val="•"/>
      <w:lvlJc w:val="left"/>
      <w:pPr>
        <w:tabs>
          <w:tab w:val="num" w:pos="720"/>
        </w:tabs>
        <w:ind w:left="720" w:hanging="360"/>
      </w:pPr>
      <w:rPr>
        <w:rFonts w:ascii="Times New Roman" w:hAnsi="Times New Roman" w:hint="default"/>
      </w:rPr>
    </w:lvl>
    <w:lvl w:ilvl="1" w:tplc="9BF0C518" w:tentative="1">
      <w:start w:val="1"/>
      <w:numFmt w:val="bullet"/>
      <w:lvlText w:val="•"/>
      <w:lvlJc w:val="left"/>
      <w:pPr>
        <w:tabs>
          <w:tab w:val="num" w:pos="1440"/>
        </w:tabs>
        <w:ind w:left="1440" w:hanging="360"/>
      </w:pPr>
      <w:rPr>
        <w:rFonts w:ascii="Times New Roman" w:hAnsi="Times New Roman" w:hint="default"/>
      </w:rPr>
    </w:lvl>
    <w:lvl w:ilvl="2" w:tplc="A0A66E56" w:tentative="1">
      <w:start w:val="1"/>
      <w:numFmt w:val="bullet"/>
      <w:lvlText w:val="•"/>
      <w:lvlJc w:val="left"/>
      <w:pPr>
        <w:tabs>
          <w:tab w:val="num" w:pos="2160"/>
        </w:tabs>
        <w:ind w:left="2160" w:hanging="360"/>
      </w:pPr>
      <w:rPr>
        <w:rFonts w:ascii="Times New Roman" w:hAnsi="Times New Roman" w:hint="default"/>
      </w:rPr>
    </w:lvl>
    <w:lvl w:ilvl="3" w:tplc="72BAC102" w:tentative="1">
      <w:start w:val="1"/>
      <w:numFmt w:val="bullet"/>
      <w:lvlText w:val="•"/>
      <w:lvlJc w:val="left"/>
      <w:pPr>
        <w:tabs>
          <w:tab w:val="num" w:pos="2880"/>
        </w:tabs>
        <w:ind w:left="2880" w:hanging="360"/>
      </w:pPr>
      <w:rPr>
        <w:rFonts w:ascii="Times New Roman" w:hAnsi="Times New Roman" w:hint="default"/>
      </w:rPr>
    </w:lvl>
    <w:lvl w:ilvl="4" w:tplc="D9DEBDB4" w:tentative="1">
      <w:start w:val="1"/>
      <w:numFmt w:val="bullet"/>
      <w:lvlText w:val="•"/>
      <w:lvlJc w:val="left"/>
      <w:pPr>
        <w:tabs>
          <w:tab w:val="num" w:pos="3600"/>
        </w:tabs>
        <w:ind w:left="3600" w:hanging="360"/>
      </w:pPr>
      <w:rPr>
        <w:rFonts w:ascii="Times New Roman" w:hAnsi="Times New Roman" w:hint="default"/>
      </w:rPr>
    </w:lvl>
    <w:lvl w:ilvl="5" w:tplc="49467556" w:tentative="1">
      <w:start w:val="1"/>
      <w:numFmt w:val="bullet"/>
      <w:lvlText w:val="•"/>
      <w:lvlJc w:val="left"/>
      <w:pPr>
        <w:tabs>
          <w:tab w:val="num" w:pos="4320"/>
        </w:tabs>
        <w:ind w:left="4320" w:hanging="360"/>
      </w:pPr>
      <w:rPr>
        <w:rFonts w:ascii="Times New Roman" w:hAnsi="Times New Roman" w:hint="default"/>
      </w:rPr>
    </w:lvl>
    <w:lvl w:ilvl="6" w:tplc="FC4694F0" w:tentative="1">
      <w:start w:val="1"/>
      <w:numFmt w:val="bullet"/>
      <w:lvlText w:val="•"/>
      <w:lvlJc w:val="left"/>
      <w:pPr>
        <w:tabs>
          <w:tab w:val="num" w:pos="5040"/>
        </w:tabs>
        <w:ind w:left="5040" w:hanging="360"/>
      </w:pPr>
      <w:rPr>
        <w:rFonts w:ascii="Times New Roman" w:hAnsi="Times New Roman" w:hint="default"/>
      </w:rPr>
    </w:lvl>
    <w:lvl w:ilvl="7" w:tplc="1E92414A" w:tentative="1">
      <w:start w:val="1"/>
      <w:numFmt w:val="bullet"/>
      <w:lvlText w:val="•"/>
      <w:lvlJc w:val="left"/>
      <w:pPr>
        <w:tabs>
          <w:tab w:val="num" w:pos="5760"/>
        </w:tabs>
        <w:ind w:left="5760" w:hanging="360"/>
      </w:pPr>
      <w:rPr>
        <w:rFonts w:ascii="Times New Roman" w:hAnsi="Times New Roman" w:hint="default"/>
      </w:rPr>
    </w:lvl>
    <w:lvl w:ilvl="8" w:tplc="46E29884"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B9077AA"/>
    <w:multiLevelType w:val="hybridMultilevel"/>
    <w:tmpl w:val="BB2E7C2E"/>
    <w:lvl w:ilvl="0" w:tplc="10364FF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8BC1B7B"/>
    <w:multiLevelType w:val="hybridMultilevel"/>
    <w:tmpl w:val="E71C9AF6"/>
    <w:lvl w:ilvl="0" w:tplc="6A722C2C">
      <w:start w:val="1"/>
      <w:numFmt w:val="bullet"/>
      <w:lvlText w:val="•"/>
      <w:lvlJc w:val="left"/>
      <w:pPr>
        <w:tabs>
          <w:tab w:val="num" w:pos="720"/>
        </w:tabs>
        <w:ind w:left="720" w:hanging="360"/>
      </w:pPr>
      <w:rPr>
        <w:rFonts w:ascii="Times New Roman" w:hAnsi="Times New Roman" w:hint="default"/>
      </w:rPr>
    </w:lvl>
    <w:lvl w:ilvl="1" w:tplc="EFFA0458" w:tentative="1">
      <w:start w:val="1"/>
      <w:numFmt w:val="bullet"/>
      <w:lvlText w:val="•"/>
      <w:lvlJc w:val="left"/>
      <w:pPr>
        <w:tabs>
          <w:tab w:val="num" w:pos="1440"/>
        </w:tabs>
        <w:ind w:left="1440" w:hanging="360"/>
      </w:pPr>
      <w:rPr>
        <w:rFonts w:ascii="Times New Roman" w:hAnsi="Times New Roman" w:hint="default"/>
      </w:rPr>
    </w:lvl>
    <w:lvl w:ilvl="2" w:tplc="17F44630" w:tentative="1">
      <w:start w:val="1"/>
      <w:numFmt w:val="bullet"/>
      <w:lvlText w:val="•"/>
      <w:lvlJc w:val="left"/>
      <w:pPr>
        <w:tabs>
          <w:tab w:val="num" w:pos="2160"/>
        </w:tabs>
        <w:ind w:left="2160" w:hanging="360"/>
      </w:pPr>
      <w:rPr>
        <w:rFonts w:ascii="Times New Roman" w:hAnsi="Times New Roman" w:hint="default"/>
      </w:rPr>
    </w:lvl>
    <w:lvl w:ilvl="3" w:tplc="30603092" w:tentative="1">
      <w:start w:val="1"/>
      <w:numFmt w:val="bullet"/>
      <w:lvlText w:val="•"/>
      <w:lvlJc w:val="left"/>
      <w:pPr>
        <w:tabs>
          <w:tab w:val="num" w:pos="2880"/>
        </w:tabs>
        <w:ind w:left="2880" w:hanging="360"/>
      </w:pPr>
      <w:rPr>
        <w:rFonts w:ascii="Times New Roman" w:hAnsi="Times New Roman" w:hint="default"/>
      </w:rPr>
    </w:lvl>
    <w:lvl w:ilvl="4" w:tplc="B46AFE10" w:tentative="1">
      <w:start w:val="1"/>
      <w:numFmt w:val="bullet"/>
      <w:lvlText w:val="•"/>
      <w:lvlJc w:val="left"/>
      <w:pPr>
        <w:tabs>
          <w:tab w:val="num" w:pos="3600"/>
        </w:tabs>
        <w:ind w:left="3600" w:hanging="360"/>
      </w:pPr>
      <w:rPr>
        <w:rFonts w:ascii="Times New Roman" w:hAnsi="Times New Roman" w:hint="default"/>
      </w:rPr>
    </w:lvl>
    <w:lvl w:ilvl="5" w:tplc="7164A578" w:tentative="1">
      <w:start w:val="1"/>
      <w:numFmt w:val="bullet"/>
      <w:lvlText w:val="•"/>
      <w:lvlJc w:val="left"/>
      <w:pPr>
        <w:tabs>
          <w:tab w:val="num" w:pos="4320"/>
        </w:tabs>
        <w:ind w:left="4320" w:hanging="360"/>
      </w:pPr>
      <w:rPr>
        <w:rFonts w:ascii="Times New Roman" w:hAnsi="Times New Roman" w:hint="default"/>
      </w:rPr>
    </w:lvl>
    <w:lvl w:ilvl="6" w:tplc="98C2B8BE" w:tentative="1">
      <w:start w:val="1"/>
      <w:numFmt w:val="bullet"/>
      <w:lvlText w:val="•"/>
      <w:lvlJc w:val="left"/>
      <w:pPr>
        <w:tabs>
          <w:tab w:val="num" w:pos="5040"/>
        </w:tabs>
        <w:ind w:left="5040" w:hanging="360"/>
      </w:pPr>
      <w:rPr>
        <w:rFonts w:ascii="Times New Roman" w:hAnsi="Times New Roman" w:hint="default"/>
      </w:rPr>
    </w:lvl>
    <w:lvl w:ilvl="7" w:tplc="BF5EF59E" w:tentative="1">
      <w:start w:val="1"/>
      <w:numFmt w:val="bullet"/>
      <w:lvlText w:val="•"/>
      <w:lvlJc w:val="left"/>
      <w:pPr>
        <w:tabs>
          <w:tab w:val="num" w:pos="5760"/>
        </w:tabs>
        <w:ind w:left="5760" w:hanging="360"/>
      </w:pPr>
      <w:rPr>
        <w:rFonts w:ascii="Times New Roman" w:hAnsi="Times New Roman" w:hint="default"/>
      </w:rPr>
    </w:lvl>
    <w:lvl w:ilvl="8" w:tplc="2E8039EE" w:tentative="1">
      <w:start w:val="1"/>
      <w:numFmt w:val="bullet"/>
      <w:lvlText w:val="•"/>
      <w:lvlJc w:val="left"/>
      <w:pPr>
        <w:tabs>
          <w:tab w:val="num" w:pos="6480"/>
        </w:tabs>
        <w:ind w:left="6480" w:hanging="360"/>
      </w:pPr>
      <w:rPr>
        <w:rFonts w:ascii="Times New Roman" w:hAnsi="Times New Roman" w:hint="default"/>
      </w:rPr>
    </w:lvl>
  </w:abstractNum>
  <w:abstractNum w:abstractNumId="32">
    <w:nsid w:val="7FE95F2F"/>
    <w:multiLevelType w:val="hybridMultilevel"/>
    <w:tmpl w:val="D5B07380"/>
    <w:lvl w:ilvl="0" w:tplc="5ED4815E">
      <w:start w:val="1"/>
      <w:numFmt w:val="bullet"/>
      <w:lvlText w:val="•"/>
      <w:lvlJc w:val="left"/>
      <w:pPr>
        <w:tabs>
          <w:tab w:val="num" w:pos="720"/>
        </w:tabs>
        <w:ind w:left="720" w:hanging="360"/>
      </w:pPr>
      <w:rPr>
        <w:rFonts w:ascii="Times New Roman" w:hAnsi="Times New Roman" w:hint="default"/>
      </w:rPr>
    </w:lvl>
    <w:lvl w:ilvl="1" w:tplc="5700F356" w:tentative="1">
      <w:start w:val="1"/>
      <w:numFmt w:val="bullet"/>
      <w:lvlText w:val="•"/>
      <w:lvlJc w:val="left"/>
      <w:pPr>
        <w:tabs>
          <w:tab w:val="num" w:pos="1440"/>
        </w:tabs>
        <w:ind w:left="1440" w:hanging="360"/>
      </w:pPr>
      <w:rPr>
        <w:rFonts w:ascii="Times New Roman" w:hAnsi="Times New Roman" w:hint="default"/>
      </w:rPr>
    </w:lvl>
    <w:lvl w:ilvl="2" w:tplc="E000FA2E" w:tentative="1">
      <w:start w:val="1"/>
      <w:numFmt w:val="bullet"/>
      <w:lvlText w:val="•"/>
      <w:lvlJc w:val="left"/>
      <w:pPr>
        <w:tabs>
          <w:tab w:val="num" w:pos="2160"/>
        </w:tabs>
        <w:ind w:left="2160" w:hanging="360"/>
      </w:pPr>
      <w:rPr>
        <w:rFonts w:ascii="Times New Roman" w:hAnsi="Times New Roman" w:hint="default"/>
      </w:rPr>
    </w:lvl>
    <w:lvl w:ilvl="3" w:tplc="676C3848" w:tentative="1">
      <w:start w:val="1"/>
      <w:numFmt w:val="bullet"/>
      <w:lvlText w:val="•"/>
      <w:lvlJc w:val="left"/>
      <w:pPr>
        <w:tabs>
          <w:tab w:val="num" w:pos="2880"/>
        </w:tabs>
        <w:ind w:left="2880" w:hanging="360"/>
      </w:pPr>
      <w:rPr>
        <w:rFonts w:ascii="Times New Roman" w:hAnsi="Times New Roman" w:hint="default"/>
      </w:rPr>
    </w:lvl>
    <w:lvl w:ilvl="4" w:tplc="7EF28320" w:tentative="1">
      <w:start w:val="1"/>
      <w:numFmt w:val="bullet"/>
      <w:lvlText w:val="•"/>
      <w:lvlJc w:val="left"/>
      <w:pPr>
        <w:tabs>
          <w:tab w:val="num" w:pos="3600"/>
        </w:tabs>
        <w:ind w:left="3600" w:hanging="360"/>
      </w:pPr>
      <w:rPr>
        <w:rFonts w:ascii="Times New Roman" w:hAnsi="Times New Roman" w:hint="default"/>
      </w:rPr>
    </w:lvl>
    <w:lvl w:ilvl="5" w:tplc="ED0EE7FE" w:tentative="1">
      <w:start w:val="1"/>
      <w:numFmt w:val="bullet"/>
      <w:lvlText w:val="•"/>
      <w:lvlJc w:val="left"/>
      <w:pPr>
        <w:tabs>
          <w:tab w:val="num" w:pos="4320"/>
        </w:tabs>
        <w:ind w:left="4320" w:hanging="360"/>
      </w:pPr>
      <w:rPr>
        <w:rFonts w:ascii="Times New Roman" w:hAnsi="Times New Roman" w:hint="default"/>
      </w:rPr>
    </w:lvl>
    <w:lvl w:ilvl="6" w:tplc="8EEA261A" w:tentative="1">
      <w:start w:val="1"/>
      <w:numFmt w:val="bullet"/>
      <w:lvlText w:val="•"/>
      <w:lvlJc w:val="left"/>
      <w:pPr>
        <w:tabs>
          <w:tab w:val="num" w:pos="5040"/>
        </w:tabs>
        <w:ind w:left="5040" w:hanging="360"/>
      </w:pPr>
      <w:rPr>
        <w:rFonts w:ascii="Times New Roman" w:hAnsi="Times New Roman" w:hint="default"/>
      </w:rPr>
    </w:lvl>
    <w:lvl w:ilvl="7" w:tplc="402C4302" w:tentative="1">
      <w:start w:val="1"/>
      <w:numFmt w:val="bullet"/>
      <w:lvlText w:val="•"/>
      <w:lvlJc w:val="left"/>
      <w:pPr>
        <w:tabs>
          <w:tab w:val="num" w:pos="5760"/>
        </w:tabs>
        <w:ind w:left="5760" w:hanging="360"/>
      </w:pPr>
      <w:rPr>
        <w:rFonts w:ascii="Times New Roman" w:hAnsi="Times New Roman" w:hint="default"/>
      </w:rPr>
    </w:lvl>
    <w:lvl w:ilvl="8" w:tplc="36C0B704" w:tentative="1">
      <w:start w:val="1"/>
      <w:numFmt w:val="bullet"/>
      <w:lvlText w:val="•"/>
      <w:lvlJc w:val="left"/>
      <w:pPr>
        <w:tabs>
          <w:tab w:val="num" w:pos="6480"/>
        </w:tabs>
        <w:ind w:left="6480" w:hanging="360"/>
      </w:pPr>
      <w:rPr>
        <w:rFonts w:ascii="Times New Roman" w:hAnsi="Times New Roman" w:hint="default"/>
      </w:rPr>
    </w:lvl>
  </w:abstractNum>
  <w:num w:numId="1">
    <w:abstractNumId w:val="17"/>
  </w:num>
  <w:num w:numId="2">
    <w:abstractNumId w:val="24"/>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0"/>
  </w:num>
  <w:num w:numId="14">
    <w:abstractNumId w:val="27"/>
  </w:num>
  <w:num w:numId="15">
    <w:abstractNumId w:val="16"/>
  </w:num>
  <w:num w:numId="16">
    <w:abstractNumId w:val="19"/>
  </w:num>
  <w:num w:numId="17">
    <w:abstractNumId w:val="11"/>
  </w:num>
  <w:num w:numId="18">
    <w:abstractNumId w:val="0"/>
  </w:num>
  <w:num w:numId="19">
    <w:abstractNumId w:val="12"/>
  </w:num>
  <w:num w:numId="20">
    <w:abstractNumId w:val="27"/>
  </w:num>
  <w:num w:numId="21">
    <w:abstractNumId w:val="27"/>
  </w:num>
  <w:num w:numId="22">
    <w:abstractNumId w:val="27"/>
  </w:num>
  <w:num w:numId="23">
    <w:abstractNumId w:val="27"/>
  </w:num>
  <w:num w:numId="24">
    <w:abstractNumId w:val="20"/>
  </w:num>
  <w:num w:numId="25">
    <w:abstractNumId w:val="21"/>
  </w:num>
  <w:num w:numId="26">
    <w:abstractNumId w:val="28"/>
  </w:num>
  <w:num w:numId="27">
    <w:abstractNumId w:val="29"/>
  </w:num>
  <w:num w:numId="28">
    <w:abstractNumId w:val="27"/>
  </w:num>
  <w:num w:numId="29">
    <w:abstractNumId w:val="15"/>
  </w:num>
  <w:num w:numId="30">
    <w:abstractNumId w:val="30"/>
  </w:num>
  <w:num w:numId="31">
    <w:abstractNumId w:val="26"/>
  </w:num>
  <w:num w:numId="32">
    <w:abstractNumId w:val="32"/>
  </w:num>
  <w:num w:numId="33">
    <w:abstractNumId w:val="22"/>
  </w:num>
  <w:num w:numId="34">
    <w:abstractNumId w:val="18"/>
  </w:num>
  <w:num w:numId="35">
    <w:abstractNumId w:val="13"/>
  </w:num>
  <w:num w:numId="36">
    <w:abstractNumId w:val="31"/>
  </w:num>
  <w:num w:numId="37">
    <w:abstractNumId w:val="23"/>
  </w:num>
  <w:num w:numId="38">
    <w:abstractNumId w:val="25"/>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992"/>
    <w:rsid w:val="00001899"/>
    <w:rsid w:val="000049AD"/>
    <w:rsid w:val="0000681B"/>
    <w:rsid w:val="000133C0"/>
    <w:rsid w:val="00014C4E"/>
    <w:rsid w:val="00017107"/>
    <w:rsid w:val="000202E2"/>
    <w:rsid w:val="00022441"/>
    <w:rsid w:val="0002261E"/>
    <w:rsid w:val="00024839"/>
    <w:rsid w:val="00026871"/>
    <w:rsid w:val="00037A98"/>
    <w:rsid w:val="000401EC"/>
    <w:rsid w:val="000427FB"/>
    <w:rsid w:val="0004455E"/>
    <w:rsid w:val="00047CB5"/>
    <w:rsid w:val="00051FAA"/>
    <w:rsid w:val="000572A9"/>
    <w:rsid w:val="00061325"/>
    <w:rsid w:val="000733AC"/>
    <w:rsid w:val="00074B81"/>
    <w:rsid w:val="00074D22"/>
    <w:rsid w:val="00075081"/>
    <w:rsid w:val="0007528A"/>
    <w:rsid w:val="000811AB"/>
    <w:rsid w:val="00083C5F"/>
    <w:rsid w:val="00085C3A"/>
    <w:rsid w:val="0009172C"/>
    <w:rsid w:val="000930EC"/>
    <w:rsid w:val="00095E61"/>
    <w:rsid w:val="000966C1"/>
    <w:rsid w:val="000970AC"/>
    <w:rsid w:val="000A1167"/>
    <w:rsid w:val="000A4428"/>
    <w:rsid w:val="000A4AA0"/>
    <w:rsid w:val="000A6D40"/>
    <w:rsid w:val="000A7BC3"/>
    <w:rsid w:val="000B0006"/>
    <w:rsid w:val="000B1661"/>
    <w:rsid w:val="000B1F0B"/>
    <w:rsid w:val="000B2E88"/>
    <w:rsid w:val="000B4603"/>
    <w:rsid w:val="000C09BE"/>
    <w:rsid w:val="000C1380"/>
    <w:rsid w:val="000C554F"/>
    <w:rsid w:val="000D08A7"/>
    <w:rsid w:val="000D0DC5"/>
    <w:rsid w:val="000D15FF"/>
    <w:rsid w:val="000D28DF"/>
    <w:rsid w:val="000D488B"/>
    <w:rsid w:val="000D5E66"/>
    <w:rsid w:val="000D68DF"/>
    <w:rsid w:val="000E138D"/>
    <w:rsid w:val="000E187A"/>
    <w:rsid w:val="000E2D61"/>
    <w:rsid w:val="000E4114"/>
    <w:rsid w:val="000E450E"/>
    <w:rsid w:val="000E6259"/>
    <w:rsid w:val="000F28A1"/>
    <w:rsid w:val="000F4677"/>
    <w:rsid w:val="000F5BE0"/>
    <w:rsid w:val="00100587"/>
    <w:rsid w:val="001023A3"/>
    <w:rsid w:val="0010284E"/>
    <w:rsid w:val="00103122"/>
    <w:rsid w:val="0010336A"/>
    <w:rsid w:val="00104C97"/>
    <w:rsid w:val="001050F1"/>
    <w:rsid w:val="00105AEA"/>
    <w:rsid w:val="00106DAF"/>
    <w:rsid w:val="00107F9F"/>
    <w:rsid w:val="00114ABE"/>
    <w:rsid w:val="00116023"/>
    <w:rsid w:val="00121DEF"/>
    <w:rsid w:val="001260B2"/>
    <w:rsid w:val="00134A51"/>
    <w:rsid w:val="00136348"/>
    <w:rsid w:val="00140727"/>
    <w:rsid w:val="0015696A"/>
    <w:rsid w:val="00160628"/>
    <w:rsid w:val="00161344"/>
    <w:rsid w:val="00162195"/>
    <w:rsid w:val="00162F87"/>
    <w:rsid w:val="0016322A"/>
    <w:rsid w:val="00165A21"/>
    <w:rsid w:val="001705CE"/>
    <w:rsid w:val="00175A66"/>
    <w:rsid w:val="0017714B"/>
    <w:rsid w:val="001804DF"/>
    <w:rsid w:val="00181BDC"/>
    <w:rsid w:val="00181DB0"/>
    <w:rsid w:val="001829A1"/>
    <w:rsid w:val="001829E3"/>
    <w:rsid w:val="00183EA8"/>
    <w:rsid w:val="001924C0"/>
    <w:rsid w:val="00193F7D"/>
    <w:rsid w:val="00193FEB"/>
    <w:rsid w:val="0019731E"/>
    <w:rsid w:val="001A09FE"/>
    <w:rsid w:val="001A67C9"/>
    <w:rsid w:val="001A69DE"/>
    <w:rsid w:val="001A713C"/>
    <w:rsid w:val="001B1C7C"/>
    <w:rsid w:val="001B398F"/>
    <w:rsid w:val="001B46C6"/>
    <w:rsid w:val="001B4B48"/>
    <w:rsid w:val="001B4D1F"/>
    <w:rsid w:val="001B5882"/>
    <w:rsid w:val="001B7681"/>
    <w:rsid w:val="001B7CAE"/>
    <w:rsid w:val="001C0772"/>
    <w:rsid w:val="001C0D4F"/>
    <w:rsid w:val="001C1BA3"/>
    <w:rsid w:val="001C1DEC"/>
    <w:rsid w:val="001C5736"/>
    <w:rsid w:val="001D647F"/>
    <w:rsid w:val="001D6857"/>
    <w:rsid w:val="001E0572"/>
    <w:rsid w:val="001E0A67"/>
    <w:rsid w:val="001E1028"/>
    <w:rsid w:val="001E14E2"/>
    <w:rsid w:val="001E6302"/>
    <w:rsid w:val="001E7DCB"/>
    <w:rsid w:val="001F3411"/>
    <w:rsid w:val="001F4287"/>
    <w:rsid w:val="001F4DBA"/>
    <w:rsid w:val="0020415E"/>
    <w:rsid w:val="00204FF4"/>
    <w:rsid w:val="00206981"/>
    <w:rsid w:val="0021056E"/>
    <w:rsid w:val="0021075D"/>
    <w:rsid w:val="0021165A"/>
    <w:rsid w:val="00211BC9"/>
    <w:rsid w:val="0021620C"/>
    <w:rsid w:val="00216E78"/>
    <w:rsid w:val="00217275"/>
    <w:rsid w:val="002219FD"/>
    <w:rsid w:val="002262D1"/>
    <w:rsid w:val="0023357A"/>
    <w:rsid w:val="00236F4B"/>
    <w:rsid w:val="00242B0D"/>
    <w:rsid w:val="002467C6"/>
    <w:rsid w:val="0024692A"/>
    <w:rsid w:val="00252BBA"/>
    <w:rsid w:val="00253123"/>
    <w:rsid w:val="00264001"/>
    <w:rsid w:val="00266354"/>
    <w:rsid w:val="00267A18"/>
    <w:rsid w:val="00267BC5"/>
    <w:rsid w:val="00273462"/>
    <w:rsid w:val="0027395B"/>
    <w:rsid w:val="00275854"/>
    <w:rsid w:val="00277633"/>
    <w:rsid w:val="0028226F"/>
    <w:rsid w:val="00283B41"/>
    <w:rsid w:val="00285F28"/>
    <w:rsid w:val="00286398"/>
    <w:rsid w:val="002911ED"/>
    <w:rsid w:val="002A3C42"/>
    <w:rsid w:val="002A5D75"/>
    <w:rsid w:val="002B1B1A"/>
    <w:rsid w:val="002B3FB8"/>
    <w:rsid w:val="002B7228"/>
    <w:rsid w:val="002C3F3E"/>
    <w:rsid w:val="002C49E5"/>
    <w:rsid w:val="002C53EE"/>
    <w:rsid w:val="002D24F7"/>
    <w:rsid w:val="002D2799"/>
    <w:rsid w:val="002D2CD7"/>
    <w:rsid w:val="002D4DDC"/>
    <w:rsid w:val="002D4F75"/>
    <w:rsid w:val="002D6493"/>
    <w:rsid w:val="002D7AB6"/>
    <w:rsid w:val="002E06D0"/>
    <w:rsid w:val="002E3C27"/>
    <w:rsid w:val="002E403A"/>
    <w:rsid w:val="002E7F3A"/>
    <w:rsid w:val="002F4EDB"/>
    <w:rsid w:val="002F6054"/>
    <w:rsid w:val="0030572F"/>
    <w:rsid w:val="00310E13"/>
    <w:rsid w:val="00315713"/>
    <w:rsid w:val="0031686C"/>
    <w:rsid w:val="00316FE0"/>
    <w:rsid w:val="003204D2"/>
    <w:rsid w:val="0032605E"/>
    <w:rsid w:val="003275D1"/>
    <w:rsid w:val="00330B2A"/>
    <w:rsid w:val="00331E17"/>
    <w:rsid w:val="00333063"/>
    <w:rsid w:val="00340217"/>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87918"/>
    <w:rsid w:val="00391652"/>
    <w:rsid w:val="0039507F"/>
    <w:rsid w:val="003A1260"/>
    <w:rsid w:val="003A295F"/>
    <w:rsid w:val="003A41DD"/>
    <w:rsid w:val="003A7033"/>
    <w:rsid w:val="003B47FE"/>
    <w:rsid w:val="003B5673"/>
    <w:rsid w:val="003B6287"/>
    <w:rsid w:val="003B62C9"/>
    <w:rsid w:val="003C6216"/>
    <w:rsid w:val="003C7176"/>
    <w:rsid w:val="003D0929"/>
    <w:rsid w:val="003D4729"/>
    <w:rsid w:val="003D7DD6"/>
    <w:rsid w:val="003E55C7"/>
    <w:rsid w:val="003E5AAF"/>
    <w:rsid w:val="003E600D"/>
    <w:rsid w:val="003E64DF"/>
    <w:rsid w:val="003E6A5D"/>
    <w:rsid w:val="003F193A"/>
    <w:rsid w:val="003F4207"/>
    <w:rsid w:val="003F5C46"/>
    <w:rsid w:val="003F7CBB"/>
    <w:rsid w:val="003F7D34"/>
    <w:rsid w:val="00412C8E"/>
    <w:rsid w:val="0041518D"/>
    <w:rsid w:val="004219CF"/>
    <w:rsid w:val="0042221D"/>
    <w:rsid w:val="00424DD3"/>
    <w:rsid w:val="004269C5"/>
    <w:rsid w:val="00435939"/>
    <w:rsid w:val="00435A99"/>
    <w:rsid w:val="00437CC7"/>
    <w:rsid w:val="00442B9C"/>
    <w:rsid w:val="00445EFA"/>
    <w:rsid w:val="0044738A"/>
    <w:rsid w:val="004473D3"/>
    <w:rsid w:val="00452231"/>
    <w:rsid w:val="00460C13"/>
    <w:rsid w:val="00463228"/>
    <w:rsid w:val="00463782"/>
    <w:rsid w:val="004667E0"/>
    <w:rsid w:val="0046760E"/>
    <w:rsid w:val="00470E10"/>
    <w:rsid w:val="00477A97"/>
    <w:rsid w:val="00481343"/>
    <w:rsid w:val="0048549E"/>
    <w:rsid w:val="00493347"/>
    <w:rsid w:val="00496092"/>
    <w:rsid w:val="004A08DB"/>
    <w:rsid w:val="004A25D0"/>
    <w:rsid w:val="004A37E8"/>
    <w:rsid w:val="004A5F75"/>
    <w:rsid w:val="004A642A"/>
    <w:rsid w:val="004A7549"/>
    <w:rsid w:val="004B09D4"/>
    <w:rsid w:val="004B309D"/>
    <w:rsid w:val="004B330A"/>
    <w:rsid w:val="004B7C8E"/>
    <w:rsid w:val="004C1847"/>
    <w:rsid w:val="004C3D3C"/>
    <w:rsid w:val="004D0EDC"/>
    <w:rsid w:val="004D1220"/>
    <w:rsid w:val="004D14B3"/>
    <w:rsid w:val="004D1529"/>
    <w:rsid w:val="004D2253"/>
    <w:rsid w:val="004D5514"/>
    <w:rsid w:val="004D56C3"/>
    <w:rsid w:val="004E0338"/>
    <w:rsid w:val="004E0F32"/>
    <w:rsid w:val="004E4FF3"/>
    <w:rsid w:val="004E56A8"/>
    <w:rsid w:val="004E6B14"/>
    <w:rsid w:val="004F3B55"/>
    <w:rsid w:val="004F458B"/>
    <w:rsid w:val="004F4E46"/>
    <w:rsid w:val="004F6B7D"/>
    <w:rsid w:val="005015F6"/>
    <w:rsid w:val="005030C4"/>
    <w:rsid w:val="005031C5"/>
    <w:rsid w:val="00504FDC"/>
    <w:rsid w:val="00511EBF"/>
    <w:rsid w:val="005120CC"/>
    <w:rsid w:val="00512B7B"/>
    <w:rsid w:val="00514EA1"/>
    <w:rsid w:val="0051798B"/>
    <w:rsid w:val="00521F5A"/>
    <w:rsid w:val="00525E06"/>
    <w:rsid w:val="00526454"/>
    <w:rsid w:val="00531823"/>
    <w:rsid w:val="00534ECC"/>
    <w:rsid w:val="00536831"/>
    <w:rsid w:val="0053720D"/>
    <w:rsid w:val="00540EF5"/>
    <w:rsid w:val="00541BF3"/>
    <w:rsid w:val="00541CD3"/>
    <w:rsid w:val="005462C9"/>
    <w:rsid w:val="005476FA"/>
    <w:rsid w:val="0055270D"/>
    <w:rsid w:val="0055595E"/>
    <w:rsid w:val="00557988"/>
    <w:rsid w:val="00562C49"/>
    <w:rsid w:val="00562DEF"/>
    <w:rsid w:val="0056321A"/>
    <w:rsid w:val="00563A35"/>
    <w:rsid w:val="00563C00"/>
    <w:rsid w:val="00566596"/>
    <w:rsid w:val="005741E9"/>
    <w:rsid w:val="005748CF"/>
    <w:rsid w:val="00584270"/>
    <w:rsid w:val="00584738"/>
    <w:rsid w:val="00590A54"/>
    <w:rsid w:val="005920B0"/>
    <w:rsid w:val="0059380D"/>
    <w:rsid w:val="00595A8F"/>
    <w:rsid w:val="005977C2"/>
    <w:rsid w:val="00597BF2"/>
    <w:rsid w:val="005B134E"/>
    <w:rsid w:val="005B2039"/>
    <w:rsid w:val="005B344F"/>
    <w:rsid w:val="005B3FBA"/>
    <w:rsid w:val="005B4A1D"/>
    <w:rsid w:val="005B674D"/>
    <w:rsid w:val="005C0CBE"/>
    <w:rsid w:val="005C1FCF"/>
    <w:rsid w:val="005D12E1"/>
    <w:rsid w:val="005D1885"/>
    <w:rsid w:val="005D4A38"/>
    <w:rsid w:val="005E2EEA"/>
    <w:rsid w:val="005E3708"/>
    <w:rsid w:val="005E3CCD"/>
    <w:rsid w:val="005E3D6B"/>
    <w:rsid w:val="005E5B55"/>
    <w:rsid w:val="005E5E4A"/>
    <w:rsid w:val="005E693D"/>
    <w:rsid w:val="005E75BF"/>
    <w:rsid w:val="005F57BA"/>
    <w:rsid w:val="005F61E6"/>
    <w:rsid w:val="005F6C45"/>
    <w:rsid w:val="006040BE"/>
    <w:rsid w:val="00605A69"/>
    <w:rsid w:val="00606C54"/>
    <w:rsid w:val="00614375"/>
    <w:rsid w:val="00615B0A"/>
    <w:rsid w:val="006168CF"/>
    <w:rsid w:val="0062011B"/>
    <w:rsid w:val="00626DE0"/>
    <w:rsid w:val="00630901"/>
    <w:rsid w:val="00631F8E"/>
    <w:rsid w:val="00634599"/>
    <w:rsid w:val="00636EE9"/>
    <w:rsid w:val="00637880"/>
    <w:rsid w:val="00640950"/>
    <w:rsid w:val="00641AE7"/>
    <w:rsid w:val="00642629"/>
    <w:rsid w:val="0065208A"/>
    <w:rsid w:val="0065293D"/>
    <w:rsid w:val="00653EFC"/>
    <w:rsid w:val="00654021"/>
    <w:rsid w:val="00661045"/>
    <w:rsid w:val="00666DA8"/>
    <w:rsid w:val="00671057"/>
    <w:rsid w:val="00671A54"/>
    <w:rsid w:val="00675AAF"/>
    <w:rsid w:val="00677E3B"/>
    <w:rsid w:val="0068031A"/>
    <w:rsid w:val="00681B2F"/>
    <w:rsid w:val="0068335F"/>
    <w:rsid w:val="00687217"/>
    <w:rsid w:val="00693302"/>
    <w:rsid w:val="0069640B"/>
    <w:rsid w:val="006A1B83"/>
    <w:rsid w:val="006A21CD"/>
    <w:rsid w:val="006A5918"/>
    <w:rsid w:val="006B21B2"/>
    <w:rsid w:val="006B4A4A"/>
    <w:rsid w:val="006C19B2"/>
    <w:rsid w:val="006C4409"/>
    <w:rsid w:val="006C5BB8"/>
    <w:rsid w:val="006C6936"/>
    <w:rsid w:val="006C7B01"/>
    <w:rsid w:val="006D0FE8"/>
    <w:rsid w:val="006D4B2B"/>
    <w:rsid w:val="006D4F3C"/>
    <w:rsid w:val="006D5C66"/>
    <w:rsid w:val="006E1B3C"/>
    <w:rsid w:val="006E23FB"/>
    <w:rsid w:val="006E325A"/>
    <w:rsid w:val="006E33EC"/>
    <w:rsid w:val="006E3802"/>
    <w:rsid w:val="006E6C02"/>
    <w:rsid w:val="006F231A"/>
    <w:rsid w:val="006F6B55"/>
    <w:rsid w:val="006F788D"/>
    <w:rsid w:val="006F78E1"/>
    <w:rsid w:val="00701072"/>
    <w:rsid w:val="00702054"/>
    <w:rsid w:val="007035A4"/>
    <w:rsid w:val="007115E2"/>
    <w:rsid w:val="00711799"/>
    <w:rsid w:val="00712B78"/>
    <w:rsid w:val="0071393B"/>
    <w:rsid w:val="00713EE2"/>
    <w:rsid w:val="007177FC"/>
    <w:rsid w:val="00720C5E"/>
    <w:rsid w:val="00721701"/>
    <w:rsid w:val="00731835"/>
    <w:rsid w:val="007341F8"/>
    <w:rsid w:val="00734372"/>
    <w:rsid w:val="00734EB8"/>
    <w:rsid w:val="00735F8B"/>
    <w:rsid w:val="00740318"/>
    <w:rsid w:val="00742D1F"/>
    <w:rsid w:val="00743EBA"/>
    <w:rsid w:val="00744C8E"/>
    <w:rsid w:val="0074707E"/>
    <w:rsid w:val="007516DC"/>
    <w:rsid w:val="007521CC"/>
    <w:rsid w:val="00752E58"/>
    <w:rsid w:val="00754B80"/>
    <w:rsid w:val="00761256"/>
    <w:rsid w:val="00761918"/>
    <w:rsid w:val="00762F03"/>
    <w:rsid w:val="0076413B"/>
    <w:rsid w:val="007648AE"/>
    <w:rsid w:val="00764BF8"/>
    <w:rsid w:val="0076514D"/>
    <w:rsid w:val="00773D59"/>
    <w:rsid w:val="00781003"/>
    <w:rsid w:val="007911FD"/>
    <w:rsid w:val="00793930"/>
    <w:rsid w:val="00793DD1"/>
    <w:rsid w:val="00794FEC"/>
    <w:rsid w:val="007A003E"/>
    <w:rsid w:val="007A0C83"/>
    <w:rsid w:val="007A1965"/>
    <w:rsid w:val="007A2ED1"/>
    <w:rsid w:val="007A4BE6"/>
    <w:rsid w:val="007A6455"/>
    <w:rsid w:val="007B0DC6"/>
    <w:rsid w:val="007B1094"/>
    <w:rsid w:val="007B1762"/>
    <w:rsid w:val="007B3320"/>
    <w:rsid w:val="007C301F"/>
    <w:rsid w:val="007C43AF"/>
    <w:rsid w:val="007C43D9"/>
    <w:rsid w:val="007C4540"/>
    <w:rsid w:val="007C65AF"/>
    <w:rsid w:val="007D135D"/>
    <w:rsid w:val="007D18B2"/>
    <w:rsid w:val="007D730F"/>
    <w:rsid w:val="007D7CD8"/>
    <w:rsid w:val="007E3AA7"/>
    <w:rsid w:val="007F36DB"/>
    <w:rsid w:val="007F737D"/>
    <w:rsid w:val="0080308E"/>
    <w:rsid w:val="00803B87"/>
    <w:rsid w:val="00805303"/>
    <w:rsid w:val="00806705"/>
    <w:rsid w:val="00806738"/>
    <w:rsid w:val="0081032E"/>
    <w:rsid w:val="008216D5"/>
    <w:rsid w:val="008249CE"/>
    <w:rsid w:val="00831A50"/>
    <w:rsid w:val="00831B3C"/>
    <w:rsid w:val="00831C89"/>
    <w:rsid w:val="00832114"/>
    <w:rsid w:val="00834C46"/>
    <w:rsid w:val="0084093E"/>
    <w:rsid w:val="00841CE1"/>
    <w:rsid w:val="008473D8"/>
    <w:rsid w:val="008528DC"/>
    <w:rsid w:val="00852B8C"/>
    <w:rsid w:val="00854981"/>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4DD6"/>
    <w:rsid w:val="008C5AFB"/>
    <w:rsid w:val="008C7994"/>
    <w:rsid w:val="008D07FB"/>
    <w:rsid w:val="008D0C02"/>
    <w:rsid w:val="008D357D"/>
    <w:rsid w:val="008D435A"/>
    <w:rsid w:val="008E387B"/>
    <w:rsid w:val="008E6087"/>
    <w:rsid w:val="008E758D"/>
    <w:rsid w:val="008F10A7"/>
    <w:rsid w:val="008F755D"/>
    <w:rsid w:val="008F7A39"/>
    <w:rsid w:val="009021E8"/>
    <w:rsid w:val="00904677"/>
    <w:rsid w:val="00905EE2"/>
    <w:rsid w:val="00906891"/>
    <w:rsid w:val="00910A8F"/>
    <w:rsid w:val="00911440"/>
    <w:rsid w:val="00911712"/>
    <w:rsid w:val="00911B27"/>
    <w:rsid w:val="00916A1A"/>
    <w:rsid w:val="009170BE"/>
    <w:rsid w:val="00920B55"/>
    <w:rsid w:val="009262C9"/>
    <w:rsid w:val="00930EB9"/>
    <w:rsid w:val="00933DC7"/>
    <w:rsid w:val="009418F4"/>
    <w:rsid w:val="00942BBC"/>
    <w:rsid w:val="00944180"/>
    <w:rsid w:val="00944AA0"/>
    <w:rsid w:val="00947DA2"/>
    <w:rsid w:val="00951177"/>
    <w:rsid w:val="00965A1F"/>
    <w:rsid w:val="009660AE"/>
    <w:rsid w:val="009673E8"/>
    <w:rsid w:val="00974DB8"/>
    <w:rsid w:val="00980661"/>
    <w:rsid w:val="0098093B"/>
    <w:rsid w:val="00980E46"/>
    <w:rsid w:val="00981882"/>
    <w:rsid w:val="009876D4"/>
    <w:rsid w:val="009914A5"/>
    <w:rsid w:val="0099548E"/>
    <w:rsid w:val="00996456"/>
    <w:rsid w:val="00996A12"/>
    <w:rsid w:val="0099779E"/>
    <w:rsid w:val="00997B0F"/>
    <w:rsid w:val="009A0CC3"/>
    <w:rsid w:val="009A1CAD"/>
    <w:rsid w:val="009A32F7"/>
    <w:rsid w:val="009A3440"/>
    <w:rsid w:val="009A5832"/>
    <w:rsid w:val="009A6838"/>
    <w:rsid w:val="009B00AA"/>
    <w:rsid w:val="009B24B5"/>
    <w:rsid w:val="009B4EBC"/>
    <w:rsid w:val="009B5ABB"/>
    <w:rsid w:val="009B73CE"/>
    <w:rsid w:val="009C2461"/>
    <w:rsid w:val="009C6FE2"/>
    <w:rsid w:val="009C739B"/>
    <w:rsid w:val="009C7674"/>
    <w:rsid w:val="009D004A"/>
    <w:rsid w:val="009D2CD2"/>
    <w:rsid w:val="009D5880"/>
    <w:rsid w:val="009E1FD4"/>
    <w:rsid w:val="009E3B07"/>
    <w:rsid w:val="009E51D1"/>
    <w:rsid w:val="009E5531"/>
    <w:rsid w:val="009F171E"/>
    <w:rsid w:val="009F3D2F"/>
    <w:rsid w:val="009F7052"/>
    <w:rsid w:val="00A02668"/>
    <w:rsid w:val="00A02801"/>
    <w:rsid w:val="00A06A39"/>
    <w:rsid w:val="00A07F58"/>
    <w:rsid w:val="00A131CB"/>
    <w:rsid w:val="00A1474F"/>
    <w:rsid w:val="00A14847"/>
    <w:rsid w:val="00A16D6D"/>
    <w:rsid w:val="00A17E5D"/>
    <w:rsid w:val="00A21383"/>
    <w:rsid w:val="00A2199F"/>
    <w:rsid w:val="00A21B31"/>
    <w:rsid w:val="00A23111"/>
    <w:rsid w:val="00A2360E"/>
    <w:rsid w:val="00A26E0C"/>
    <w:rsid w:val="00A32FCB"/>
    <w:rsid w:val="00A34C25"/>
    <w:rsid w:val="00A3507D"/>
    <w:rsid w:val="00A3717A"/>
    <w:rsid w:val="00A4088C"/>
    <w:rsid w:val="00A4171F"/>
    <w:rsid w:val="00A4456B"/>
    <w:rsid w:val="00A448D4"/>
    <w:rsid w:val="00A452E0"/>
    <w:rsid w:val="00A46E80"/>
    <w:rsid w:val="00A51EA5"/>
    <w:rsid w:val="00A53742"/>
    <w:rsid w:val="00A557A1"/>
    <w:rsid w:val="00A63059"/>
    <w:rsid w:val="00A63AE3"/>
    <w:rsid w:val="00A651A4"/>
    <w:rsid w:val="00A677C2"/>
    <w:rsid w:val="00A678A2"/>
    <w:rsid w:val="00A71361"/>
    <w:rsid w:val="00A746E2"/>
    <w:rsid w:val="00A81FF2"/>
    <w:rsid w:val="00A83904"/>
    <w:rsid w:val="00A90A79"/>
    <w:rsid w:val="00A96B30"/>
    <w:rsid w:val="00AA59B5"/>
    <w:rsid w:val="00AA7777"/>
    <w:rsid w:val="00AA7B84"/>
    <w:rsid w:val="00AB547A"/>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E7612"/>
    <w:rsid w:val="00AF1C8F"/>
    <w:rsid w:val="00AF2B68"/>
    <w:rsid w:val="00AF2C92"/>
    <w:rsid w:val="00AF3EC1"/>
    <w:rsid w:val="00AF5025"/>
    <w:rsid w:val="00AF519F"/>
    <w:rsid w:val="00AF5387"/>
    <w:rsid w:val="00AF55F5"/>
    <w:rsid w:val="00AF7E86"/>
    <w:rsid w:val="00B024B9"/>
    <w:rsid w:val="00B077FA"/>
    <w:rsid w:val="00B127D7"/>
    <w:rsid w:val="00B13B0C"/>
    <w:rsid w:val="00B1453A"/>
    <w:rsid w:val="00B20F82"/>
    <w:rsid w:val="00B214EE"/>
    <w:rsid w:val="00B25087"/>
    <w:rsid w:val="00B25BD5"/>
    <w:rsid w:val="00B34079"/>
    <w:rsid w:val="00B3793A"/>
    <w:rsid w:val="00B401BA"/>
    <w:rsid w:val="00B407E4"/>
    <w:rsid w:val="00B425B6"/>
    <w:rsid w:val="00B42A72"/>
    <w:rsid w:val="00B42A8F"/>
    <w:rsid w:val="00B441AE"/>
    <w:rsid w:val="00B45A65"/>
    <w:rsid w:val="00B45F33"/>
    <w:rsid w:val="00B46D50"/>
    <w:rsid w:val="00B511CF"/>
    <w:rsid w:val="00B53170"/>
    <w:rsid w:val="00B548B9"/>
    <w:rsid w:val="00B56DBE"/>
    <w:rsid w:val="00B62999"/>
    <w:rsid w:val="00B63BE3"/>
    <w:rsid w:val="00B64885"/>
    <w:rsid w:val="00B66810"/>
    <w:rsid w:val="00B72BE3"/>
    <w:rsid w:val="00B73B80"/>
    <w:rsid w:val="00B7709C"/>
    <w:rsid w:val="00B770C7"/>
    <w:rsid w:val="00B80F26"/>
    <w:rsid w:val="00B822BD"/>
    <w:rsid w:val="00B842F4"/>
    <w:rsid w:val="00B862B3"/>
    <w:rsid w:val="00B91A7B"/>
    <w:rsid w:val="00B929DD"/>
    <w:rsid w:val="00B93AF6"/>
    <w:rsid w:val="00B95405"/>
    <w:rsid w:val="00B9631B"/>
    <w:rsid w:val="00B963F1"/>
    <w:rsid w:val="00BA020A"/>
    <w:rsid w:val="00BB025A"/>
    <w:rsid w:val="00BB02A4"/>
    <w:rsid w:val="00BB1270"/>
    <w:rsid w:val="00BB1E44"/>
    <w:rsid w:val="00BB5267"/>
    <w:rsid w:val="00BB52B8"/>
    <w:rsid w:val="00BB59D8"/>
    <w:rsid w:val="00BB7E69"/>
    <w:rsid w:val="00BC0E51"/>
    <w:rsid w:val="00BC3C1F"/>
    <w:rsid w:val="00BC7CE7"/>
    <w:rsid w:val="00BD295E"/>
    <w:rsid w:val="00BD4664"/>
    <w:rsid w:val="00BE1193"/>
    <w:rsid w:val="00BF4849"/>
    <w:rsid w:val="00BF4EA7"/>
    <w:rsid w:val="00C00EDB"/>
    <w:rsid w:val="00C02863"/>
    <w:rsid w:val="00C03298"/>
    <w:rsid w:val="00C0383A"/>
    <w:rsid w:val="00C067FF"/>
    <w:rsid w:val="00C12862"/>
    <w:rsid w:val="00C129F1"/>
    <w:rsid w:val="00C13D28"/>
    <w:rsid w:val="00C14585"/>
    <w:rsid w:val="00C14DAD"/>
    <w:rsid w:val="00C165A0"/>
    <w:rsid w:val="00C216CE"/>
    <w:rsid w:val="00C2184F"/>
    <w:rsid w:val="00C22A78"/>
    <w:rsid w:val="00C23C7E"/>
    <w:rsid w:val="00C246C5"/>
    <w:rsid w:val="00C25A82"/>
    <w:rsid w:val="00C30A2A"/>
    <w:rsid w:val="00C31CD9"/>
    <w:rsid w:val="00C33993"/>
    <w:rsid w:val="00C4069E"/>
    <w:rsid w:val="00C41ADC"/>
    <w:rsid w:val="00C44149"/>
    <w:rsid w:val="00C44410"/>
    <w:rsid w:val="00C44A15"/>
    <w:rsid w:val="00C4630A"/>
    <w:rsid w:val="00C523F0"/>
    <w:rsid w:val="00C526D2"/>
    <w:rsid w:val="00C53A91"/>
    <w:rsid w:val="00C543BA"/>
    <w:rsid w:val="00C5463D"/>
    <w:rsid w:val="00C5794E"/>
    <w:rsid w:val="00C60968"/>
    <w:rsid w:val="00C63D39"/>
    <w:rsid w:val="00C63EDD"/>
    <w:rsid w:val="00C65B36"/>
    <w:rsid w:val="00C7292E"/>
    <w:rsid w:val="00C74E88"/>
    <w:rsid w:val="00C804C4"/>
    <w:rsid w:val="00C80924"/>
    <w:rsid w:val="00C824E3"/>
    <w:rsid w:val="00C8286B"/>
    <w:rsid w:val="00C947F8"/>
    <w:rsid w:val="00C9515F"/>
    <w:rsid w:val="00C963C5"/>
    <w:rsid w:val="00C96C7F"/>
    <w:rsid w:val="00CA030C"/>
    <w:rsid w:val="00CA1F41"/>
    <w:rsid w:val="00CA2C24"/>
    <w:rsid w:val="00CA32EE"/>
    <w:rsid w:val="00CA5771"/>
    <w:rsid w:val="00CA6A1A"/>
    <w:rsid w:val="00CB1E2E"/>
    <w:rsid w:val="00CC1E75"/>
    <w:rsid w:val="00CC2E0E"/>
    <w:rsid w:val="00CC361C"/>
    <w:rsid w:val="00CC474B"/>
    <w:rsid w:val="00CC658C"/>
    <w:rsid w:val="00CC67BF"/>
    <w:rsid w:val="00CD0843"/>
    <w:rsid w:val="00CD4E31"/>
    <w:rsid w:val="00CD5A78"/>
    <w:rsid w:val="00CD7345"/>
    <w:rsid w:val="00CE30C8"/>
    <w:rsid w:val="00CE372E"/>
    <w:rsid w:val="00CF0A1B"/>
    <w:rsid w:val="00CF0E24"/>
    <w:rsid w:val="00CF149F"/>
    <w:rsid w:val="00CF19F6"/>
    <w:rsid w:val="00CF2F4F"/>
    <w:rsid w:val="00CF536D"/>
    <w:rsid w:val="00D02DC2"/>
    <w:rsid w:val="00D02E9D"/>
    <w:rsid w:val="00D03734"/>
    <w:rsid w:val="00D10CB8"/>
    <w:rsid w:val="00D12806"/>
    <w:rsid w:val="00D12D44"/>
    <w:rsid w:val="00D13066"/>
    <w:rsid w:val="00D15018"/>
    <w:rsid w:val="00D158AC"/>
    <w:rsid w:val="00D1694C"/>
    <w:rsid w:val="00D20F5E"/>
    <w:rsid w:val="00D23B76"/>
    <w:rsid w:val="00D24B4A"/>
    <w:rsid w:val="00D379A3"/>
    <w:rsid w:val="00D41B0A"/>
    <w:rsid w:val="00D4389C"/>
    <w:rsid w:val="00D45FF3"/>
    <w:rsid w:val="00D512CF"/>
    <w:rsid w:val="00D528B9"/>
    <w:rsid w:val="00D53186"/>
    <w:rsid w:val="00D5487D"/>
    <w:rsid w:val="00D60140"/>
    <w:rsid w:val="00D6024A"/>
    <w:rsid w:val="00D608B5"/>
    <w:rsid w:val="00D64739"/>
    <w:rsid w:val="00D71F99"/>
    <w:rsid w:val="00D73CA4"/>
    <w:rsid w:val="00D73D71"/>
    <w:rsid w:val="00D74396"/>
    <w:rsid w:val="00D80284"/>
    <w:rsid w:val="00D81F71"/>
    <w:rsid w:val="00D8465B"/>
    <w:rsid w:val="00D85C1A"/>
    <w:rsid w:val="00D8642D"/>
    <w:rsid w:val="00D90A5E"/>
    <w:rsid w:val="00D91A68"/>
    <w:rsid w:val="00D92B26"/>
    <w:rsid w:val="00D9488B"/>
    <w:rsid w:val="00D95A68"/>
    <w:rsid w:val="00DA17C7"/>
    <w:rsid w:val="00DA1FAC"/>
    <w:rsid w:val="00DA6A9A"/>
    <w:rsid w:val="00DB1EFD"/>
    <w:rsid w:val="00DB32A4"/>
    <w:rsid w:val="00DB3EAF"/>
    <w:rsid w:val="00DB46C6"/>
    <w:rsid w:val="00DC3203"/>
    <w:rsid w:val="00DC3C99"/>
    <w:rsid w:val="00DC52F5"/>
    <w:rsid w:val="00DC5FD0"/>
    <w:rsid w:val="00DD0354"/>
    <w:rsid w:val="00DD1992"/>
    <w:rsid w:val="00DD27D7"/>
    <w:rsid w:val="00DD458C"/>
    <w:rsid w:val="00DD72E9"/>
    <w:rsid w:val="00DD7605"/>
    <w:rsid w:val="00DE2020"/>
    <w:rsid w:val="00DE3476"/>
    <w:rsid w:val="00DE7BEA"/>
    <w:rsid w:val="00DF5B84"/>
    <w:rsid w:val="00DF6C28"/>
    <w:rsid w:val="00DF6D5B"/>
    <w:rsid w:val="00DF771B"/>
    <w:rsid w:val="00DF7EE2"/>
    <w:rsid w:val="00E01BAA"/>
    <w:rsid w:val="00E0282A"/>
    <w:rsid w:val="00E02F9B"/>
    <w:rsid w:val="00E07E14"/>
    <w:rsid w:val="00E14F36"/>
    <w:rsid w:val="00E14F94"/>
    <w:rsid w:val="00E17336"/>
    <w:rsid w:val="00E17D15"/>
    <w:rsid w:val="00E21485"/>
    <w:rsid w:val="00E22B95"/>
    <w:rsid w:val="00E2546E"/>
    <w:rsid w:val="00E26F42"/>
    <w:rsid w:val="00E30331"/>
    <w:rsid w:val="00E30BB8"/>
    <w:rsid w:val="00E31F9C"/>
    <w:rsid w:val="00E40488"/>
    <w:rsid w:val="00E42638"/>
    <w:rsid w:val="00E50367"/>
    <w:rsid w:val="00E51ABA"/>
    <w:rsid w:val="00E524CB"/>
    <w:rsid w:val="00E65456"/>
    <w:rsid w:val="00E65A91"/>
    <w:rsid w:val="00E66188"/>
    <w:rsid w:val="00E664FB"/>
    <w:rsid w:val="00E672F0"/>
    <w:rsid w:val="00E70373"/>
    <w:rsid w:val="00E72E40"/>
    <w:rsid w:val="00E73665"/>
    <w:rsid w:val="00E73999"/>
    <w:rsid w:val="00E73BDC"/>
    <w:rsid w:val="00E73E9E"/>
    <w:rsid w:val="00E81660"/>
    <w:rsid w:val="00E854FE"/>
    <w:rsid w:val="00E906CC"/>
    <w:rsid w:val="00E939A0"/>
    <w:rsid w:val="00E97E4E"/>
    <w:rsid w:val="00EA1CC2"/>
    <w:rsid w:val="00EA2D76"/>
    <w:rsid w:val="00EA4644"/>
    <w:rsid w:val="00EA758A"/>
    <w:rsid w:val="00EB096F"/>
    <w:rsid w:val="00EB199F"/>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F0F45"/>
    <w:rsid w:val="00EF7463"/>
    <w:rsid w:val="00EF7971"/>
    <w:rsid w:val="00F002EF"/>
    <w:rsid w:val="00F01EE9"/>
    <w:rsid w:val="00F04900"/>
    <w:rsid w:val="00F065A4"/>
    <w:rsid w:val="00F126B9"/>
    <w:rsid w:val="00F12715"/>
    <w:rsid w:val="00F144D5"/>
    <w:rsid w:val="00F146F0"/>
    <w:rsid w:val="00F15039"/>
    <w:rsid w:val="00F176BD"/>
    <w:rsid w:val="00F20FF3"/>
    <w:rsid w:val="00F2190B"/>
    <w:rsid w:val="00F228B5"/>
    <w:rsid w:val="00F2389C"/>
    <w:rsid w:val="00F25C67"/>
    <w:rsid w:val="00F30DFF"/>
    <w:rsid w:val="00F32B80"/>
    <w:rsid w:val="00F340EB"/>
    <w:rsid w:val="00F35285"/>
    <w:rsid w:val="00F43B9D"/>
    <w:rsid w:val="00F44D5E"/>
    <w:rsid w:val="00F511BB"/>
    <w:rsid w:val="00F53A35"/>
    <w:rsid w:val="00F55A3D"/>
    <w:rsid w:val="00F5744B"/>
    <w:rsid w:val="00F61209"/>
    <w:rsid w:val="00F6259E"/>
    <w:rsid w:val="00F65DD4"/>
    <w:rsid w:val="00F672B2"/>
    <w:rsid w:val="00F82095"/>
    <w:rsid w:val="00F83973"/>
    <w:rsid w:val="00F87FA3"/>
    <w:rsid w:val="00F93D8C"/>
    <w:rsid w:val="00FA3102"/>
    <w:rsid w:val="00FA48D4"/>
    <w:rsid w:val="00FA54FA"/>
    <w:rsid w:val="00FA6D39"/>
    <w:rsid w:val="00FB227E"/>
    <w:rsid w:val="00FB3D61"/>
    <w:rsid w:val="00FB44CE"/>
    <w:rsid w:val="00FB5009"/>
    <w:rsid w:val="00FB76AB"/>
    <w:rsid w:val="00FC3844"/>
    <w:rsid w:val="00FD03FE"/>
    <w:rsid w:val="00FD126E"/>
    <w:rsid w:val="00FD2AA4"/>
    <w:rsid w:val="00FD3C36"/>
    <w:rsid w:val="00FD4D81"/>
    <w:rsid w:val="00FD7498"/>
    <w:rsid w:val="00FD7FB3"/>
    <w:rsid w:val="00FE4346"/>
    <w:rsid w:val="00FE45E5"/>
    <w:rsid w:val="00FE4713"/>
    <w:rsid w:val="00FE49F4"/>
    <w:rsid w:val="00FE4A97"/>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footnote text" w:uiPriority="99"/>
    <w:lsdException w:name="annotation text" w:uiPriority="99"/>
    <w:lsdException w:name="header" w:uiPriority="99"/>
    <w:lsdException w:name="footer"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 List" w:uiPriority="99"/>
    <w:lsdException w:name="Balloon Text" w:uiPriority="99"/>
    <w:lsdException w:name="Table Grid" w:semiHidden="0" w:uiPriority="39" w:unhideWhenUsed="0"/>
    <w:lsdException w:name="Placeholder Text" w:semiHidden="0" w:uiPriority="99"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character" w:customStyle="1" w:styleId="Heading4Char">
    <w:name w:val="Heading 4 Char"/>
    <w:basedOn w:val="DefaultParagraphFont"/>
    <w:link w:val="Heading4"/>
    <w:rsid w:val="00F43B9D"/>
    <w:rPr>
      <w:bCs/>
      <w:sz w:val="24"/>
      <w:szCs w:val="28"/>
    </w:rPr>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uiPriority w:val="99"/>
    <w:rsid w:val="00C5463D"/>
    <w:pPr>
      <w:ind w:left="284" w:hanging="284"/>
    </w:pPr>
    <w:rPr>
      <w:sz w:val="20"/>
      <w:szCs w:val="20"/>
    </w:rPr>
  </w:style>
  <w:style w:type="character" w:customStyle="1" w:styleId="FootnoteTextChar">
    <w:name w:val="Footnote Text Char"/>
    <w:basedOn w:val="DefaultParagraphFont"/>
    <w:link w:val="FootnoteText"/>
    <w:uiPriority w:val="99"/>
    <w:rsid w:val="00C5463D"/>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unhideWhenUsed/>
    <w:rsid w:val="00DD1992"/>
    <w:rPr>
      <w:color w:val="0000FF" w:themeColor="hyperlink"/>
      <w:u w:val="single"/>
    </w:rPr>
  </w:style>
  <w:style w:type="table" w:customStyle="1" w:styleId="PlainTable2">
    <w:name w:val="Plain Table 2"/>
    <w:basedOn w:val="TableNormal"/>
    <w:uiPriority w:val="42"/>
    <w:rsid w:val="00F176BD"/>
    <w:rPr>
      <w:rFonts w:asciiTheme="minorHAnsi" w:eastAsiaTheme="minorHAnsi" w:hAnsiTheme="minorHAnsi" w:cstheme="minorBidi"/>
      <w:sz w:val="22"/>
      <w:szCs w:val="22"/>
      <w:lang w:val="en-US" w:eastAsia="en-US" w:bidi="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Light">
    <w:name w:val="Grid Table Light"/>
    <w:basedOn w:val="TableNormal"/>
    <w:uiPriority w:val="40"/>
    <w:rsid w:val="00F176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rsid w:val="002C49E5"/>
    <w:rPr>
      <w:color w:val="808080"/>
    </w:rPr>
  </w:style>
  <w:style w:type="table" w:styleId="TableGrid">
    <w:name w:val="Table Grid"/>
    <w:basedOn w:val="TableNormal"/>
    <w:uiPriority w:val="39"/>
    <w:rsid w:val="002C49E5"/>
    <w:rPr>
      <w:rFonts w:asciiTheme="minorHAnsi" w:eastAsiaTheme="minorHAnsi" w:hAnsiTheme="minorHAnsi" w:cstheme="min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
    <w:name w:val="Grid Table 2 Accent 6"/>
    <w:basedOn w:val="TableNormal"/>
    <w:uiPriority w:val="47"/>
    <w:rsid w:val="002C49E5"/>
    <w:rPr>
      <w:rFonts w:asciiTheme="minorHAnsi" w:eastAsiaTheme="minorHAnsi" w:hAnsiTheme="minorHAnsi" w:cstheme="minorBidi"/>
      <w:sz w:val="22"/>
      <w:szCs w:val="22"/>
      <w:lang w:val="en-US" w:eastAsia="en-US" w:bidi="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1LightAccent6">
    <w:name w:val="Grid Table 1 Light Accent 6"/>
    <w:basedOn w:val="TableNormal"/>
    <w:uiPriority w:val="46"/>
    <w:rsid w:val="002C49E5"/>
    <w:rPr>
      <w:rFonts w:asciiTheme="minorHAnsi" w:eastAsiaTheme="minorHAnsi" w:hAnsiTheme="minorHAnsi" w:cstheme="minorBidi"/>
      <w:sz w:val="22"/>
      <w:szCs w:val="22"/>
      <w:lang w:val="en-US" w:eastAsia="en-US" w:bidi="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2C49E5"/>
    <w:pPr>
      <w:spacing w:after="160" w:line="259" w:lineRule="auto"/>
      <w:ind w:left="720"/>
      <w:contextualSpacing/>
    </w:pPr>
    <w:rPr>
      <w:rFonts w:asciiTheme="minorHAnsi" w:eastAsiaTheme="minorHAnsi" w:hAnsiTheme="minorHAnsi" w:cstheme="minorBidi"/>
      <w:sz w:val="22"/>
      <w:szCs w:val="22"/>
      <w:lang w:val="en-US" w:eastAsia="en-US" w:bidi="en-US"/>
    </w:rPr>
  </w:style>
  <w:style w:type="paragraph" w:styleId="CommentText">
    <w:name w:val="annotation text"/>
    <w:basedOn w:val="Normal"/>
    <w:link w:val="CommentTextChar"/>
    <w:uiPriority w:val="99"/>
    <w:semiHidden/>
    <w:unhideWhenUsed/>
    <w:rsid w:val="002C49E5"/>
    <w:pPr>
      <w:spacing w:after="160" w:line="240" w:lineRule="auto"/>
    </w:pPr>
    <w:rPr>
      <w:rFonts w:asciiTheme="minorHAnsi" w:eastAsiaTheme="minorHAnsi" w:hAnsiTheme="minorHAnsi" w:cstheme="minorBidi"/>
      <w:sz w:val="20"/>
      <w:szCs w:val="20"/>
      <w:lang w:val="en-US" w:eastAsia="en-US" w:bidi="en-US"/>
    </w:rPr>
  </w:style>
  <w:style w:type="character" w:customStyle="1" w:styleId="CommentTextChar">
    <w:name w:val="Comment Text Char"/>
    <w:basedOn w:val="DefaultParagraphFont"/>
    <w:link w:val="CommentText"/>
    <w:uiPriority w:val="99"/>
    <w:semiHidden/>
    <w:rsid w:val="002C49E5"/>
    <w:rPr>
      <w:rFonts w:asciiTheme="minorHAnsi" w:eastAsiaTheme="minorHAnsi" w:hAnsiTheme="minorHAnsi" w:cstheme="minorBidi"/>
      <w:lang w:val="en-US" w:eastAsia="en-US" w:bidi="en-US"/>
    </w:rPr>
  </w:style>
  <w:style w:type="character" w:styleId="CommentReference">
    <w:name w:val="annotation reference"/>
    <w:basedOn w:val="DefaultParagraphFont"/>
    <w:uiPriority w:val="99"/>
    <w:semiHidden/>
    <w:unhideWhenUsed/>
    <w:rsid w:val="002C49E5"/>
    <w:rPr>
      <w:sz w:val="16"/>
      <w:szCs w:val="16"/>
    </w:rPr>
  </w:style>
  <w:style w:type="paragraph" w:styleId="BalloonText">
    <w:name w:val="Balloon Text"/>
    <w:basedOn w:val="Normal"/>
    <w:link w:val="BalloonTextChar"/>
    <w:uiPriority w:val="99"/>
    <w:semiHidden/>
    <w:unhideWhenUsed/>
    <w:rsid w:val="002C49E5"/>
    <w:pPr>
      <w:spacing w:line="240" w:lineRule="auto"/>
    </w:pPr>
    <w:rPr>
      <w:rFonts w:ascii="Segoe UI" w:eastAsiaTheme="minorHAnsi" w:hAnsi="Segoe UI" w:cs="Segoe UI"/>
      <w:sz w:val="18"/>
      <w:szCs w:val="18"/>
      <w:lang w:val="en-US" w:eastAsia="en-US" w:bidi="en-US"/>
    </w:rPr>
  </w:style>
  <w:style w:type="character" w:customStyle="1" w:styleId="BalloonTextChar">
    <w:name w:val="Balloon Text Char"/>
    <w:basedOn w:val="DefaultParagraphFont"/>
    <w:link w:val="BalloonText"/>
    <w:uiPriority w:val="99"/>
    <w:semiHidden/>
    <w:rsid w:val="002C49E5"/>
    <w:rPr>
      <w:rFonts w:ascii="Segoe UI" w:eastAsiaTheme="minorHAnsi" w:hAnsi="Segoe UI" w:cs="Segoe UI"/>
      <w:sz w:val="18"/>
      <w:szCs w:val="18"/>
      <w:lang w:val="en-US" w:eastAsia="en-US" w:bidi="en-US"/>
    </w:rPr>
  </w:style>
  <w:style w:type="character" w:customStyle="1" w:styleId="shorttext">
    <w:name w:val="short_text"/>
    <w:basedOn w:val="DefaultParagraphFont"/>
    <w:rsid w:val="002C49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footnote text" w:uiPriority="99"/>
    <w:lsdException w:name="annotation text" w:uiPriority="99"/>
    <w:lsdException w:name="header" w:uiPriority="99"/>
    <w:lsdException w:name="footer"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 List" w:uiPriority="99"/>
    <w:lsdException w:name="Balloon Text" w:uiPriority="99"/>
    <w:lsdException w:name="Table Grid" w:semiHidden="0" w:uiPriority="39" w:unhideWhenUsed="0"/>
    <w:lsdException w:name="Placeholder Text" w:semiHidden="0" w:uiPriority="99"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character" w:customStyle="1" w:styleId="Heading4Char">
    <w:name w:val="Heading 4 Char"/>
    <w:basedOn w:val="DefaultParagraphFont"/>
    <w:link w:val="Heading4"/>
    <w:rsid w:val="00F43B9D"/>
    <w:rPr>
      <w:bCs/>
      <w:sz w:val="24"/>
      <w:szCs w:val="28"/>
    </w:rPr>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uiPriority w:val="99"/>
    <w:rsid w:val="00C5463D"/>
    <w:pPr>
      <w:ind w:left="284" w:hanging="284"/>
    </w:pPr>
    <w:rPr>
      <w:sz w:val="20"/>
      <w:szCs w:val="20"/>
    </w:rPr>
  </w:style>
  <w:style w:type="character" w:customStyle="1" w:styleId="FootnoteTextChar">
    <w:name w:val="Footnote Text Char"/>
    <w:basedOn w:val="DefaultParagraphFont"/>
    <w:link w:val="FootnoteText"/>
    <w:uiPriority w:val="99"/>
    <w:rsid w:val="00C5463D"/>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unhideWhenUsed/>
    <w:rsid w:val="00DD1992"/>
    <w:rPr>
      <w:color w:val="0000FF" w:themeColor="hyperlink"/>
      <w:u w:val="single"/>
    </w:rPr>
  </w:style>
  <w:style w:type="table" w:customStyle="1" w:styleId="PlainTable2">
    <w:name w:val="Plain Table 2"/>
    <w:basedOn w:val="TableNormal"/>
    <w:uiPriority w:val="42"/>
    <w:rsid w:val="00F176BD"/>
    <w:rPr>
      <w:rFonts w:asciiTheme="minorHAnsi" w:eastAsiaTheme="minorHAnsi" w:hAnsiTheme="minorHAnsi" w:cstheme="minorBidi"/>
      <w:sz w:val="22"/>
      <w:szCs w:val="22"/>
      <w:lang w:val="en-US" w:eastAsia="en-US" w:bidi="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Light">
    <w:name w:val="Grid Table Light"/>
    <w:basedOn w:val="TableNormal"/>
    <w:uiPriority w:val="40"/>
    <w:rsid w:val="00F176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rsid w:val="002C49E5"/>
    <w:rPr>
      <w:color w:val="808080"/>
    </w:rPr>
  </w:style>
  <w:style w:type="table" w:styleId="TableGrid">
    <w:name w:val="Table Grid"/>
    <w:basedOn w:val="TableNormal"/>
    <w:uiPriority w:val="39"/>
    <w:rsid w:val="002C49E5"/>
    <w:rPr>
      <w:rFonts w:asciiTheme="minorHAnsi" w:eastAsiaTheme="minorHAnsi" w:hAnsiTheme="minorHAnsi" w:cstheme="min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
    <w:name w:val="Grid Table 2 Accent 6"/>
    <w:basedOn w:val="TableNormal"/>
    <w:uiPriority w:val="47"/>
    <w:rsid w:val="002C49E5"/>
    <w:rPr>
      <w:rFonts w:asciiTheme="minorHAnsi" w:eastAsiaTheme="minorHAnsi" w:hAnsiTheme="minorHAnsi" w:cstheme="minorBidi"/>
      <w:sz w:val="22"/>
      <w:szCs w:val="22"/>
      <w:lang w:val="en-US" w:eastAsia="en-US" w:bidi="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1LightAccent6">
    <w:name w:val="Grid Table 1 Light Accent 6"/>
    <w:basedOn w:val="TableNormal"/>
    <w:uiPriority w:val="46"/>
    <w:rsid w:val="002C49E5"/>
    <w:rPr>
      <w:rFonts w:asciiTheme="minorHAnsi" w:eastAsiaTheme="minorHAnsi" w:hAnsiTheme="minorHAnsi" w:cstheme="minorBidi"/>
      <w:sz w:val="22"/>
      <w:szCs w:val="22"/>
      <w:lang w:val="en-US" w:eastAsia="en-US" w:bidi="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2C49E5"/>
    <w:pPr>
      <w:spacing w:after="160" w:line="259" w:lineRule="auto"/>
      <w:ind w:left="720"/>
      <w:contextualSpacing/>
    </w:pPr>
    <w:rPr>
      <w:rFonts w:asciiTheme="minorHAnsi" w:eastAsiaTheme="minorHAnsi" w:hAnsiTheme="minorHAnsi" w:cstheme="minorBidi"/>
      <w:sz w:val="22"/>
      <w:szCs w:val="22"/>
      <w:lang w:val="en-US" w:eastAsia="en-US" w:bidi="en-US"/>
    </w:rPr>
  </w:style>
  <w:style w:type="paragraph" w:styleId="CommentText">
    <w:name w:val="annotation text"/>
    <w:basedOn w:val="Normal"/>
    <w:link w:val="CommentTextChar"/>
    <w:uiPriority w:val="99"/>
    <w:semiHidden/>
    <w:unhideWhenUsed/>
    <w:rsid w:val="002C49E5"/>
    <w:pPr>
      <w:spacing w:after="160" w:line="240" w:lineRule="auto"/>
    </w:pPr>
    <w:rPr>
      <w:rFonts w:asciiTheme="minorHAnsi" w:eastAsiaTheme="minorHAnsi" w:hAnsiTheme="minorHAnsi" w:cstheme="minorBidi"/>
      <w:sz w:val="20"/>
      <w:szCs w:val="20"/>
      <w:lang w:val="en-US" w:eastAsia="en-US" w:bidi="en-US"/>
    </w:rPr>
  </w:style>
  <w:style w:type="character" w:customStyle="1" w:styleId="CommentTextChar">
    <w:name w:val="Comment Text Char"/>
    <w:basedOn w:val="DefaultParagraphFont"/>
    <w:link w:val="CommentText"/>
    <w:uiPriority w:val="99"/>
    <w:semiHidden/>
    <w:rsid w:val="002C49E5"/>
    <w:rPr>
      <w:rFonts w:asciiTheme="minorHAnsi" w:eastAsiaTheme="minorHAnsi" w:hAnsiTheme="minorHAnsi" w:cstheme="minorBidi"/>
      <w:lang w:val="en-US" w:eastAsia="en-US" w:bidi="en-US"/>
    </w:rPr>
  </w:style>
  <w:style w:type="character" w:styleId="CommentReference">
    <w:name w:val="annotation reference"/>
    <w:basedOn w:val="DefaultParagraphFont"/>
    <w:uiPriority w:val="99"/>
    <w:semiHidden/>
    <w:unhideWhenUsed/>
    <w:rsid w:val="002C49E5"/>
    <w:rPr>
      <w:sz w:val="16"/>
      <w:szCs w:val="16"/>
    </w:rPr>
  </w:style>
  <w:style w:type="paragraph" w:styleId="BalloonText">
    <w:name w:val="Balloon Text"/>
    <w:basedOn w:val="Normal"/>
    <w:link w:val="BalloonTextChar"/>
    <w:uiPriority w:val="99"/>
    <w:semiHidden/>
    <w:unhideWhenUsed/>
    <w:rsid w:val="002C49E5"/>
    <w:pPr>
      <w:spacing w:line="240" w:lineRule="auto"/>
    </w:pPr>
    <w:rPr>
      <w:rFonts w:ascii="Segoe UI" w:eastAsiaTheme="minorHAnsi" w:hAnsi="Segoe UI" w:cs="Segoe UI"/>
      <w:sz w:val="18"/>
      <w:szCs w:val="18"/>
      <w:lang w:val="en-US" w:eastAsia="en-US" w:bidi="en-US"/>
    </w:rPr>
  </w:style>
  <w:style w:type="character" w:customStyle="1" w:styleId="BalloonTextChar">
    <w:name w:val="Balloon Text Char"/>
    <w:basedOn w:val="DefaultParagraphFont"/>
    <w:link w:val="BalloonText"/>
    <w:uiPriority w:val="99"/>
    <w:semiHidden/>
    <w:rsid w:val="002C49E5"/>
    <w:rPr>
      <w:rFonts w:ascii="Segoe UI" w:eastAsiaTheme="minorHAnsi" w:hAnsi="Segoe UI" w:cs="Segoe UI"/>
      <w:sz w:val="18"/>
      <w:szCs w:val="18"/>
      <w:lang w:val="en-US" w:eastAsia="en-US" w:bidi="en-US"/>
    </w:rPr>
  </w:style>
  <w:style w:type="character" w:customStyle="1" w:styleId="shorttext">
    <w:name w:val="short_text"/>
    <w:basedOn w:val="DefaultParagraphFont"/>
    <w:rsid w:val="002C4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207454">
      <w:bodyDiv w:val="1"/>
      <w:marLeft w:val="0"/>
      <w:marRight w:val="0"/>
      <w:marTop w:val="0"/>
      <w:marBottom w:val="0"/>
      <w:divBdr>
        <w:top w:val="none" w:sz="0" w:space="0" w:color="auto"/>
        <w:left w:val="none" w:sz="0" w:space="0" w:color="auto"/>
        <w:bottom w:val="none" w:sz="0" w:space="0" w:color="auto"/>
        <w:right w:val="none" w:sz="0" w:space="0" w:color="auto"/>
      </w:divBdr>
    </w:div>
    <w:div w:id="737636579">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image" Target="media/image4.png"/><Relationship Id="rId39" Type="http://schemas.openxmlformats.org/officeDocument/2006/relationships/chart" Target="charts/chart7.xml"/><Relationship Id="rId21" Type="http://schemas.openxmlformats.org/officeDocument/2006/relationships/diagramColors" Target="diagrams/colors2.xml"/><Relationship Id="rId34" Type="http://schemas.openxmlformats.org/officeDocument/2006/relationships/hyperlink" Target="http://www.tandfonline.com/keyword/Optimization" TargetMode="External"/><Relationship Id="rId42" Type="http://schemas.openxmlformats.org/officeDocument/2006/relationships/chart" Target="charts/chart10.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diagramColors" Target="diagrams/colors1.xml"/><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dghpour@sru.ac.ir" TargetMode="External"/><Relationship Id="rId24" Type="http://schemas.openxmlformats.org/officeDocument/2006/relationships/image" Target="media/image2.png"/><Relationship Id="rId32" Type="http://schemas.openxmlformats.org/officeDocument/2006/relationships/hyperlink" Target="https://www.jstage.jst.go.jp/search/global/_search/-char/en?item=5&amp;word=phenomenology" TargetMode="External"/><Relationship Id="rId37" Type="http://schemas.openxmlformats.org/officeDocument/2006/relationships/chart" Target="charts/chart5.xml"/><Relationship Id="rId40" Type="http://schemas.openxmlformats.org/officeDocument/2006/relationships/chart" Target="charts/chart8.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image" Target="media/image1.png"/><Relationship Id="rId28" Type="http://schemas.openxmlformats.org/officeDocument/2006/relationships/chart" Target="charts/chart2.xml"/><Relationship Id="rId36" Type="http://schemas.openxmlformats.org/officeDocument/2006/relationships/chart" Target="charts/chart4.xml"/><Relationship Id="rId10" Type="http://schemas.openxmlformats.org/officeDocument/2006/relationships/hyperlink" Target="mailto:sharghi@sru.ac.ir" TargetMode="External"/><Relationship Id="rId19" Type="http://schemas.openxmlformats.org/officeDocument/2006/relationships/diagramLayout" Target="diagrams/layout2.xml"/><Relationship Id="rId31" Type="http://schemas.openxmlformats.org/officeDocument/2006/relationships/hyperlink" Target="https://www.jstage.jst.go.jp/search/global/_search/-char/en?item=5&amp;word=minimalism" TargetMode="External"/><Relationship Id="rId44"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yperlink" Target="mailto:rahilnadoomi@sru.ac.ir" TargetMode="External"/><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chart" Target="charts/chart1.xml"/><Relationship Id="rId30" Type="http://schemas.openxmlformats.org/officeDocument/2006/relationships/hyperlink" Target="http://www.tandfonline.com/keyword/Comfort" TargetMode="External"/><Relationship Id="rId35" Type="http://schemas.openxmlformats.org/officeDocument/2006/relationships/hyperlink" Target="https://www.jstage.jst.go.jp/search/global/_search/-char/en?item=5&amp;word=house-values" TargetMode="External"/><Relationship Id="rId43" Type="http://schemas.openxmlformats.org/officeDocument/2006/relationships/chart" Target="charts/chart1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1.xml"/><Relationship Id="rId17" Type="http://schemas.microsoft.com/office/2007/relationships/diagramDrawing" Target="diagrams/drawing1.xml"/><Relationship Id="rId25" Type="http://schemas.openxmlformats.org/officeDocument/2006/relationships/image" Target="media/image3.png"/><Relationship Id="rId33" Type="http://schemas.openxmlformats.org/officeDocument/2006/relationships/hyperlink" Target="https://www.jstage.jst.go.jp/search/global/_search/-char/en?item=5&amp;word=thingness" TargetMode="External"/><Relationship Id="rId38" Type="http://schemas.openxmlformats.org/officeDocument/2006/relationships/chart" Target="charts/chart6.xml"/><Relationship Id="rId46" Type="http://schemas.openxmlformats.org/officeDocument/2006/relationships/theme" Target="theme/theme1.xml"/><Relationship Id="rId20" Type="http://schemas.openxmlformats.org/officeDocument/2006/relationships/diagramQuickStyle" Target="diagrams/quickStyle2.xml"/><Relationship Id="rId41" Type="http://schemas.openxmlformats.org/officeDocument/2006/relationships/chart" Target="charts/chart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hil\Desktop\Articles\07%20&#1587;&#1740;&#1587;&#1578;&#1605;&#1575;&#1578;&#1740;&#1705;%20&#1585;&#1740;&#1608;&#1740;&#1608;%20&#1605;&#1602;&#1575;&#1740;&#1587;&#1607;%20&#1575;&#1740;\To%20Journals\To%20Housing%20studies\TF_Template_Word_Windows_2013.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oleObject" Target="file:///D:\Educational\03.Articles\07%20&#1587;&#1740;&#1587;&#1578;&#1605;&#1575;&#1578;&#1740;&#1705;%20&#1585;&#1740;&#1608;&#1740;&#1608;%20&#1605;&#1602;&#1575;&#1740;&#1587;&#1607;%20&#1575;&#1740;under%20review%20elm%20o%20sanat\To%20Journals\To%20English%20Elm%20o%20Sanat\1\6%20daste.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Educational\03.Articles\07%20&#1587;&#1740;&#1587;&#1578;&#1605;&#1575;&#1578;&#1740;&#1705;%20&#1585;&#1740;&#1608;&#1740;&#1608;%20&#1605;&#1602;&#1575;&#1740;&#1587;&#1607;%20&#1575;&#1740;under%20review%20elm%20o%20sanat\To%20Journals\To%20English%20Elm%20o%20Sanat\1\6%20daste.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oleObject" Target="file:///D:\Educational\03.Articles\07%20&#1587;&#1740;&#1587;&#1578;&#1605;&#1575;&#1578;&#1740;&#1705;%20&#1585;&#1740;&#1608;&#1740;&#1608;%20&#1605;&#1602;&#1575;&#1740;&#1587;&#1607;%20&#1575;&#1740;under%20review%20elm%20o%20sanat\To%20Journals\To%20English%20Elm%20o%20Sanat\1\6%20daste.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Educational\03.Articles\07%20&#1587;&#1740;&#1587;&#1578;&#1605;&#1575;&#1578;&#1740;&#1705;%20&#1585;&#1740;&#1608;&#1740;&#1608;%20&#1605;&#1602;&#1575;&#1740;&#1587;&#1607;%20&#1575;&#1740;under%20review%20elm%20o%20sanat\To%20Journals\To%20English%20Elm%20o%20Sanat\1\6%20daste.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Educational\03.Articles\07%20&#1587;&#1740;&#1587;&#1578;&#1605;&#1575;&#1578;&#1740;&#1705;%20&#1585;&#1740;&#1608;&#1740;&#1608;%20&#1605;&#1602;&#1575;&#1740;&#1587;&#1607;%20&#1575;&#1740;under%20review%20elm%20o%20sanat\To%20Journals\To%20English%20Elm%20o%20Sanat\1\6%20daste.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Educational\03.Articles\07%20&#1587;&#1740;&#1587;&#1578;&#1605;&#1575;&#1578;&#1740;&#1705;%20&#1585;&#1740;&#1608;&#1740;&#1608;%20&#1605;&#1602;&#1575;&#1740;&#1587;&#1607;%20&#1575;&#1740;under%20review%20elm%20o%20sanat\To%20Journals\To%20English%20Elm%20o%20Sanat\1\6%20dast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Iran's Articles</c:v>
                </c:pt>
              </c:strCache>
            </c:strRef>
          </c:tx>
          <c:spPr>
            <a:solidFill>
              <a:schemeClr val="accent1"/>
            </a:solidFill>
            <a:ln>
              <a:noFill/>
            </a:ln>
            <a:effectLst/>
          </c:spPr>
          <c:invertIfNegative val="0"/>
          <c:cat>
            <c:numRef>
              <c:f>Sheet1!$A$2:$A$6</c:f>
              <c:numCache>
                <c:formatCode>General</c:formatCode>
                <c:ptCount val="5"/>
                <c:pt idx="0">
                  <c:v>2013</c:v>
                </c:pt>
                <c:pt idx="1">
                  <c:v>2014</c:v>
                </c:pt>
                <c:pt idx="2">
                  <c:v>2015</c:v>
                </c:pt>
                <c:pt idx="3">
                  <c:v>2016</c:v>
                </c:pt>
                <c:pt idx="4">
                  <c:v>2017</c:v>
                </c:pt>
              </c:numCache>
            </c:numRef>
          </c:cat>
          <c:val>
            <c:numRef>
              <c:f>Sheet1!$B$2:$B$6</c:f>
              <c:numCache>
                <c:formatCode>General</c:formatCode>
                <c:ptCount val="5"/>
                <c:pt idx="0">
                  <c:v>27</c:v>
                </c:pt>
                <c:pt idx="1">
                  <c:v>27</c:v>
                </c:pt>
                <c:pt idx="2">
                  <c:v>33</c:v>
                </c:pt>
                <c:pt idx="3">
                  <c:v>48</c:v>
                </c:pt>
                <c:pt idx="4">
                  <c:v>52</c:v>
                </c:pt>
              </c:numCache>
            </c:numRef>
          </c:val>
        </c:ser>
        <c:dLbls>
          <c:showLegendKey val="0"/>
          <c:showVal val="0"/>
          <c:showCatName val="0"/>
          <c:showSerName val="0"/>
          <c:showPercent val="0"/>
          <c:showBubbleSize val="0"/>
        </c:dLbls>
        <c:gapWidth val="150"/>
        <c:axId val="305847296"/>
        <c:axId val="286491776"/>
      </c:barChart>
      <c:lineChart>
        <c:grouping val="standard"/>
        <c:varyColors val="0"/>
        <c:ser>
          <c:idx val="1"/>
          <c:order val="1"/>
          <c:tx>
            <c:strRef>
              <c:f>Sheet1!$C$1</c:f>
              <c:strCache>
                <c:ptCount val="1"/>
                <c:pt idx="0">
                  <c:v>International Articles</c:v>
                </c:pt>
              </c:strCache>
            </c:strRef>
          </c:tx>
          <c:spPr>
            <a:ln w="28575" cap="rnd">
              <a:solidFill>
                <a:schemeClr val="accent2"/>
              </a:solidFill>
              <a:round/>
            </a:ln>
            <a:effectLst/>
          </c:spPr>
          <c:marker>
            <c:symbol val="none"/>
          </c:marker>
          <c:cat>
            <c:numRef>
              <c:f>Sheet1!$A$2:$A$6</c:f>
              <c:numCache>
                <c:formatCode>General</c:formatCode>
                <c:ptCount val="5"/>
                <c:pt idx="0">
                  <c:v>2013</c:v>
                </c:pt>
                <c:pt idx="1">
                  <c:v>2014</c:v>
                </c:pt>
                <c:pt idx="2">
                  <c:v>2015</c:v>
                </c:pt>
                <c:pt idx="3">
                  <c:v>2016</c:v>
                </c:pt>
                <c:pt idx="4">
                  <c:v>2017</c:v>
                </c:pt>
              </c:numCache>
            </c:numRef>
          </c:cat>
          <c:val>
            <c:numRef>
              <c:f>Sheet1!$C$2:$C$6</c:f>
              <c:numCache>
                <c:formatCode>General</c:formatCode>
                <c:ptCount val="5"/>
                <c:pt idx="0">
                  <c:v>41</c:v>
                </c:pt>
                <c:pt idx="1">
                  <c:v>52</c:v>
                </c:pt>
                <c:pt idx="2">
                  <c:v>48</c:v>
                </c:pt>
                <c:pt idx="3">
                  <c:v>65</c:v>
                </c:pt>
                <c:pt idx="4">
                  <c:v>70</c:v>
                </c:pt>
              </c:numCache>
            </c:numRef>
          </c:val>
          <c:smooth val="0"/>
        </c:ser>
        <c:dLbls>
          <c:showLegendKey val="0"/>
          <c:showVal val="0"/>
          <c:showCatName val="0"/>
          <c:showSerName val="0"/>
          <c:showPercent val="0"/>
          <c:showBubbleSize val="0"/>
        </c:dLbls>
        <c:marker val="1"/>
        <c:smooth val="0"/>
        <c:axId val="305847296"/>
        <c:axId val="286491776"/>
      </c:lineChart>
      <c:catAx>
        <c:axId val="305847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286491776"/>
        <c:crosses val="autoZero"/>
        <c:auto val="1"/>
        <c:lblAlgn val="ctr"/>
        <c:lblOffset val="100"/>
        <c:noMultiLvlLbl val="0"/>
      </c:catAx>
      <c:valAx>
        <c:axId val="286491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305847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6468322540534378"/>
          <c:y val="3.881641682419433E-2"/>
          <c:w val="0.68928757713969135"/>
          <c:h val="0.88691491584780302"/>
        </c:manualLayout>
      </c:layout>
      <c:barChart>
        <c:barDir val="bar"/>
        <c:grouping val="clustered"/>
        <c:varyColors val="0"/>
        <c:ser>
          <c:idx val="0"/>
          <c:order val="0"/>
          <c:tx>
            <c:strRef>
              <c:f>Sheet5!$B$1</c:f>
              <c:strCache>
                <c:ptCount val="1"/>
                <c:pt idx="0">
                  <c:v>Iranian Articles</c:v>
                </c:pt>
              </c:strCache>
            </c:strRef>
          </c:tx>
          <c:invertIfNegative val="0"/>
          <c:cat>
            <c:strRef>
              <c:f>Sheet5!$A$2:$A$36</c:f>
              <c:strCache>
                <c:ptCount val="35"/>
                <c:pt idx="0">
                  <c:v>housing density </c:v>
                </c:pt>
                <c:pt idx="1">
                  <c:v>townscape</c:v>
                </c:pt>
                <c:pt idx="2">
                  <c:v>smart home</c:v>
                </c:pt>
                <c:pt idx="3">
                  <c:v>smart building</c:v>
                </c:pt>
                <c:pt idx="4">
                  <c:v>responsive architecture</c:v>
                </c:pt>
                <c:pt idx="5">
                  <c:v>planning</c:v>
                </c:pt>
                <c:pt idx="6">
                  <c:v>decision making</c:v>
                </c:pt>
                <c:pt idx="7">
                  <c:v>standardization</c:v>
                </c:pt>
                <c:pt idx="8">
                  <c:v>revitalization</c:v>
                </c:pt>
                <c:pt idx="9">
                  <c:v>renovate</c:v>
                </c:pt>
                <c:pt idx="10">
                  <c:v>conservation</c:v>
                </c:pt>
                <c:pt idx="11">
                  <c:v>structure</c:v>
                </c:pt>
                <c:pt idx="12">
                  <c:v>structural performance </c:v>
                </c:pt>
                <c:pt idx="13">
                  <c:v>seismic design</c:v>
                </c:pt>
                <c:pt idx="14">
                  <c:v>seismic vulnerability</c:v>
                </c:pt>
                <c:pt idx="15">
                  <c:v>ownership</c:v>
                </c:pt>
                <c:pt idx="16">
                  <c:v>multi-family housing </c:v>
                </c:pt>
                <c:pt idx="17">
                  <c:v>house sharing</c:v>
                </c:pt>
                <c:pt idx="18">
                  <c:v>technology</c:v>
                </c:pt>
                <c:pt idx="19">
                  <c:v>construction method</c:v>
                </c:pt>
                <c:pt idx="20">
                  <c:v>modelling</c:v>
                </c:pt>
                <c:pt idx="21">
                  <c:v>simulation</c:v>
                </c:pt>
                <c:pt idx="22">
                  <c:v>industrialization</c:v>
                </c:pt>
                <c:pt idx="23">
                  <c:v>crisis management</c:v>
                </c:pt>
                <c:pt idx="24">
                  <c:v>housing costs</c:v>
                </c:pt>
                <c:pt idx="25">
                  <c:v>housing market</c:v>
                </c:pt>
                <c:pt idx="26">
                  <c:v>economics</c:v>
                </c:pt>
                <c:pt idx="27">
                  <c:v>welfare</c:v>
                </c:pt>
                <c:pt idx="28">
                  <c:v>acoustic insulation</c:v>
                </c:pt>
                <c:pt idx="29">
                  <c:v>continuity</c:v>
                </c:pt>
                <c:pt idx="30">
                  <c:v>facility management</c:v>
                </c:pt>
                <c:pt idx="31">
                  <c:v>traditional architecture</c:v>
                </c:pt>
                <c:pt idx="32">
                  <c:v>vernacular architecture</c:v>
                </c:pt>
                <c:pt idx="33">
                  <c:v>archetype</c:v>
                </c:pt>
                <c:pt idx="34">
                  <c:v>modernity</c:v>
                </c:pt>
              </c:strCache>
            </c:strRef>
          </c:cat>
          <c:val>
            <c:numRef>
              <c:f>Sheet5!$B$2:$B$36</c:f>
              <c:numCache>
                <c:formatCode>General</c:formatCode>
                <c:ptCount val="35"/>
                <c:pt idx="0">
                  <c:v>4</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4</c:v>
                </c:pt>
                <c:pt idx="16">
                  <c:v>2</c:v>
                </c:pt>
                <c:pt idx="17">
                  <c:v>0</c:v>
                </c:pt>
                <c:pt idx="18">
                  <c:v>8</c:v>
                </c:pt>
                <c:pt idx="19">
                  <c:v>1</c:v>
                </c:pt>
                <c:pt idx="20">
                  <c:v>0</c:v>
                </c:pt>
                <c:pt idx="21">
                  <c:v>0</c:v>
                </c:pt>
                <c:pt idx="22">
                  <c:v>0</c:v>
                </c:pt>
                <c:pt idx="23">
                  <c:v>5</c:v>
                </c:pt>
                <c:pt idx="24">
                  <c:v>4</c:v>
                </c:pt>
                <c:pt idx="25">
                  <c:v>1</c:v>
                </c:pt>
                <c:pt idx="26">
                  <c:v>7</c:v>
                </c:pt>
                <c:pt idx="27">
                  <c:v>6</c:v>
                </c:pt>
                <c:pt idx="28">
                  <c:v>12</c:v>
                </c:pt>
                <c:pt idx="29">
                  <c:v>3</c:v>
                </c:pt>
                <c:pt idx="30">
                  <c:v>1</c:v>
                </c:pt>
                <c:pt idx="31">
                  <c:v>0</c:v>
                </c:pt>
                <c:pt idx="32">
                  <c:v>0</c:v>
                </c:pt>
                <c:pt idx="33">
                  <c:v>0</c:v>
                </c:pt>
                <c:pt idx="34">
                  <c:v>0</c:v>
                </c:pt>
              </c:numCache>
            </c:numRef>
          </c:val>
        </c:ser>
        <c:ser>
          <c:idx val="1"/>
          <c:order val="1"/>
          <c:tx>
            <c:strRef>
              <c:f>Sheet5!$C$1</c:f>
              <c:strCache>
                <c:ptCount val="1"/>
                <c:pt idx="0">
                  <c:v>International Articles</c:v>
                </c:pt>
              </c:strCache>
            </c:strRef>
          </c:tx>
          <c:invertIfNegative val="0"/>
          <c:cat>
            <c:strRef>
              <c:f>Sheet5!$A$2:$A$36</c:f>
              <c:strCache>
                <c:ptCount val="35"/>
                <c:pt idx="0">
                  <c:v>housing density </c:v>
                </c:pt>
                <c:pt idx="1">
                  <c:v>townscape</c:v>
                </c:pt>
                <c:pt idx="2">
                  <c:v>smart home</c:v>
                </c:pt>
                <c:pt idx="3">
                  <c:v>smart building</c:v>
                </c:pt>
                <c:pt idx="4">
                  <c:v>responsive architecture</c:v>
                </c:pt>
                <c:pt idx="5">
                  <c:v>planning</c:v>
                </c:pt>
                <c:pt idx="6">
                  <c:v>decision making</c:v>
                </c:pt>
                <c:pt idx="7">
                  <c:v>standardization</c:v>
                </c:pt>
                <c:pt idx="8">
                  <c:v>revitalization</c:v>
                </c:pt>
                <c:pt idx="9">
                  <c:v>renovate</c:v>
                </c:pt>
                <c:pt idx="10">
                  <c:v>conservation</c:v>
                </c:pt>
                <c:pt idx="11">
                  <c:v>structure</c:v>
                </c:pt>
                <c:pt idx="12">
                  <c:v>structural performance </c:v>
                </c:pt>
                <c:pt idx="13">
                  <c:v>seismic design</c:v>
                </c:pt>
                <c:pt idx="14">
                  <c:v>seismic vulnerability</c:v>
                </c:pt>
                <c:pt idx="15">
                  <c:v>ownership</c:v>
                </c:pt>
                <c:pt idx="16">
                  <c:v>multi-family housing </c:v>
                </c:pt>
                <c:pt idx="17">
                  <c:v>house sharing</c:v>
                </c:pt>
                <c:pt idx="18">
                  <c:v>technology</c:v>
                </c:pt>
                <c:pt idx="19">
                  <c:v>construction method</c:v>
                </c:pt>
                <c:pt idx="20">
                  <c:v>modelling</c:v>
                </c:pt>
                <c:pt idx="21">
                  <c:v>simulation</c:v>
                </c:pt>
                <c:pt idx="22">
                  <c:v>industrialization</c:v>
                </c:pt>
                <c:pt idx="23">
                  <c:v>crisis management</c:v>
                </c:pt>
                <c:pt idx="24">
                  <c:v>housing costs</c:v>
                </c:pt>
                <c:pt idx="25">
                  <c:v>housing market</c:v>
                </c:pt>
                <c:pt idx="26">
                  <c:v>economics</c:v>
                </c:pt>
                <c:pt idx="27">
                  <c:v>welfare</c:v>
                </c:pt>
                <c:pt idx="28">
                  <c:v>acoustic insulation</c:v>
                </c:pt>
                <c:pt idx="29">
                  <c:v>continuity</c:v>
                </c:pt>
                <c:pt idx="30">
                  <c:v>facility management</c:v>
                </c:pt>
                <c:pt idx="31">
                  <c:v>traditional architecture</c:v>
                </c:pt>
                <c:pt idx="32">
                  <c:v>vernacular architecture</c:v>
                </c:pt>
                <c:pt idx="33">
                  <c:v>archetype</c:v>
                </c:pt>
                <c:pt idx="34">
                  <c:v>modernity</c:v>
                </c:pt>
              </c:strCache>
            </c:strRef>
          </c:cat>
          <c:val>
            <c:numRef>
              <c:f>Sheet5!$C$2:$C$36</c:f>
              <c:numCache>
                <c:formatCode>General</c:formatCode>
                <c:ptCount val="35"/>
                <c:pt idx="0">
                  <c:v>8</c:v>
                </c:pt>
                <c:pt idx="1">
                  <c:v>3</c:v>
                </c:pt>
                <c:pt idx="2">
                  <c:v>7</c:v>
                </c:pt>
                <c:pt idx="3">
                  <c:v>4</c:v>
                </c:pt>
                <c:pt idx="4">
                  <c:v>3</c:v>
                </c:pt>
                <c:pt idx="5">
                  <c:v>19</c:v>
                </c:pt>
                <c:pt idx="6">
                  <c:v>3</c:v>
                </c:pt>
                <c:pt idx="7">
                  <c:v>7</c:v>
                </c:pt>
                <c:pt idx="8">
                  <c:v>5</c:v>
                </c:pt>
                <c:pt idx="9">
                  <c:v>3</c:v>
                </c:pt>
                <c:pt idx="10">
                  <c:v>11</c:v>
                </c:pt>
                <c:pt idx="11">
                  <c:v>8</c:v>
                </c:pt>
                <c:pt idx="12">
                  <c:v>3</c:v>
                </c:pt>
                <c:pt idx="13">
                  <c:v>14</c:v>
                </c:pt>
                <c:pt idx="14">
                  <c:v>5</c:v>
                </c:pt>
                <c:pt idx="15">
                  <c:v>0</c:v>
                </c:pt>
                <c:pt idx="16">
                  <c:v>9</c:v>
                </c:pt>
                <c:pt idx="17">
                  <c:v>6</c:v>
                </c:pt>
                <c:pt idx="18">
                  <c:v>24</c:v>
                </c:pt>
                <c:pt idx="19">
                  <c:v>16</c:v>
                </c:pt>
                <c:pt idx="20">
                  <c:v>3</c:v>
                </c:pt>
                <c:pt idx="21">
                  <c:v>8</c:v>
                </c:pt>
                <c:pt idx="22">
                  <c:v>7</c:v>
                </c:pt>
                <c:pt idx="23">
                  <c:v>0</c:v>
                </c:pt>
                <c:pt idx="24">
                  <c:v>16</c:v>
                </c:pt>
                <c:pt idx="25">
                  <c:v>12</c:v>
                </c:pt>
                <c:pt idx="26">
                  <c:v>17</c:v>
                </c:pt>
                <c:pt idx="27">
                  <c:v>0</c:v>
                </c:pt>
                <c:pt idx="28">
                  <c:v>19</c:v>
                </c:pt>
                <c:pt idx="29">
                  <c:v>0</c:v>
                </c:pt>
                <c:pt idx="30">
                  <c:v>5</c:v>
                </c:pt>
                <c:pt idx="31">
                  <c:v>3</c:v>
                </c:pt>
                <c:pt idx="32">
                  <c:v>7</c:v>
                </c:pt>
                <c:pt idx="33">
                  <c:v>4</c:v>
                </c:pt>
                <c:pt idx="34">
                  <c:v>3</c:v>
                </c:pt>
              </c:numCache>
            </c:numRef>
          </c:val>
        </c:ser>
        <c:dLbls>
          <c:showLegendKey val="0"/>
          <c:showVal val="0"/>
          <c:showCatName val="0"/>
          <c:showSerName val="0"/>
          <c:showPercent val="0"/>
          <c:showBubbleSize val="0"/>
        </c:dLbls>
        <c:gapWidth val="150"/>
        <c:axId val="305847808"/>
        <c:axId val="288848064"/>
      </c:barChart>
      <c:catAx>
        <c:axId val="305847808"/>
        <c:scaling>
          <c:orientation val="minMax"/>
        </c:scaling>
        <c:delete val="0"/>
        <c:axPos val="l"/>
        <c:majorTickMark val="out"/>
        <c:minorTickMark val="none"/>
        <c:tickLblPos val="nextTo"/>
        <c:crossAx val="288848064"/>
        <c:crosses val="autoZero"/>
        <c:auto val="1"/>
        <c:lblAlgn val="ctr"/>
        <c:lblOffset val="100"/>
        <c:noMultiLvlLbl val="0"/>
      </c:catAx>
      <c:valAx>
        <c:axId val="288848064"/>
        <c:scaling>
          <c:orientation val="minMax"/>
        </c:scaling>
        <c:delete val="0"/>
        <c:axPos val="b"/>
        <c:majorGridlines/>
        <c:numFmt formatCode="General" sourceLinked="1"/>
        <c:majorTickMark val="out"/>
        <c:minorTickMark val="none"/>
        <c:tickLblPos val="nextTo"/>
        <c:crossAx val="305847808"/>
        <c:crosses val="autoZero"/>
        <c:crossBetween val="between"/>
      </c:valAx>
    </c:plotArea>
    <c:legend>
      <c:legendPos val="r"/>
      <c:layout>
        <c:manualLayout>
          <c:xMode val="edge"/>
          <c:yMode val="edge"/>
          <c:x val="0.71184236738014339"/>
          <c:y val="3.4596712546210238E-2"/>
          <c:w val="0.24111071890810684"/>
          <c:h val="0.11036260839686769"/>
        </c:manualLayout>
      </c:layout>
      <c:overlay val="0"/>
    </c:legend>
    <c:plotVisOnly val="1"/>
    <c:dispBlanksAs val="gap"/>
    <c:showDLblsOverMax val="0"/>
  </c:chart>
  <c:txPr>
    <a:bodyPr/>
    <a:lstStyle/>
    <a:p>
      <a:pPr>
        <a:defRPr sz="800" baseline="0"/>
      </a:pPr>
      <a:endParaRPr lang="fa-I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987754674691852"/>
          <c:y val="3.24045552722231E-2"/>
          <c:w val="0.70577233264126493"/>
          <c:h val="0.90932461110783402"/>
        </c:manualLayout>
      </c:layout>
      <c:barChart>
        <c:barDir val="bar"/>
        <c:grouping val="clustered"/>
        <c:varyColors val="0"/>
        <c:ser>
          <c:idx val="0"/>
          <c:order val="0"/>
          <c:tx>
            <c:strRef>
              <c:f>Sheet6!$B$1</c:f>
              <c:strCache>
                <c:ptCount val="1"/>
                <c:pt idx="0">
                  <c:v>Iranian Articles</c:v>
                </c:pt>
              </c:strCache>
            </c:strRef>
          </c:tx>
          <c:invertIfNegative val="0"/>
          <c:cat>
            <c:strRef>
              <c:f>Sheet6!$A$2:$A$44</c:f>
              <c:strCache>
                <c:ptCount val="43"/>
                <c:pt idx="0">
                  <c:v>Sense of attachment </c:v>
                </c:pt>
                <c:pt idx="1">
                  <c:v>place desirability</c:v>
                </c:pt>
                <c:pt idx="2">
                  <c:v>sense of place </c:v>
                </c:pt>
                <c:pt idx="3">
                  <c:v>sense of community</c:v>
                </c:pt>
                <c:pt idx="4">
                  <c:v>place making</c:v>
                </c:pt>
                <c:pt idx="5">
                  <c:v>attachment</c:v>
                </c:pt>
                <c:pt idx="6">
                  <c:v>intimacy</c:v>
                </c:pt>
                <c:pt idx="7">
                  <c:v>satisfaction </c:v>
                </c:pt>
                <c:pt idx="8">
                  <c:v>compatibility</c:v>
                </c:pt>
                <c:pt idx="9">
                  <c:v>adaptation</c:v>
                </c:pt>
                <c:pt idx="10">
                  <c:v>flexibility </c:v>
                </c:pt>
                <c:pt idx="11">
                  <c:v>identity </c:v>
                </c:pt>
                <c:pt idx="12">
                  <c:v>culture </c:v>
                </c:pt>
                <c:pt idx="13">
                  <c:v>socio-cultural factors</c:v>
                </c:pt>
                <c:pt idx="14">
                  <c:v>introversion</c:v>
                </c:pt>
                <c:pt idx="15">
                  <c:v>quality of life </c:v>
                </c:pt>
                <c:pt idx="16">
                  <c:v>lifestyle </c:v>
                </c:pt>
                <c:pt idx="17">
                  <c:v>life cycle</c:v>
                </c:pt>
                <c:pt idx="18">
                  <c:v>Hospitality </c:v>
                </c:pt>
                <c:pt idx="19">
                  <c:v>mental comfort</c:v>
                </c:pt>
                <c:pt idx="20">
                  <c:v>mental health</c:v>
                </c:pt>
                <c:pt idx="21">
                  <c:v>psychological comfort </c:v>
                </c:pt>
                <c:pt idx="22">
                  <c:v>physical health</c:v>
                </c:pt>
                <c:pt idx="23">
                  <c:v>aesthetics</c:v>
                </c:pt>
                <c:pt idx="24">
                  <c:v>spirituality</c:v>
                </c:pt>
                <c:pt idx="25">
                  <c:v>holy foundations</c:v>
                </c:pt>
                <c:pt idx="26">
                  <c:v>humanoid</c:v>
                </c:pt>
                <c:pt idx="27">
                  <c:v>social interaction </c:v>
                </c:pt>
                <c:pt idx="28">
                  <c:v>social relationships </c:v>
                </c:pt>
                <c:pt idx="29">
                  <c:v>neighbour interaction </c:v>
                </c:pt>
                <c:pt idx="30">
                  <c:v>socialization</c:v>
                </c:pt>
                <c:pt idx="31">
                  <c:v>social respect</c:v>
                </c:pt>
                <c:pt idx="32">
                  <c:v>interactivity</c:v>
                </c:pt>
                <c:pt idx="33">
                  <c:v>communication</c:v>
                </c:pt>
                <c:pt idx="34">
                  <c:v>family interaction</c:v>
                </c:pt>
                <c:pt idx="35">
                  <c:v>collective feeling</c:v>
                </c:pt>
                <c:pt idx="36">
                  <c:v>creativity </c:v>
                </c:pt>
                <c:pt idx="37">
                  <c:v>Activity</c:v>
                </c:pt>
                <c:pt idx="38">
                  <c:v>behaviour</c:v>
                </c:pt>
                <c:pt idx="39">
                  <c:v>built environment</c:v>
                </c:pt>
                <c:pt idx="40">
                  <c:v>adaptation</c:v>
                </c:pt>
                <c:pt idx="41">
                  <c:v>affordability</c:v>
                </c:pt>
                <c:pt idx="42">
                  <c:v>tradition</c:v>
                </c:pt>
              </c:strCache>
            </c:strRef>
          </c:cat>
          <c:val>
            <c:numRef>
              <c:f>Sheet6!$B$2:$B$44</c:f>
              <c:numCache>
                <c:formatCode>General</c:formatCode>
                <c:ptCount val="43"/>
                <c:pt idx="0">
                  <c:v>4</c:v>
                </c:pt>
                <c:pt idx="1">
                  <c:v>32</c:v>
                </c:pt>
                <c:pt idx="2">
                  <c:v>36</c:v>
                </c:pt>
                <c:pt idx="3">
                  <c:v>0</c:v>
                </c:pt>
                <c:pt idx="4">
                  <c:v>0</c:v>
                </c:pt>
                <c:pt idx="5">
                  <c:v>5</c:v>
                </c:pt>
                <c:pt idx="6">
                  <c:v>3</c:v>
                </c:pt>
                <c:pt idx="7">
                  <c:v>53</c:v>
                </c:pt>
                <c:pt idx="8">
                  <c:v>1</c:v>
                </c:pt>
                <c:pt idx="9">
                  <c:v>8</c:v>
                </c:pt>
                <c:pt idx="10">
                  <c:v>24</c:v>
                </c:pt>
                <c:pt idx="11">
                  <c:v>46</c:v>
                </c:pt>
                <c:pt idx="12">
                  <c:v>104</c:v>
                </c:pt>
                <c:pt idx="13">
                  <c:v>0</c:v>
                </c:pt>
                <c:pt idx="14">
                  <c:v>11</c:v>
                </c:pt>
                <c:pt idx="15">
                  <c:v>23</c:v>
                </c:pt>
                <c:pt idx="16">
                  <c:v>61</c:v>
                </c:pt>
                <c:pt idx="17">
                  <c:v>0</c:v>
                </c:pt>
                <c:pt idx="18">
                  <c:v>5</c:v>
                </c:pt>
                <c:pt idx="19">
                  <c:v>4</c:v>
                </c:pt>
                <c:pt idx="20">
                  <c:v>6</c:v>
                </c:pt>
                <c:pt idx="21">
                  <c:v>59</c:v>
                </c:pt>
                <c:pt idx="22">
                  <c:v>0</c:v>
                </c:pt>
                <c:pt idx="23">
                  <c:v>16</c:v>
                </c:pt>
                <c:pt idx="24">
                  <c:v>25</c:v>
                </c:pt>
                <c:pt idx="25">
                  <c:v>3</c:v>
                </c:pt>
                <c:pt idx="26">
                  <c:v>4</c:v>
                </c:pt>
                <c:pt idx="27">
                  <c:v>30</c:v>
                </c:pt>
                <c:pt idx="28">
                  <c:v>0</c:v>
                </c:pt>
                <c:pt idx="29">
                  <c:v>17</c:v>
                </c:pt>
                <c:pt idx="30">
                  <c:v>3</c:v>
                </c:pt>
                <c:pt idx="31">
                  <c:v>3</c:v>
                </c:pt>
                <c:pt idx="32">
                  <c:v>5</c:v>
                </c:pt>
                <c:pt idx="33">
                  <c:v>0</c:v>
                </c:pt>
                <c:pt idx="34">
                  <c:v>14</c:v>
                </c:pt>
                <c:pt idx="35">
                  <c:v>15</c:v>
                </c:pt>
                <c:pt idx="36">
                  <c:v>10</c:v>
                </c:pt>
                <c:pt idx="37">
                  <c:v>0</c:v>
                </c:pt>
                <c:pt idx="38">
                  <c:v>0</c:v>
                </c:pt>
                <c:pt idx="39">
                  <c:v>0</c:v>
                </c:pt>
                <c:pt idx="40">
                  <c:v>0</c:v>
                </c:pt>
                <c:pt idx="41">
                  <c:v>0</c:v>
                </c:pt>
                <c:pt idx="42">
                  <c:v>0</c:v>
                </c:pt>
              </c:numCache>
            </c:numRef>
          </c:val>
        </c:ser>
        <c:ser>
          <c:idx val="1"/>
          <c:order val="1"/>
          <c:tx>
            <c:strRef>
              <c:f>Sheet6!$C$1</c:f>
              <c:strCache>
                <c:ptCount val="1"/>
                <c:pt idx="0">
                  <c:v>International Articles</c:v>
                </c:pt>
              </c:strCache>
            </c:strRef>
          </c:tx>
          <c:invertIfNegative val="0"/>
          <c:cat>
            <c:strRef>
              <c:f>Sheet6!$A$2:$A$44</c:f>
              <c:strCache>
                <c:ptCount val="43"/>
                <c:pt idx="0">
                  <c:v>Sense of attachment </c:v>
                </c:pt>
                <c:pt idx="1">
                  <c:v>place desirability</c:v>
                </c:pt>
                <c:pt idx="2">
                  <c:v>sense of place </c:v>
                </c:pt>
                <c:pt idx="3">
                  <c:v>sense of community</c:v>
                </c:pt>
                <c:pt idx="4">
                  <c:v>place making</c:v>
                </c:pt>
                <c:pt idx="5">
                  <c:v>attachment</c:v>
                </c:pt>
                <c:pt idx="6">
                  <c:v>intimacy</c:v>
                </c:pt>
                <c:pt idx="7">
                  <c:v>satisfaction </c:v>
                </c:pt>
                <c:pt idx="8">
                  <c:v>compatibility</c:v>
                </c:pt>
                <c:pt idx="9">
                  <c:v>adaptation</c:v>
                </c:pt>
                <c:pt idx="10">
                  <c:v>flexibility </c:v>
                </c:pt>
                <c:pt idx="11">
                  <c:v>identity </c:v>
                </c:pt>
                <c:pt idx="12">
                  <c:v>culture </c:v>
                </c:pt>
                <c:pt idx="13">
                  <c:v>socio-cultural factors</c:v>
                </c:pt>
                <c:pt idx="14">
                  <c:v>introversion</c:v>
                </c:pt>
                <c:pt idx="15">
                  <c:v>quality of life </c:v>
                </c:pt>
                <c:pt idx="16">
                  <c:v>lifestyle </c:v>
                </c:pt>
                <c:pt idx="17">
                  <c:v>life cycle</c:v>
                </c:pt>
                <c:pt idx="18">
                  <c:v>Hospitality </c:v>
                </c:pt>
                <c:pt idx="19">
                  <c:v>mental comfort</c:v>
                </c:pt>
                <c:pt idx="20">
                  <c:v>mental health</c:v>
                </c:pt>
                <c:pt idx="21">
                  <c:v>psychological comfort </c:v>
                </c:pt>
                <c:pt idx="22">
                  <c:v>physical health</c:v>
                </c:pt>
                <c:pt idx="23">
                  <c:v>aesthetics</c:v>
                </c:pt>
                <c:pt idx="24">
                  <c:v>spirituality</c:v>
                </c:pt>
                <c:pt idx="25">
                  <c:v>holy foundations</c:v>
                </c:pt>
                <c:pt idx="26">
                  <c:v>humanoid</c:v>
                </c:pt>
                <c:pt idx="27">
                  <c:v>social interaction </c:v>
                </c:pt>
                <c:pt idx="28">
                  <c:v>social relationships </c:v>
                </c:pt>
                <c:pt idx="29">
                  <c:v>neighbour interaction </c:v>
                </c:pt>
                <c:pt idx="30">
                  <c:v>socialization</c:v>
                </c:pt>
                <c:pt idx="31">
                  <c:v>social respect</c:v>
                </c:pt>
                <c:pt idx="32">
                  <c:v>interactivity</c:v>
                </c:pt>
                <c:pt idx="33">
                  <c:v>communication</c:v>
                </c:pt>
                <c:pt idx="34">
                  <c:v>family interaction</c:v>
                </c:pt>
                <c:pt idx="35">
                  <c:v>collective feeling</c:v>
                </c:pt>
                <c:pt idx="36">
                  <c:v>creativity </c:v>
                </c:pt>
                <c:pt idx="37">
                  <c:v>Activity</c:v>
                </c:pt>
                <c:pt idx="38">
                  <c:v>behaviour</c:v>
                </c:pt>
                <c:pt idx="39">
                  <c:v>built environment</c:v>
                </c:pt>
                <c:pt idx="40">
                  <c:v>adaptation</c:v>
                </c:pt>
                <c:pt idx="41">
                  <c:v>affordability</c:v>
                </c:pt>
                <c:pt idx="42">
                  <c:v>tradition</c:v>
                </c:pt>
              </c:strCache>
            </c:strRef>
          </c:cat>
          <c:val>
            <c:numRef>
              <c:f>Sheet6!$C$2:$C$44</c:f>
              <c:numCache>
                <c:formatCode>General</c:formatCode>
                <c:ptCount val="43"/>
                <c:pt idx="0">
                  <c:v>5</c:v>
                </c:pt>
                <c:pt idx="1">
                  <c:v>0</c:v>
                </c:pt>
                <c:pt idx="2">
                  <c:v>24</c:v>
                </c:pt>
                <c:pt idx="3">
                  <c:v>3</c:v>
                </c:pt>
                <c:pt idx="4">
                  <c:v>4</c:v>
                </c:pt>
                <c:pt idx="5">
                  <c:v>0</c:v>
                </c:pt>
                <c:pt idx="6">
                  <c:v>0</c:v>
                </c:pt>
                <c:pt idx="7">
                  <c:v>37</c:v>
                </c:pt>
                <c:pt idx="8">
                  <c:v>3</c:v>
                </c:pt>
                <c:pt idx="9">
                  <c:v>0</c:v>
                </c:pt>
                <c:pt idx="10">
                  <c:v>14</c:v>
                </c:pt>
                <c:pt idx="11">
                  <c:v>32</c:v>
                </c:pt>
                <c:pt idx="12">
                  <c:v>43</c:v>
                </c:pt>
                <c:pt idx="13">
                  <c:v>3</c:v>
                </c:pt>
                <c:pt idx="14">
                  <c:v>0</c:v>
                </c:pt>
                <c:pt idx="15">
                  <c:v>18</c:v>
                </c:pt>
                <c:pt idx="16">
                  <c:v>12</c:v>
                </c:pt>
                <c:pt idx="17">
                  <c:v>6</c:v>
                </c:pt>
                <c:pt idx="18">
                  <c:v>7</c:v>
                </c:pt>
                <c:pt idx="19">
                  <c:v>0</c:v>
                </c:pt>
                <c:pt idx="20">
                  <c:v>0</c:v>
                </c:pt>
                <c:pt idx="21">
                  <c:v>4</c:v>
                </c:pt>
                <c:pt idx="22">
                  <c:v>3</c:v>
                </c:pt>
                <c:pt idx="23">
                  <c:v>6</c:v>
                </c:pt>
                <c:pt idx="24">
                  <c:v>0</c:v>
                </c:pt>
                <c:pt idx="25">
                  <c:v>0</c:v>
                </c:pt>
                <c:pt idx="26">
                  <c:v>0</c:v>
                </c:pt>
                <c:pt idx="27">
                  <c:v>11</c:v>
                </c:pt>
                <c:pt idx="28">
                  <c:v>7</c:v>
                </c:pt>
                <c:pt idx="29">
                  <c:v>4</c:v>
                </c:pt>
                <c:pt idx="30">
                  <c:v>0</c:v>
                </c:pt>
                <c:pt idx="31">
                  <c:v>0</c:v>
                </c:pt>
                <c:pt idx="32">
                  <c:v>0</c:v>
                </c:pt>
                <c:pt idx="33">
                  <c:v>3</c:v>
                </c:pt>
                <c:pt idx="34">
                  <c:v>0</c:v>
                </c:pt>
                <c:pt idx="35">
                  <c:v>0</c:v>
                </c:pt>
                <c:pt idx="36">
                  <c:v>4</c:v>
                </c:pt>
                <c:pt idx="37">
                  <c:v>4</c:v>
                </c:pt>
                <c:pt idx="38">
                  <c:v>6</c:v>
                </c:pt>
                <c:pt idx="39">
                  <c:v>6</c:v>
                </c:pt>
                <c:pt idx="40">
                  <c:v>3</c:v>
                </c:pt>
                <c:pt idx="41">
                  <c:v>8</c:v>
                </c:pt>
                <c:pt idx="42">
                  <c:v>3</c:v>
                </c:pt>
              </c:numCache>
            </c:numRef>
          </c:val>
        </c:ser>
        <c:dLbls>
          <c:showLegendKey val="0"/>
          <c:showVal val="0"/>
          <c:showCatName val="0"/>
          <c:showSerName val="0"/>
          <c:showPercent val="0"/>
          <c:showBubbleSize val="0"/>
        </c:dLbls>
        <c:gapWidth val="150"/>
        <c:axId val="316077568"/>
        <c:axId val="291632192"/>
      </c:barChart>
      <c:catAx>
        <c:axId val="316077568"/>
        <c:scaling>
          <c:orientation val="minMax"/>
        </c:scaling>
        <c:delete val="0"/>
        <c:axPos val="l"/>
        <c:majorTickMark val="out"/>
        <c:minorTickMark val="none"/>
        <c:tickLblPos val="nextTo"/>
        <c:txPr>
          <a:bodyPr/>
          <a:lstStyle/>
          <a:p>
            <a:pPr>
              <a:defRPr sz="800" baseline="0"/>
            </a:pPr>
            <a:endParaRPr lang="fa-IR"/>
          </a:p>
        </c:txPr>
        <c:crossAx val="291632192"/>
        <c:crosses val="autoZero"/>
        <c:auto val="1"/>
        <c:lblAlgn val="ctr"/>
        <c:lblOffset val="100"/>
        <c:noMultiLvlLbl val="0"/>
      </c:catAx>
      <c:valAx>
        <c:axId val="291632192"/>
        <c:scaling>
          <c:orientation val="minMax"/>
        </c:scaling>
        <c:delete val="0"/>
        <c:axPos val="b"/>
        <c:majorGridlines/>
        <c:numFmt formatCode="General" sourceLinked="1"/>
        <c:majorTickMark val="out"/>
        <c:minorTickMark val="none"/>
        <c:tickLblPos val="nextTo"/>
        <c:crossAx val="316077568"/>
        <c:crosses val="autoZero"/>
        <c:crossBetween val="between"/>
      </c:valAx>
    </c:plotArea>
    <c:legend>
      <c:legendPos val="r"/>
      <c:layout>
        <c:manualLayout>
          <c:xMode val="edge"/>
          <c:yMode val="edge"/>
          <c:x val="0.7283375615939276"/>
          <c:y val="3.1262555470147842E-2"/>
          <c:w val="0.24111071890810684"/>
          <c:h val="8.6510768500546689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stacked"/>
        <c:varyColors val="0"/>
        <c:ser>
          <c:idx val="0"/>
          <c:order val="0"/>
          <c:tx>
            <c:strRef>
              <c:f>Sheet1!$B$1</c:f>
              <c:strCache>
                <c:ptCount val="1"/>
                <c:pt idx="0">
                  <c:v>Series 1</c:v>
                </c:pt>
              </c:strCache>
            </c:strRef>
          </c:tx>
          <c:spPr>
            <a:solidFill>
              <a:schemeClr val="accent3">
                <a:shade val="65000"/>
              </a:schemeClr>
            </a:solidFill>
            <a:ln>
              <a:noFill/>
            </a:ln>
            <a:effectLst/>
          </c:spPr>
          <c:invertIfNegative val="0"/>
          <c:cat>
            <c:strRef>
              <c:f>Sheet1!$A$2:$A$16</c:f>
              <c:strCache>
                <c:ptCount val="15"/>
                <c:pt idx="0">
                  <c:v>Bagh-e Nazar</c:v>
                </c:pt>
                <c:pt idx="1">
                  <c:v>Islamic Architectural Researches</c:v>
                </c:pt>
                <c:pt idx="2">
                  <c:v>Soffeh</c:v>
                </c:pt>
                <c:pt idx="3">
                  <c:v>Urban Management</c:v>
                </c:pt>
                <c:pt idx="4">
                  <c:v>Maremat &amp; Memari-e Iran</c:v>
                </c:pt>
                <c:pt idx="5">
                  <c:v>Journal of Housing and Rural Environment</c:v>
                </c:pt>
                <c:pt idx="6">
                  <c:v>Journal of Studies on Iranian-Islamic City</c:v>
                </c:pt>
                <c:pt idx="7">
                  <c:v>Urban Studies</c:v>
                </c:pt>
                <c:pt idx="8">
                  <c:v>Iranian Architecture and Urbanism</c:v>
                </c:pt>
                <c:pt idx="9">
                  <c:v>Architecture and Urbanism</c:v>
                </c:pt>
                <c:pt idx="10">
                  <c:v>Armanshahr Architecture &amp; Urban Development</c:v>
                </c:pt>
                <c:pt idx="11">
                  <c:v>Journal of Architecture and Urban Planning</c:v>
                </c:pt>
                <c:pt idx="12">
                  <c:v>Naghsh-e Jahan</c:v>
                </c:pt>
                <c:pt idx="13">
                  <c:v>Hoviatshahr</c:v>
                </c:pt>
                <c:pt idx="14">
                  <c:v>International Journal of Architectural Engineering &amp; Urban Planning</c:v>
                </c:pt>
              </c:strCache>
            </c:strRef>
          </c:cat>
          <c:val>
            <c:numRef>
              <c:f>Sheet1!$B$2:$B$16</c:f>
              <c:numCache>
                <c:formatCode>General</c:formatCode>
                <c:ptCount val="15"/>
                <c:pt idx="0">
                  <c:v>16</c:v>
                </c:pt>
                <c:pt idx="1">
                  <c:v>14</c:v>
                </c:pt>
                <c:pt idx="2">
                  <c:v>6</c:v>
                </c:pt>
                <c:pt idx="3">
                  <c:v>14</c:v>
                </c:pt>
                <c:pt idx="4">
                  <c:v>3</c:v>
                </c:pt>
                <c:pt idx="5">
                  <c:v>23</c:v>
                </c:pt>
                <c:pt idx="6">
                  <c:v>10</c:v>
                </c:pt>
                <c:pt idx="7">
                  <c:v>12</c:v>
                </c:pt>
                <c:pt idx="8">
                  <c:v>13</c:v>
                </c:pt>
                <c:pt idx="9">
                  <c:v>17</c:v>
                </c:pt>
                <c:pt idx="10">
                  <c:v>13</c:v>
                </c:pt>
                <c:pt idx="11">
                  <c:v>12</c:v>
                </c:pt>
                <c:pt idx="12">
                  <c:v>8</c:v>
                </c:pt>
                <c:pt idx="13">
                  <c:v>18</c:v>
                </c:pt>
                <c:pt idx="14">
                  <c:v>8</c:v>
                </c:pt>
              </c:numCache>
            </c:numRef>
          </c:val>
        </c:ser>
        <c:ser>
          <c:idx val="1"/>
          <c:order val="1"/>
          <c:tx>
            <c:strRef>
              <c:f>Sheet1!$C$1</c:f>
              <c:strCache>
                <c:ptCount val="1"/>
                <c:pt idx="0">
                  <c:v>Column1</c:v>
                </c:pt>
              </c:strCache>
            </c:strRef>
          </c:tx>
          <c:spPr>
            <a:solidFill>
              <a:schemeClr val="accent3"/>
            </a:solidFill>
            <a:ln>
              <a:noFill/>
            </a:ln>
            <a:effectLst/>
          </c:spPr>
          <c:invertIfNegative val="0"/>
          <c:cat>
            <c:strRef>
              <c:f>Sheet1!$A$2:$A$16</c:f>
              <c:strCache>
                <c:ptCount val="15"/>
                <c:pt idx="0">
                  <c:v>Bagh-e Nazar</c:v>
                </c:pt>
                <c:pt idx="1">
                  <c:v>Islamic Architectural Researches</c:v>
                </c:pt>
                <c:pt idx="2">
                  <c:v>Soffeh</c:v>
                </c:pt>
                <c:pt idx="3">
                  <c:v>Urban Management</c:v>
                </c:pt>
                <c:pt idx="4">
                  <c:v>Maremat &amp; Memari-e Iran</c:v>
                </c:pt>
                <c:pt idx="5">
                  <c:v>Journal of Housing and Rural Environment</c:v>
                </c:pt>
                <c:pt idx="6">
                  <c:v>Journal of Studies on Iranian-Islamic City</c:v>
                </c:pt>
                <c:pt idx="7">
                  <c:v>Urban Studies</c:v>
                </c:pt>
                <c:pt idx="8">
                  <c:v>Iranian Architecture and Urbanism</c:v>
                </c:pt>
                <c:pt idx="9">
                  <c:v>Architecture and Urbanism</c:v>
                </c:pt>
                <c:pt idx="10">
                  <c:v>Armanshahr Architecture &amp; Urban Development</c:v>
                </c:pt>
                <c:pt idx="11">
                  <c:v>Journal of Architecture and Urban Planning</c:v>
                </c:pt>
                <c:pt idx="12">
                  <c:v>Naghsh-e Jahan</c:v>
                </c:pt>
                <c:pt idx="13">
                  <c:v>Hoviatshahr</c:v>
                </c:pt>
                <c:pt idx="14">
                  <c:v>International Journal of Architectural Engineering &amp; Urban Planning</c:v>
                </c:pt>
              </c:strCache>
            </c:strRef>
          </c:cat>
          <c:val>
            <c:numRef>
              <c:f>Sheet1!$C$2:$C$18</c:f>
              <c:numCache>
                <c:formatCode>General</c:formatCode>
                <c:ptCount val="17"/>
              </c:numCache>
            </c:numRef>
          </c:val>
        </c:ser>
        <c:ser>
          <c:idx val="2"/>
          <c:order val="2"/>
          <c:tx>
            <c:strRef>
              <c:f>Sheet1!$D$1</c:f>
              <c:strCache>
                <c:ptCount val="1"/>
                <c:pt idx="0">
                  <c:v>Column2</c:v>
                </c:pt>
              </c:strCache>
            </c:strRef>
          </c:tx>
          <c:spPr>
            <a:solidFill>
              <a:schemeClr val="accent3">
                <a:tint val="65000"/>
              </a:schemeClr>
            </a:solidFill>
            <a:ln>
              <a:noFill/>
            </a:ln>
            <a:effectLst/>
          </c:spPr>
          <c:invertIfNegative val="0"/>
          <c:cat>
            <c:strRef>
              <c:f>Sheet1!$A$2:$A$16</c:f>
              <c:strCache>
                <c:ptCount val="15"/>
                <c:pt idx="0">
                  <c:v>Bagh-e Nazar</c:v>
                </c:pt>
                <c:pt idx="1">
                  <c:v>Islamic Architectural Researches</c:v>
                </c:pt>
                <c:pt idx="2">
                  <c:v>Soffeh</c:v>
                </c:pt>
                <c:pt idx="3">
                  <c:v>Urban Management</c:v>
                </c:pt>
                <c:pt idx="4">
                  <c:v>Maremat &amp; Memari-e Iran</c:v>
                </c:pt>
                <c:pt idx="5">
                  <c:v>Journal of Housing and Rural Environment</c:v>
                </c:pt>
                <c:pt idx="6">
                  <c:v>Journal of Studies on Iranian-Islamic City</c:v>
                </c:pt>
                <c:pt idx="7">
                  <c:v>Urban Studies</c:v>
                </c:pt>
                <c:pt idx="8">
                  <c:v>Iranian Architecture and Urbanism</c:v>
                </c:pt>
                <c:pt idx="9">
                  <c:v>Architecture and Urbanism</c:v>
                </c:pt>
                <c:pt idx="10">
                  <c:v>Armanshahr Architecture &amp; Urban Development</c:v>
                </c:pt>
                <c:pt idx="11">
                  <c:v>Journal of Architecture and Urban Planning</c:v>
                </c:pt>
                <c:pt idx="12">
                  <c:v>Naghsh-e Jahan</c:v>
                </c:pt>
                <c:pt idx="13">
                  <c:v>Hoviatshahr</c:v>
                </c:pt>
                <c:pt idx="14">
                  <c:v>International Journal of Architectural Engineering &amp; Urban Planning</c:v>
                </c:pt>
              </c:strCache>
            </c:strRef>
          </c:cat>
          <c:val>
            <c:numRef>
              <c:f>Sheet1!$D$2:$D$18</c:f>
              <c:numCache>
                <c:formatCode>General</c:formatCode>
                <c:ptCount val="17"/>
              </c:numCache>
            </c:numRef>
          </c:val>
        </c:ser>
        <c:dLbls>
          <c:showLegendKey val="0"/>
          <c:showVal val="0"/>
          <c:showCatName val="0"/>
          <c:showSerName val="0"/>
          <c:showPercent val="0"/>
          <c:showBubbleSize val="0"/>
        </c:dLbls>
        <c:gapWidth val="219"/>
        <c:overlap val="100"/>
        <c:axId val="294348288"/>
        <c:axId val="288844608"/>
      </c:barChart>
      <c:catAx>
        <c:axId val="294348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288844608"/>
        <c:crosses val="autoZero"/>
        <c:auto val="1"/>
        <c:lblAlgn val="ctr"/>
        <c:lblOffset val="100"/>
        <c:noMultiLvlLbl val="0"/>
      </c:catAx>
      <c:valAx>
        <c:axId val="288844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294348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stacked"/>
        <c:varyColors val="0"/>
        <c:ser>
          <c:idx val="0"/>
          <c:order val="0"/>
          <c:tx>
            <c:strRef>
              <c:f>Sheet1!$B$1</c:f>
              <c:strCache>
                <c:ptCount val="1"/>
                <c:pt idx="0">
                  <c:v>Series 1</c:v>
                </c:pt>
              </c:strCache>
            </c:strRef>
          </c:tx>
          <c:spPr>
            <a:solidFill>
              <a:schemeClr val="accent3">
                <a:shade val="65000"/>
              </a:schemeClr>
            </a:solidFill>
            <a:ln>
              <a:noFill/>
            </a:ln>
            <a:effectLst/>
          </c:spPr>
          <c:invertIfNegative val="0"/>
          <c:cat>
            <c:strRef>
              <c:f>Sheet1!$A$2:$A$18</c:f>
              <c:strCache>
                <c:ptCount val="15"/>
                <c:pt idx="0">
                  <c:v>Journal of Building Performance Simulation</c:v>
                </c:pt>
                <c:pt idx="1">
                  <c:v>Architectural Science Review</c:v>
                </c:pt>
                <c:pt idx="2">
                  <c:v>Journal of Building Engineering</c:v>
                </c:pt>
                <c:pt idx="3">
                  <c:v>Construction Innovation</c:v>
                </c:pt>
                <c:pt idx="4">
                  <c:v>International Journal of Architectural Heritage</c:v>
                </c:pt>
                <c:pt idx="5">
                  <c:v>Facilities</c:v>
                </c:pt>
                <c:pt idx="6">
                  <c:v>Frontiers of Architectural Research</c:v>
                </c:pt>
                <c:pt idx="7">
                  <c:v>Architectural, Engineering and Design management</c:v>
                </c:pt>
                <c:pt idx="8">
                  <c:v>CoDesign</c:v>
                </c:pt>
                <c:pt idx="9">
                  <c:v>International Journal of Low Carbon Technologies</c:v>
                </c:pt>
                <c:pt idx="10">
                  <c:v>Journal of Asian Architecture and building Engineering</c:v>
                </c:pt>
                <c:pt idx="11">
                  <c:v>Journal of Architectural Engineering</c:v>
                </c:pt>
                <c:pt idx="12">
                  <c:v>Journal of Civil, Architectural and Environmental Engineering</c:v>
                </c:pt>
                <c:pt idx="13">
                  <c:v>Architectural Design</c:v>
                </c:pt>
                <c:pt idx="14">
                  <c:v>SPATIUM</c:v>
                </c:pt>
              </c:strCache>
            </c:strRef>
          </c:cat>
          <c:val>
            <c:numRef>
              <c:f>Sheet1!$B$2:$B$18</c:f>
              <c:numCache>
                <c:formatCode>General</c:formatCode>
                <c:ptCount val="17"/>
                <c:pt idx="0">
                  <c:v>17</c:v>
                </c:pt>
                <c:pt idx="1">
                  <c:v>30</c:v>
                </c:pt>
                <c:pt idx="2">
                  <c:v>14</c:v>
                </c:pt>
                <c:pt idx="3">
                  <c:v>11</c:v>
                </c:pt>
                <c:pt idx="4">
                  <c:v>7</c:v>
                </c:pt>
                <c:pt idx="5">
                  <c:v>22</c:v>
                </c:pt>
                <c:pt idx="6">
                  <c:v>28</c:v>
                </c:pt>
                <c:pt idx="7">
                  <c:v>8</c:v>
                </c:pt>
                <c:pt idx="8">
                  <c:v>2</c:v>
                </c:pt>
                <c:pt idx="9">
                  <c:v>11</c:v>
                </c:pt>
                <c:pt idx="10">
                  <c:v>68</c:v>
                </c:pt>
                <c:pt idx="11">
                  <c:v>20</c:v>
                </c:pt>
                <c:pt idx="12">
                  <c:v>19</c:v>
                </c:pt>
                <c:pt idx="13">
                  <c:v>13</c:v>
                </c:pt>
                <c:pt idx="14">
                  <c:v>6</c:v>
                </c:pt>
              </c:numCache>
            </c:numRef>
          </c:val>
        </c:ser>
        <c:ser>
          <c:idx val="1"/>
          <c:order val="1"/>
          <c:tx>
            <c:strRef>
              <c:f>Sheet1!$C$1</c:f>
              <c:strCache>
                <c:ptCount val="1"/>
                <c:pt idx="0">
                  <c:v>Column1</c:v>
                </c:pt>
              </c:strCache>
            </c:strRef>
          </c:tx>
          <c:spPr>
            <a:solidFill>
              <a:schemeClr val="accent3"/>
            </a:solidFill>
            <a:ln>
              <a:noFill/>
            </a:ln>
            <a:effectLst/>
          </c:spPr>
          <c:invertIfNegative val="0"/>
          <c:cat>
            <c:strRef>
              <c:f>Sheet1!$A$2:$A$18</c:f>
              <c:strCache>
                <c:ptCount val="15"/>
                <c:pt idx="0">
                  <c:v>Journal of Building Performance Simulation</c:v>
                </c:pt>
                <c:pt idx="1">
                  <c:v>Architectural Science Review</c:v>
                </c:pt>
                <c:pt idx="2">
                  <c:v>Journal of Building Engineering</c:v>
                </c:pt>
                <c:pt idx="3">
                  <c:v>Construction Innovation</c:v>
                </c:pt>
                <c:pt idx="4">
                  <c:v>International Journal of Architectural Heritage</c:v>
                </c:pt>
                <c:pt idx="5">
                  <c:v>Facilities</c:v>
                </c:pt>
                <c:pt idx="6">
                  <c:v>Frontiers of Architectural Research</c:v>
                </c:pt>
                <c:pt idx="7">
                  <c:v>Architectural, Engineering and Design management</c:v>
                </c:pt>
                <c:pt idx="8">
                  <c:v>CoDesign</c:v>
                </c:pt>
                <c:pt idx="9">
                  <c:v>International Journal of Low Carbon Technologies</c:v>
                </c:pt>
                <c:pt idx="10">
                  <c:v>Journal of Asian Architecture and building Engineering</c:v>
                </c:pt>
                <c:pt idx="11">
                  <c:v>Journal of Architectural Engineering</c:v>
                </c:pt>
                <c:pt idx="12">
                  <c:v>Journal of Civil, Architectural and Environmental Engineering</c:v>
                </c:pt>
                <c:pt idx="13">
                  <c:v>Architectural Design</c:v>
                </c:pt>
                <c:pt idx="14">
                  <c:v>SPATIUM</c:v>
                </c:pt>
              </c:strCache>
            </c:strRef>
          </c:cat>
          <c:val>
            <c:numRef>
              <c:f>Sheet1!$C$2:$C$18</c:f>
              <c:numCache>
                <c:formatCode>General</c:formatCode>
                <c:ptCount val="17"/>
              </c:numCache>
            </c:numRef>
          </c:val>
        </c:ser>
        <c:ser>
          <c:idx val="2"/>
          <c:order val="2"/>
          <c:tx>
            <c:strRef>
              <c:f>Sheet1!$D$1</c:f>
              <c:strCache>
                <c:ptCount val="1"/>
                <c:pt idx="0">
                  <c:v>Column2</c:v>
                </c:pt>
              </c:strCache>
            </c:strRef>
          </c:tx>
          <c:spPr>
            <a:solidFill>
              <a:schemeClr val="accent3">
                <a:tint val="65000"/>
              </a:schemeClr>
            </a:solidFill>
            <a:ln>
              <a:noFill/>
            </a:ln>
            <a:effectLst/>
          </c:spPr>
          <c:invertIfNegative val="0"/>
          <c:cat>
            <c:strRef>
              <c:f>Sheet1!$A$2:$A$18</c:f>
              <c:strCache>
                <c:ptCount val="15"/>
                <c:pt idx="0">
                  <c:v>Journal of Building Performance Simulation</c:v>
                </c:pt>
                <c:pt idx="1">
                  <c:v>Architectural Science Review</c:v>
                </c:pt>
                <c:pt idx="2">
                  <c:v>Journal of Building Engineering</c:v>
                </c:pt>
                <c:pt idx="3">
                  <c:v>Construction Innovation</c:v>
                </c:pt>
                <c:pt idx="4">
                  <c:v>International Journal of Architectural Heritage</c:v>
                </c:pt>
                <c:pt idx="5">
                  <c:v>Facilities</c:v>
                </c:pt>
                <c:pt idx="6">
                  <c:v>Frontiers of Architectural Research</c:v>
                </c:pt>
                <c:pt idx="7">
                  <c:v>Architectural, Engineering and Design management</c:v>
                </c:pt>
                <c:pt idx="8">
                  <c:v>CoDesign</c:v>
                </c:pt>
                <c:pt idx="9">
                  <c:v>International Journal of Low Carbon Technologies</c:v>
                </c:pt>
                <c:pt idx="10">
                  <c:v>Journal of Asian Architecture and building Engineering</c:v>
                </c:pt>
                <c:pt idx="11">
                  <c:v>Journal of Architectural Engineering</c:v>
                </c:pt>
                <c:pt idx="12">
                  <c:v>Journal of Civil, Architectural and Environmental Engineering</c:v>
                </c:pt>
                <c:pt idx="13">
                  <c:v>Architectural Design</c:v>
                </c:pt>
                <c:pt idx="14">
                  <c:v>SPATIUM</c:v>
                </c:pt>
              </c:strCache>
            </c:strRef>
          </c:cat>
          <c:val>
            <c:numRef>
              <c:f>Sheet1!$D$2:$D$18</c:f>
              <c:numCache>
                <c:formatCode>General</c:formatCode>
                <c:ptCount val="17"/>
              </c:numCache>
            </c:numRef>
          </c:val>
        </c:ser>
        <c:dLbls>
          <c:showLegendKey val="0"/>
          <c:showVal val="0"/>
          <c:showCatName val="0"/>
          <c:showSerName val="0"/>
          <c:showPercent val="0"/>
          <c:showBubbleSize val="0"/>
        </c:dLbls>
        <c:gapWidth val="219"/>
        <c:overlap val="100"/>
        <c:axId val="295050752"/>
        <c:axId val="286494080"/>
      </c:barChart>
      <c:catAx>
        <c:axId val="295050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286494080"/>
        <c:crosses val="autoZero"/>
        <c:auto val="1"/>
        <c:lblAlgn val="ctr"/>
        <c:lblOffset val="100"/>
        <c:noMultiLvlLbl val="0"/>
      </c:catAx>
      <c:valAx>
        <c:axId val="286494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295050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bar"/>
        <c:grouping val="clustered"/>
        <c:varyColors val="0"/>
        <c:ser>
          <c:idx val="0"/>
          <c:order val="0"/>
          <c:tx>
            <c:strRef>
              <c:f>Sheet1!$B$1</c:f>
              <c:strCache>
                <c:ptCount val="1"/>
                <c:pt idx="0">
                  <c:v>Sales</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Pt>
            <c:idx val="5"/>
            <c:invertIfNegative val="0"/>
            <c:bubble3D val="0"/>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Environmental Factors</c:v>
                </c:pt>
                <c:pt idx="1">
                  <c:v>Architectural Elements</c:v>
                </c:pt>
                <c:pt idx="2">
                  <c:v>Geometry anf Proportions</c:v>
                </c:pt>
                <c:pt idx="3">
                  <c:v>Architectural Fundamental Concepts</c:v>
                </c:pt>
                <c:pt idx="4">
                  <c:v>Standards and Criteria</c:v>
                </c:pt>
                <c:pt idx="5">
                  <c:v>Psychological and Social Concepts</c:v>
                </c:pt>
              </c:strCache>
            </c:strRef>
          </c:cat>
          <c:val>
            <c:numRef>
              <c:f>Sheet1!$B$2:$B$7</c:f>
              <c:numCache>
                <c:formatCode>0.00%</c:formatCode>
                <c:ptCount val="6"/>
                <c:pt idx="0">
                  <c:v>0.1384</c:v>
                </c:pt>
                <c:pt idx="1">
                  <c:v>7.6700000000000004E-2</c:v>
                </c:pt>
                <c:pt idx="2">
                  <c:v>9.1600000000000001E-2</c:v>
                </c:pt>
                <c:pt idx="3">
                  <c:v>0.25030000000000002</c:v>
                </c:pt>
                <c:pt idx="4">
                  <c:v>7.4200000000000002E-2</c:v>
                </c:pt>
                <c:pt idx="5">
                  <c:v>0.36880000000000002</c:v>
                </c:pt>
              </c:numCache>
            </c:numRef>
          </c:val>
        </c:ser>
        <c:dLbls>
          <c:showLegendKey val="0"/>
          <c:showVal val="0"/>
          <c:showCatName val="0"/>
          <c:showSerName val="0"/>
          <c:showPercent val="0"/>
          <c:showBubbleSize val="0"/>
        </c:dLbls>
        <c:gapWidth val="100"/>
        <c:axId val="295052288"/>
        <c:axId val="286495808"/>
      </c:barChart>
      <c:catAx>
        <c:axId val="295052288"/>
        <c:scaling>
          <c:orientation val="minMax"/>
        </c:scaling>
        <c:delete val="0"/>
        <c:axPos val="l"/>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286495808"/>
        <c:crosses val="autoZero"/>
        <c:auto val="1"/>
        <c:lblAlgn val="ctr"/>
        <c:lblOffset val="100"/>
        <c:noMultiLvlLbl val="0"/>
      </c:catAx>
      <c:valAx>
        <c:axId val="286495808"/>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crossAx val="295052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bar"/>
        <c:grouping val="clustered"/>
        <c:varyColors val="0"/>
        <c:ser>
          <c:idx val="0"/>
          <c:order val="0"/>
          <c:tx>
            <c:strRef>
              <c:f>Sheet1!$B$1</c:f>
              <c:strCache>
                <c:ptCount val="1"/>
                <c:pt idx="0">
                  <c:v>Sales</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Pt>
            <c:idx val="5"/>
            <c:invertIfNegative val="0"/>
            <c:bubble3D val="0"/>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Environmental Factors</c:v>
                </c:pt>
                <c:pt idx="1">
                  <c:v>Architectural Elements</c:v>
                </c:pt>
                <c:pt idx="2">
                  <c:v>Geometry anf Proportions</c:v>
                </c:pt>
                <c:pt idx="3">
                  <c:v>Architectural Fundamental Concepts</c:v>
                </c:pt>
                <c:pt idx="4">
                  <c:v>Standards and Criteria</c:v>
                </c:pt>
                <c:pt idx="5">
                  <c:v>Psychological and Social Concepts</c:v>
                </c:pt>
              </c:strCache>
            </c:strRef>
          </c:cat>
          <c:val>
            <c:numRef>
              <c:f>Sheet1!$B$2:$B$7</c:f>
              <c:numCache>
                <c:formatCode>0.00%</c:formatCode>
                <c:ptCount val="6"/>
                <c:pt idx="0">
                  <c:v>0.4163</c:v>
                </c:pt>
                <c:pt idx="1">
                  <c:v>4.7199999999999999E-2</c:v>
                </c:pt>
                <c:pt idx="2">
                  <c:v>5.2699999999999997E-2</c:v>
                </c:pt>
                <c:pt idx="3">
                  <c:v>4.5499999999999999E-2</c:v>
                </c:pt>
                <c:pt idx="4">
                  <c:v>0.2545</c:v>
                </c:pt>
                <c:pt idx="5">
                  <c:v>0.18379999999999999</c:v>
                </c:pt>
              </c:numCache>
            </c:numRef>
          </c:val>
        </c:ser>
        <c:dLbls>
          <c:showLegendKey val="0"/>
          <c:showVal val="0"/>
          <c:showCatName val="0"/>
          <c:showSerName val="0"/>
          <c:showPercent val="0"/>
          <c:showBubbleSize val="0"/>
        </c:dLbls>
        <c:gapWidth val="100"/>
        <c:axId val="295054848"/>
        <c:axId val="286498112"/>
      </c:barChart>
      <c:valAx>
        <c:axId val="286498112"/>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crossAx val="295054848"/>
        <c:crosses val="autoZero"/>
        <c:crossBetween val="between"/>
      </c:valAx>
      <c:catAx>
        <c:axId val="295054848"/>
        <c:scaling>
          <c:orientation val="minMax"/>
        </c:scaling>
        <c:delete val="0"/>
        <c:axPos val="l"/>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286498112"/>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7825111255859292"/>
          <c:y val="2.709093423249976E-2"/>
          <c:w val="0.64151706592623692"/>
          <c:h val="0.92592437823948359"/>
        </c:manualLayout>
      </c:layout>
      <c:barChart>
        <c:barDir val="bar"/>
        <c:grouping val="clustered"/>
        <c:varyColors val="0"/>
        <c:ser>
          <c:idx val="0"/>
          <c:order val="0"/>
          <c:tx>
            <c:strRef>
              <c:f>Sheet1!$B$1</c:f>
              <c:strCache>
                <c:ptCount val="1"/>
                <c:pt idx="0">
                  <c:v>Iranian Articles</c:v>
                </c:pt>
              </c:strCache>
            </c:strRef>
          </c:tx>
          <c:invertIfNegative val="0"/>
          <c:cat>
            <c:strRef>
              <c:f>Sheet1!$A$2:$A$51</c:f>
              <c:strCache>
                <c:ptCount val="50"/>
                <c:pt idx="0">
                  <c:v>Climate</c:v>
                </c:pt>
                <c:pt idx="1">
                  <c:v>Nature </c:v>
                </c:pt>
                <c:pt idx="2">
                  <c:v>plant</c:v>
                </c:pt>
                <c:pt idx="3">
                  <c:v>sky</c:v>
                </c:pt>
                <c:pt idx="4">
                  <c:v>landscape</c:v>
                </c:pt>
                <c:pt idx="5">
                  <c:v>perspective</c:v>
                </c:pt>
                <c:pt idx="6">
                  <c:v>vision</c:v>
                </c:pt>
                <c:pt idx="7">
                  <c:v>habitat</c:v>
                </c:pt>
                <c:pt idx="8">
                  <c:v>weather</c:v>
                </c:pt>
                <c:pt idx="9">
                  <c:v>water</c:v>
                </c:pt>
                <c:pt idx="10">
                  <c:v>wind</c:v>
                </c:pt>
                <c:pt idx="11">
                  <c:v>rain</c:v>
                </c:pt>
                <c:pt idx="12">
                  <c:v>humidity</c:v>
                </c:pt>
                <c:pt idx="13">
                  <c:v>ecology</c:v>
                </c:pt>
                <c:pt idx="14">
                  <c:v>green space </c:v>
                </c:pt>
                <c:pt idx="15">
                  <c:v>light </c:v>
                </c:pt>
                <c:pt idx="16">
                  <c:v>lighting</c:v>
                </c:pt>
                <c:pt idx="17">
                  <c:v>Glare</c:v>
                </c:pt>
                <c:pt idx="18">
                  <c:v>sunlight</c:v>
                </c:pt>
                <c:pt idx="19">
                  <c:v>shading</c:v>
                </c:pt>
                <c:pt idx="20">
                  <c:v>air </c:v>
                </c:pt>
                <c:pt idx="21">
                  <c:v>airflow</c:v>
                </c:pt>
                <c:pt idx="22">
                  <c:v>air conditioning</c:v>
                </c:pt>
                <c:pt idx="23">
                  <c:v>air quality</c:v>
                </c:pt>
                <c:pt idx="24">
                  <c:v>cooling</c:v>
                </c:pt>
                <c:pt idx="25">
                  <c:v>heating</c:v>
                </c:pt>
                <c:pt idx="26">
                  <c:v>temperature</c:v>
                </c:pt>
                <c:pt idx="27">
                  <c:v>ventilation</c:v>
                </c:pt>
                <c:pt idx="28">
                  <c:v>orientation</c:v>
                </c:pt>
                <c:pt idx="29">
                  <c:v>energy efficiency</c:v>
                </c:pt>
                <c:pt idx="30">
                  <c:v>energy consumption</c:v>
                </c:pt>
                <c:pt idx="31">
                  <c:v>renewable energy</c:v>
                </c:pt>
                <c:pt idx="32">
                  <c:v>solar energy</c:v>
                </c:pt>
                <c:pt idx="33">
                  <c:v>thermal comfort</c:v>
                </c:pt>
                <c:pt idx="34">
                  <c:v>thermal performance</c:v>
                </c:pt>
                <c:pt idx="35">
                  <c:v>sustainability</c:v>
                </c:pt>
                <c:pt idx="36">
                  <c:v>sustainable development</c:v>
                </c:pt>
                <c:pt idx="37">
                  <c:v>greenhouse gas</c:v>
                </c:pt>
                <c:pt idx="38">
                  <c:v>low carbon buildings</c:v>
                </c:pt>
                <c:pt idx="39">
                  <c:v>photovoltaic</c:v>
                </c:pt>
                <c:pt idx="40">
                  <c:v>electricity use</c:v>
                </c:pt>
                <c:pt idx="41">
                  <c:v>material</c:v>
                </c:pt>
                <c:pt idx="42">
                  <c:v>local materials</c:v>
                </c:pt>
                <c:pt idx="43">
                  <c:v>Environment</c:v>
                </c:pt>
                <c:pt idx="44">
                  <c:v>strength</c:v>
                </c:pt>
                <c:pt idx="45">
                  <c:v>construct</c:v>
                </c:pt>
                <c:pt idx="46">
                  <c:v>structure</c:v>
                </c:pt>
                <c:pt idx="47">
                  <c:v>usage</c:v>
                </c:pt>
                <c:pt idx="48">
                  <c:v>neighbourhood</c:v>
                </c:pt>
                <c:pt idx="49">
                  <c:v>access</c:v>
                </c:pt>
              </c:strCache>
            </c:strRef>
          </c:cat>
          <c:val>
            <c:numRef>
              <c:f>Sheet1!$B$2:$B$51</c:f>
              <c:numCache>
                <c:formatCode>General</c:formatCode>
                <c:ptCount val="50"/>
                <c:pt idx="0">
                  <c:v>78</c:v>
                </c:pt>
                <c:pt idx="1">
                  <c:v>61</c:v>
                </c:pt>
                <c:pt idx="2">
                  <c:v>19</c:v>
                </c:pt>
                <c:pt idx="3">
                  <c:v>7</c:v>
                </c:pt>
                <c:pt idx="4">
                  <c:v>14</c:v>
                </c:pt>
                <c:pt idx="5">
                  <c:v>6</c:v>
                </c:pt>
                <c:pt idx="6">
                  <c:v>6</c:v>
                </c:pt>
                <c:pt idx="7">
                  <c:v>8</c:v>
                </c:pt>
                <c:pt idx="8">
                  <c:v>0</c:v>
                </c:pt>
                <c:pt idx="9">
                  <c:v>0</c:v>
                </c:pt>
                <c:pt idx="10">
                  <c:v>0</c:v>
                </c:pt>
                <c:pt idx="11">
                  <c:v>0</c:v>
                </c:pt>
                <c:pt idx="12">
                  <c:v>0</c:v>
                </c:pt>
                <c:pt idx="13">
                  <c:v>0</c:v>
                </c:pt>
                <c:pt idx="14">
                  <c:v>16</c:v>
                </c:pt>
                <c:pt idx="15">
                  <c:v>71</c:v>
                </c:pt>
                <c:pt idx="16">
                  <c:v>18</c:v>
                </c:pt>
                <c:pt idx="17">
                  <c:v>1</c:v>
                </c:pt>
                <c:pt idx="18">
                  <c:v>0</c:v>
                </c:pt>
                <c:pt idx="19">
                  <c:v>0</c:v>
                </c:pt>
                <c:pt idx="20">
                  <c:v>7</c:v>
                </c:pt>
                <c:pt idx="21">
                  <c:v>0</c:v>
                </c:pt>
                <c:pt idx="22">
                  <c:v>0</c:v>
                </c:pt>
                <c:pt idx="23">
                  <c:v>0</c:v>
                </c:pt>
                <c:pt idx="24">
                  <c:v>0</c:v>
                </c:pt>
                <c:pt idx="25">
                  <c:v>0</c:v>
                </c:pt>
                <c:pt idx="26">
                  <c:v>0</c:v>
                </c:pt>
                <c:pt idx="27">
                  <c:v>40</c:v>
                </c:pt>
                <c:pt idx="28">
                  <c:v>5</c:v>
                </c:pt>
                <c:pt idx="29">
                  <c:v>3</c:v>
                </c:pt>
                <c:pt idx="30">
                  <c:v>8</c:v>
                </c:pt>
                <c:pt idx="31">
                  <c:v>0</c:v>
                </c:pt>
                <c:pt idx="32">
                  <c:v>0</c:v>
                </c:pt>
                <c:pt idx="33">
                  <c:v>20</c:v>
                </c:pt>
                <c:pt idx="34">
                  <c:v>1</c:v>
                </c:pt>
                <c:pt idx="35">
                  <c:v>10</c:v>
                </c:pt>
                <c:pt idx="36">
                  <c:v>0</c:v>
                </c:pt>
                <c:pt idx="37">
                  <c:v>0</c:v>
                </c:pt>
                <c:pt idx="38">
                  <c:v>0</c:v>
                </c:pt>
                <c:pt idx="39">
                  <c:v>0</c:v>
                </c:pt>
                <c:pt idx="40">
                  <c:v>0</c:v>
                </c:pt>
                <c:pt idx="41">
                  <c:v>69</c:v>
                </c:pt>
                <c:pt idx="42">
                  <c:v>3</c:v>
                </c:pt>
                <c:pt idx="43">
                  <c:v>39</c:v>
                </c:pt>
                <c:pt idx="44">
                  <c:v>4</c:v>
                </c:pt>
                <c:pt idx="45">
                  <c:v>10</c:v>
                </c:pt>
                <c:pt idx="46">
                  <c:v>18</c:v>
                </c:pt>
                <c:pt idx="47">
                  <c:v>8</c:v>
                </c:pt>
                <c:pt idx="48">
                  <c:v>29</c:v>
                </c:pt>
                <c:pt idx="49">
                  <c:v>25</c:v>
                </c:pt>
              </c:numCache>
            </c:numRef>
          </c:val>
        </c:ser>
        <c:ser>
          <c:idx val="1"/>
          <c:order val="1"/>
          <c:tx>
            <c:strRef>
              <c:f>Sheet1!$C$1</c:f>
              <c:strCache>
                <c:ptCount val="1"/>
                <c:pt idx="0">
                  <c:v>International Articles</c:v>
                </c:pt>
              </c:strCache>
            </c:strRef>
          </c:tx>
          <c:invertIfNegative val="0"/>
          <c:cat>
            <c:strRef>
              <c:f>Sheet1!$A$2:$A$51</c:f>
              <c:strCache>
                <c:ptCount val="50"/>
                <c:pt idx="0">
                  <c:v>Climate</c:v>
                </c:pt>
                <c:pt idx="1">
                  <c:v>Nature </c:v>
                </c:pt>
                <c:pt idx="2">
                  <c:v>plant</c:v>
                </c:pt>
                <c:pt idx="3">
                  <c:v>sky</c:v>
                </c:pt>
                <c:pt idx="4">
                  <c:v>landscape</c:v>
                </c:pt>
                <c:pt idx="5">
                  <c:v>perspective</c:v>
                </c:pt>
                <c:pt idx="6">
                  <c:v>vision</c:v>
                </c:pt>
                <c:pt idx="7">
                  <c:v>habitat</c:v>
                </c:pt>
                <c:pt idx="8">
                  <c:v>weather</c:v>
                </c:pt>
                <c:pt idx="9">
                  <c:v>water</c:v>
                </c:pt>
                <c:pt idx="10">
                  <c:v>wind</c:v>
                </c:pt>
                <c:pt idx="11">
                  <c:v>rain</c:v>
                </c:pt>
                <c:pt idx="12">
                  <c:v>humidity</c:v>
                </c:pt>
                <c:pt idx="13">
                  <c:v>ecology</c:v>
                </c:pt>
                <c:pt idx="14">
                  <c:v>green space </c:v>
                </c:pt>
                <c:pt idx="15">
                  <c:v>light </c:v>
                </c:pt>
                <c:pt idx="16">
                  <c:v>lighting</c:v>
                </c:pt>
                <c:pt idx="17">
                  <c:v>Glare</c:v>
                </c:pt>
                <c:pt idx="18">
                  <c:v>sunlight</c:v>
                </c:pt>
                <c:pt idx="19">
                  <c:v>shading</c:v>
                </c:pt>
                <c:pt idx="20">
                  <c:v>air </c:v>
                </c:pt>
                <c:pt idx="21">
                  <c:v>airflow</c:v>
                </c:pt>
                <c:pt idx="22">
                  <c:v>air conditioning</c:v>
                </c:pt>
                <c:pt idx="23">
                  <c:v>air quality</c:v>
                </c:pt>
                <c:pt idx="24">
                  <c:v>cooling</c:v>
                </c:pt>
                <c:pt idx="25">
                  <c:v>heating</c:v>
                </c:pt>
                <c:pt idx="26">
                  <c:v>temperature</c:v>
                </c:pt>
                <c:pt idx="27">
                  <c:v>ventilation</c:v>
                </c:pt>
                <c:pt idx="28">
                  <c:v>orientation</c:v>
                </c:pt>
                <c:pt idx="29">
                  <c:v>energy efficiency</c:v>
                </c:pt>
                <c:pt idx="30">
                  <c:v>energy consumption</c:v>
                </c:pt>
                <c:pt idx="31">
                  <c:v>renewable energy</c:v>
                </c:pt>
                <c:pt idx="32">
                  <c:v>solar energy</c:v>
                </c:pt>
                <c:pt idx="33">
                  <c:v>thermal comfort</c:v>
                </c:pt>
                <c:pt idx="34">
                  <c:v>thermal performance</c:v>
                </c:pt>
                <c:pt idx="35">
                  <c:v>sustainability</c:v>
                </c:pt>
                <c:pt idx="36">
                  <c:v>sustainable development</c:v>
                </c:pt>
                <c:pt idx="37">
                  <c:v>greenhouse gas</c:v>
                </c:pt>
                <c:pt idx="38">
                  <c:v>low carbon buildings</c:v>
                </c:pt>
                <c:pt idx="39">
                  <c:v>photovoltaic</c:v>
                </c:pt>
                <c:pt idx="40">
                  <c:v>electricity use</c:v>
                </c:pt>
                <c:pt idx="41">
                  <c:v>material</c:v>
                </c:pt>
                <c:pt idx="42">
                  <c:v>local materials</c:v>
                </c:pt>
                <c:pt idx="43">
                  <c:v>Environment</c:v>
                </c:pt>
                <c:pt idx="44">
                  <c:v>strength</c:v>
                </c:pt>
                <c:pt idx="45">
                  <c:v>construct</c:v>
                </c:pt>
                <c:pt idx="46">
                  <c:v>structure</c:v>
                </c:pt>
                <c:pt idx="47">
                  <c:v>usage</c:v>
                </c:pt>
                <c:pt idx="48">
                  <c:v>neighbourhood</c:v>
                </c:pt>
                <c:pt idx="49">
                  <c:v>access</c:v>
                </c:pt>
              </c:strCache>
            </c:strRef>
          </c:cat>
          <c:val>
            <c:numRef>
              <c:f>Sheet1!$C$2:$C$51</c:f>
              <c:numCache>
                <c:formatCode>General</c:formatCode>
                <c:ptCount val="50"/>
                <c:pt idx="0">
                  <c:v>51</c:v>
                </c:pt>
                <c:pt idx="1">
                  <c:v>0</c:v>
                </c:pt>
                <c:pt idx="2">
                  <c:v>0</c:v>
                </c:pt>
                <c:pt idx="3">
                  <c:v>0</c:v>
                </c:pt>
                <c:pt idx="4">
                  <c:v>0</c:v>
                </c:pt>
                <c:pt idx="5">
                  <c:v>0</c:v>
                </c:pt>
                <c:pt idx="6">
                  <c:v>0</c:v>
                </c:pt>
                <c:pt idx="7">
                  <c:v>0</c:v>
                </c:pt>
                <c:pt idx="8">
                  <c:v>26</c:v>
                </c:pt>
                <c:pt idx="9">
                  <c:v>18</c:v>
                </c:pt>
                <c:pt idx="10">
                  <c:v>32</c:v>
                </c:pt>
                <c:pt idx="11">
                  <c:v>11</c:v>
                </c:pt>
                <c:pt idx="12">
                  <c:v>8</c:v>
                </c:pt>
                <c:pt idx="13">
                  <c:v>9</c:v>
                </c:pt>
                <c:pt idx="14">
                  <c:v>49</c:v>
                </c:pt>
                <c:pt idx="15">
                  <c:v>83</c:v>
                </c:pt>
                <c:pt idx="16">
                  <c:v>54</c:v>
                </c:pt>
                <c:pt idx="17">
                  <c:v>6</c:v>
                </c:pt>
                <c:pt idx="18">
                  <c:v>52</c:v>
                </c:pt>
                <c:pt idx="19">
                  <c:v>23</c:v>
                </c:pt>
                <c:pt idx="20">
                  <c:v>21</c:v>
                </c:pt>
                <c:pt idx="21">
                  <c:v>7</c:v>
                </c:pt>
                <c:pt idx="22">
                  <c:v>6</c:v>
                </c:pt>
                <c:pt idx="23">
                  <c:v>8</c:v>
                </c:pt>
                <c:pt idx="24">
                  <c:v>12</c:v>
                </c:pt>
                <c:pt idx="25">
                  <c:v>9</c:v>
                </c:pt>
                <c:pt idx="26">
                  <c:v>51</c:v>
                </c:pt>
                <c:pt idx="27">
                  <c:v>67</c:v>
                </c:pt>
                <c:pt idx="28">
                  <c:v>21</c:v>
                </c:pt>
                <c:pt idx="29">
                  <c:v>24</c:v>
                </c:pt>
                <c:pt idx="30">
                  <c:v>39</c:v>
                </c:pt>
                <c:pt idx="31">
                  <c:v>15</c:v>
                </c:pt>
                <c:pt idx="32">
                  <c:v>13</c:v>
                </c:pt>
                <c:pt idx="33">
                  <c:v>38</c:v>
                </c:pt>
                <c:pt idx="34">
                  <c:v>7</c:v>
                </c:pt>
                <c:pt idx="35">
                  <c:v>58</c:v>
                </c:pt>
                <c:pt idx="36">
                  <c:v>3</c:v>
                </c:pt>
                <c:pt idx="37">
                  <c:v>21</c:v>
                </c:pt>
                <c:pt idx="38">
                  <c:v>4</c:v>
                </c:pt>
                <c:pt idx="39">
                  <c:v>9</c:v>
                </c:pt>
                <c:pt idx="40">
                  <c:v>5</c:v>
                </c:pt>
                <c:pt idx="41">
                  <c:v>14</c:v>
                </c:pt>
                <c:pt idx="42">
                  <c:v>0</c:v>
                </c:pt>
                <c:pt idx="43">
                  <c:v>27</c:v>
                </c:pt>
                <c:pt idx="44">
                  <c:v>0</c:v>
                </c:pt>
                <c:pt idx="45">
                  <c:v>0</c:v>
                </c:pt>
                <c:pt idx="46">
                  <c:v>0</c:v>
                </c:pt>
                <c:pt idx="47">
                  <c:v>0</c:v>
                </c:pt>
                <c:pt idx="48">
                  <c:v>0</c:v>
                </c:pt>
                <c:pt idx="49">
                  <c:v>0</c:v>
                </c:pt>
              </c:numCache>
            </c:numRef>
          </c:val>
        </c:ser>
        <c:dLbls>
          <c:showLegendKey val="0"/>
          <c:showVal val="0"/>
          <c:showCatName val="0"/>
          <c:showSerName val="0"/>
          <c:showPercent val="0"/>
          <c:showBubbleSize val="0"/>
        </c:dLbls>
        <c:gapWidth val="150"/>
        <c:axId val="296358400"/>
        <c:axId val="286518080"/>
      </c:barChart>
      <c:catAx>
        <c:axId val="296358400"/>
        <c:scaling>
          <c:orientation val="minMax"/>
        </c:scaling>
        <c:delete val="0"/>
        <c:axPos val="l"/>
        <c:majorTickMark val="out"/>
        <c:minorTickMark val="none"/>
        <c:tickLblPos val="nextTo"/>
        <c:crossAx val="286518080"/>
        <c:crosses val="autoZero"/>
        <c:auto val="1"/>
        <c:lblAlgn val="ctr"/>
        <c:lblOffset val="100"/>
        <c:noMultiLvlLbl val="0"/>
      </c:catAx>
      <c:valAx>
        <c:axId val="286518080"/>
        <c:scaling>
          <c:orientation val="minMax"/>
        </c:scaling>
        <c:delete val="0"/>
        <c:axPos val="b"/>
        <c:majorGridlines/>
        <c:numFmt formatCode="General" sourceLinked="1"/>
        <c:majorTickMark val="out"/>
        <c:minorTickMark val="none"/>
        <c:tickLblPos val="nextTo"/>
        <c:crossAx val="296358400"/>
        <c:crosses val="autoZero"/>
        <c:crossBetween val="between"/>
      </c:valAx>
      <c:spPr>
        <a:noFill/>
        <a:ln w="25400">
          <a:noFill/>
        </a:ln>
      </c:spPr>
    </c:plotArea>
    <c:legend>
      <c:legendPos val="r"/>
      <c:layout>
        <c:manualLayout>
          <c:xMode val="edge"/>
          <c:yMode val="edge"/>
          <c:x val="0.72361018711211333"/>
          <c:y val="2.064706815132691E-2"/>
          <c:w val="0.24111071890810684"/>
          <c:h val="6.979798662868579E-2"/>
        </c:manualLayout>
      </c:layout>
      <c:overlay val="0"/>
    </c:legend>
    <c:plotVisOnly val="1"/>
    <c:dispBlanksAs val="gap"/>
    <c:showDLblsOverMax val="0"/>
  </c:chart>
  <c:txPr>
    <a:bodyPr/>
    <a:lstStyle/>
    <a:p>
      <a:pPr>
        <a:defRPr sz="800" baseline="0"/>
      </a:pPr>
      <a:endParaRPr lang="fa-I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4545558150933641"/>
          <c:y val="3.8693084681868141E-2"/>
          <c:w val="0.6732150980245013"/>
          <c:h val="0.88160072302225778"/>
        </c:manualLayout>
      </c:layout>
      <c:barChart>
        <c:barDir val="bar"/>
        <c:grouping val="clustered"/>
        <c:varyColors val="0"/>
        <c:ser>
          <c:idx val="0"/>
          <c:order val="0"/>
          <c:tx>
            <c:strRef>
              <c:f>Sheet2!$B$1</c:f>
              <c:strCache>
                <c:ptCount val="1"/>
                <c:pt idx="0">
                  <c:v>Iranian Articles</c:v>
                </c:pt>
              </c:strCache>
            </c:strRef>
          </c:tx>
          <c:invertIfNegative val="0"/>
          <c:cat>
            <c:strRef>
              <c:f>Sheet2!$A$2:$A$30</c:f>
              <c:strCache>
                <c:ptCount val="29"/>
                <c:pt idx="0">
                  <c:v>interior space </c:v>
                </c:pt>
                <c:pt idx="1">
                  <c:v>exterior space </c:v>
                </c:pt>
                <c:pt idx="2">
                  <c:v>open space </c:v>
                </c:pt>
                <c:pt idx="3">
                  <c:v>communal space </c:v>
                </c:pt>
                <c:pt idx="4">
                  <c:v>semi open space</c:v>
                </c:pt>
                <c:pt idx="5">
                  <c:v>guest space</c:v>
                </c:pt>
                <c:pt idx="6">
                  <c:v>space syntax</c:v>
                </c:pt>
                <c:pt idx="7">
                  <c:v>Integration of spaces</c:v>
                </c:pt>
                <c:pt idx="8">
                  <c:v>shared outdoor space</c:v>
                </c:pt>
                <c:pt idx="9">
                  <c:v>green outdoor space</c:v>
                </c:pt>
                <c:pt idx="10">
                  <c:v>public spaces</c:v>
                </c:pt>
                <c:pt idx="11">
                  <c:v>courtyard </c:v>
                </c:pt>
                <c:pt idx="12">
                  <c:v>central courtyard</c:v>
                </c:pt>
                <c:pt idx="13">
                  <c:v>rooftop roof</c:v>
                </c:pt>
                <c:pt idx="14">
                  <c:v>shading elements </c:v>
                </c:pt>
                <c:pt idx="15">
                  <c:v>furniture </c:v>
                </c:pt>
                <c:pt idx="16">
                  <c:v>equipment</c:v>
                </c:pt>
                <c:pt idx="17">
                  <c:v>window </c:v>
                </c:pt>
                <c:pt idx="18">
                  <c:v>Orosi</c:v>
                </c:pt>
                <c:pt idx="19">
                  <c:v>sash</c:v>
                </c:pt>
                <c:pt idx="20">
                  <c:v>window wall</c:v>
                </c:pt>
                <c:pt idx="21">
                  <c:v>wind tower</c:v>
                </c:pt>
                <c:pt idx="22">
                  <c:v>balconies </c:v>
                </c:pt>
                <c:pt idx="23">
                  <c:v>porch</c:v>
                </c:pt>
                <c:pt idx="24">
                  <c:v>room </c:v>
                </c:pt>
                <c:pt idx="25">
                  <c:v>patio</c:v>
                </c:pt>
                <c:pt idx="26">
                  <c:v>floor</c:v>
                </c:pt>
                <c:pt idx="27">
                  <c:v>building envelope</c:v>
                </c:pt>
                <c:pt idx="28">
                  <c:v>building façade</c:v>
                </c:pt>
              </c:strCache>
            </c:strRef>
          </c:cat>
          <c:val>
            <c:numRef>
              <c:f>Sheet2!$B$2:$B$30</c:f>
              <c:numCache>
                <c:formatCode>General</c:formatCode>
                <c:ptCount val="29"/>
                <c:pt idx="0">
                  <c:v>1</c:v>
                </c:pt>
                <c:pt idx="1">
                  <c:v>1</c:v>
                </c:pt>
                <c:pt idx="2">
                  <c:v>69</c:v>
                </c:pt>
                <c:pt idx="3">
                  <c:v>2</c:v>
                </c:pt>
                <c:pt idx="4">
                  <c:v>12</c:v>
                </c:pt>
                <c:pt idx="5">
                  <c:v>9</c:v>
                </c:pt>
                <c:pt idx="6">
                  <c:v>14</c:v>
                </c:pt>
                <c:pt idx="7">
                  <c:v>4</c:v>
                </c:pt>
                <c:pt idx="8">
                  <c:v>0</c:v>
                </c:pt>
                <c:pt idx="9">
                  <c:v>0</c:v>
                </c:pt>
                <c:pt idx="10">
                  <c:v>0</c:v>
                </c:pt>
                <c:pt idx="11">
                  <c:v>47</c:v>
                </c:pt>
                <c:pt idx="12">
                  <c:v>8</c:v>
                </c:pt>
                <c:pt idx="13">
                  <c:v>3</c:v>
                </c:pt>
                <c:pt idx="14">
                  <c:v>2</c:v>
                </c:pt>
                <c:pt idx="15">
                  <c:v>3</c:v>
                </c:pt>
                <c:pt idx="16">
                  <c:v>0</c:v>
                </c:pt>
                <c:pt idx="17">
                  <c:v>10</c:v>
                </c:pt>
                <c:pt idx="18">
                  <c:v>7</c:v>
                </c:pt>
                <c:pt idx="19">
                  <c:v>9</c:v>
                </c:pt>
                <c:pt idx="20">
                  <c:v>0</c:v>
                </c:pt>
                <c:pt idx="21">
                  <c:v>6</c:v>
                </c:pt>
                <c:pt idx="22">
                  <c:v>3</c:v>
                </c:pt>
                <c:pt idx="23">
                  <c:v>16</c:v>
                </c:pt>
                <c:pt idx="24">
                  <c:v>9</c:v>
                </c:pt>
                <c:pt idx="25">
                  <c:v>0</c:v>
                </c:pt>
                <c:pt idx="26">
                  <c:v>0</c:v>
                </c:pt>
                <c:pt idx="27">
                  <c:v>0</c:v>
                </c:pt>
                <c:pt idx="28">
                  <c:v>0</c:v>
                </c:pt>
              </c:numCache>
            </c:numRef>
          </c:val>
        </c:ser>
        <c:ser>
          <c:idx val="1"/>
          <c:order val="1"/>
          <c:tx>
            <c:strRef>
              <c:f>Sheet2!$C$1</c:f>
              <c:strCache>
                <c:ptCount val="1"/>
                <c:pt idx="0">
                  <c:v>International Articles</c:v>
                </c:pt>
              </c:strCache>
            </c:strRef>
          </c:tx>
          <c:invertIfNegative val="0"/>
          <c:cat>
            <c:strRef>
              <c:f>Sheet2!$A$2:$A$30</c:f>
              <c:strCache>
                <c:ptCount val="29"/>
                <c:pt idx="0">
                  <c:v>interior space </c:v>
                </c:pt>
                <c:pt idx="1">
                  <c:v>exterior space </c:v>
                </c:pt>
                <c:pt idx="2">
                  <c:v>open space </c:v>
                </c:pt>
                <c:pt idx="3">
                  <c:v>communal space </c:v>
                </c:pt>
                <c:pt idx="4">
                  <c:v>semi open space</c:v>
                </c:pt>
                <c:pt idx="5">
                  <c:v>guest space</c:v>
                </c:pt>
                <c:pt idx="6">
                  <c:v>space syntax</c:v>
                </c:pt>
                <c:pt idx="7">
                  <c:v>Integration of spaces</c:v>
                </c:pt>
                <c:pt idx="8">
                  <c:v>shared outdoor space</c:v>
                </c:pt>
                <c:pt idx="9">
                  <c:v>green outdoor space</c:v>
                </c:pt>
                <c:pt idx="10">
                  <c:v>public spaces</c:v>
                </c:pt>
                <c:pt idx="11">
                  <c:v>courtyard </c:v>
                </c:pt>
                <c:pt idx="12">
                  <c:v>central courtyard</c:v>
                </c:pt>
                <c:pt idx="13">
                  <c:v>rooftop roof</c:v>
                </c:pt>
                <c:pt idx="14">
                  <c:v>shading elements </c:v>
                </c:pt>
                <c:pt idx="15">
                  <c:v>furniture </c:v>
                </c:pt>
                <c:pt idx="16">
                  <c:v>equipment</c:v>
                </c:pt>
                <c:pt idx="17">
                  <c:v>window </c:v>
                </c:pt>
                <c:pt idx="18">
                  <c:v>Orosi</c:v>
                </c:pt>
                <c:pt idx="19">
                  <c:v>sash</c:v>
                </c:pt>
                <c:pt idx="20">
                  <c:v>window wall</c:v>
                </c:pt>
                <c:pt idx="21">
                  <c:v>wind tower</c:v>
                </c:pt>
                <c:pt idx="22">
                  <c:v>balconies </c:v>
                </c:pt>
                <c:pt idx="23">
                  <c:v>porch</c:v>
                </c:pt>
                <c:pt idx="24">
                  <c:v>room </c:v>
                </c:pt>
                <c:pt idx="25">
                  <c:v>patio</c:v>
                </c:pt>
                <c:pt idx="26">
                  <c:v>floor</c:v>
                </c:pt>
                <c:pt idx="27">
                  <c:v>building envelope</c:v>
                </c:pt>
                <c:pt idx="28">
                  <c:v>building façade</c:v>
                </c:pt>
              </c:strCache>
            </c:strRef>
          </c:cat>
          <c:val>
            <c:numRef>
              <c:f>Sheet2!$C$2:$C$30</c:f>
              <c:numCache>
                <c:formatCode>General</c:formatCode>
                <c:ptCount val="29"/>
                <c:pt idx="0">
                  <c:v>13</c:v>
                </c:pt>
                <c:pt idx="1">
                  <c:v>19</c:v>
                </c:pt>
                <c:pt idx="2">
                  <c:v>37</c:v>
                </c:pt>
                <c:pt idx="3">
                  <c:v>4</c:v>
                </c:pt>
                <c:pt idx="4">
                  <c:v>0</c:v>
                </c:pt>
                <c:pt idx="5">
                  <c:v>0</c:v>
                </c:pt>
                <c:pt idx="6">
                  <c:v>0</c:v>
                </c:pt>
                <c:pt idx="7">
                  <c:v>0</c:v>
                </c:pt>
                <c:pt idx="8">
                  <c:v>3</c:v>
                </c:pt>
                <c:pt idx="9">
                  <c:v>22</c:v>
                </c:pt>
                <c:pt idx="10">
                  <c:v>12</c:v>
                </c:pt>
                <c:pt idx="11">
                  <c:v>13</c:v>
                </c:pt>
                <c:pt idx="12">
                  <c:v>0</c:v>
                </c:pt>
                <c:pt idx="13">
                  <c:v>2</c:v>
                </c:pt>
                <c:pt idx="14">
                  <c:v>14</c:v>
                </c:pt>
                <c:pt idx="15">
                  <c:v>11</c:v>
                </c:pt>
                <c:pt idx="16">
                  <c:v>4</c:v>
                </c:pt>
                <c:pt idx="17">
                  <c:v>15</c:v>
                </c:pt>
                <c:pt idx="18">
                  <c:v>0</c:v>
                </c:pt>
                <c:pt idx="19">
                  <c:v>0</c:v>
                </c:pt>
                <c:pt idx="20">
                  <c:v>3</c:v>
                </c:pt>
                <c:pt idx="21">
                  <c:v>0</c:v>
                </c:pt>
                <c:pt idx="22">
                  <c:v>7</c:v>
                </c:pt>
                <c:pt idx="23">
                  <c:v>0</c:v>
                </c:pt>
                <c:pt idx="24">
                  <c:v>0</c:v>
                </c:pt>
                <c:pt idx="25">
                  <c:v>3</c:v>
                </c:pt>
                <c:pt idx="26">
                  <c:v>8</c:v>
                </c:pt>
                <c:pt idx="27">
                  <c:v>43</c:v>
                </c:pt>
                <c:pt idx="28">
                  <c:v>27</c:v>
                </c:pt>
              </c:numCache>
            </c:numRef>
          </c:val>
        </c:ser>
        <c:dLbls>
          <c:showLegendKey val="0"/>
          <c:showVal val="0"/>
          <c:showCatName val="0"/>
          <c:showSerName val="0"/>
          <c:showPercent val="0"/>
          <c:showBubbleSize val="0"/>
        </c:dLbls>
        <c:gapWidth val="150"/>
        <c:axId val="296359936"/>
        <c:axId val="286520384"/>
      </c:barChart>
      <c:catAx>
        <c:axId val="296359936"/>
        <c:scaling>
          <c:orientation val="minMax"/>
        </c:scaling>
        <c:delete val="0"/>
        <c:axPos val="l"/>
        <c:majorTickMark val="out"/>
        <c:minorTickMark val="none"/>
        <c:tickLblPos val="nextTo"/>
        <c:txPr>
          <a:bodyPr/>
          <a:lstStyle/>
          <a:p>
            <a:pPr>
              <a:defRPr sz="800" baseline="0"/>
            </a:pPr>
            <a:endParaRPr lang="fa-IR"/>
          </a:p>
        </c:txPr>
        <c:crossAx val="286520384"/>
        <c:crosses val="autoZero"/>
        <c:auto val="1"/>
        <c:lblAlgn val="ctr"/>
        <c:lblOffset val="100"/>
        <c:noMultiLvlLbl val="0"/>
      </c:catAx>
      <c:valAx>
        <c:axId val="286520384"/>
        <c:scaling>
          <c:orientation val="minMax"/>
        </c:scaling>
        <c:delete val="0"/>
        <c:axPos val="b"/>
        <c:majorGridlines/>
        <c:numFmt formatCode="General" sourceLinked="1"/>
        <c:majorTickMark val="out"/>
        <c:minorTickMark val="none"/>
        <c:tickLblPos val="nextTo"/>
        <c:crossAx val="296359936"/>
        <c:crosses val="autoZero"/>
        <c:crossBetween val="between"/>
      </c:valAx>
    </c:plotArea>
    <c:legend>
      <c:legendPos val="r"/>
      <c:layout>
        <c:manualLayout>
          <c:xMode val="edge"/>
          <c:yMode val="edge"/>
          <c:x val="0.70949059039034756"/>
          <c:y val="3.1567332046980888E-2"/>
          <c:w val="0.24111071890810684"/>
          <c:h val="0.11840179005288441"/>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01109361984825"/>
          <c:y val="3.6850544174080714E-2"/>
          <c:w val="0.70032435497274814"/>
          <c:h val="0.88723882258753906"/>
        </c:manualLayout>
      </c:layout>
      <c:barChart>
        <c:barDir val="bar"/>
        <c:grouping val="clustered"/>
        <c:varyColors val="0"/>
        <c:ser>
          <c:idx val="0"/>
          <c:order val="0"/>
          <c:tx>
            <c:strRef>
              <c:f>Sheet3!$B$1</c:f>
              <c:strCache>
                <c:ptCount val="1"/>
                <c:pt idx="0">
                  <c:v>Iranian Articles</c:v>
                </c:pt>
              </c:strCache>
            </c:strRef>
          </c:tx>
          <c:invertIfNegative val="0"/>
          <c:cat>
            <c:strRef>
              <c:f>Sheet3!$A$2:$A$30</c:f>
              <c:strCache>
                <c:ptCount val="29"/>
                <c:pt idx="0">
                  <c:v>proportion </c:v>
                </c:pt>
                <c:pt idx="1">
                  <c:v>Module </c:v>
                </c:pt>
                <c:pt idx="2">
                  <c:v>geometry </c:v>
                </c:pt>
                <c:pt idx="3">
                  <c:v>peymoon</c:v>
                </c:pt>
                <c:pt idx="4">
                  <c:v>human scale</c:v>
                </c:pt>
                <c:pt idx="5">
                  <c:v>size </c:v>
                </c:pt>
                <c:pt idx="6">
                  <c:v>dimension </c:v>
                </c:pt>
                <c:pt idx="7">
                  <c:v>extension</c:v>
                </c:pt>
                <c:pt idx="8">
                  <c:v>height </c:v>
                </c:pt>
                <c:pt idx="9">
                  <c:v>area </c:v>
                </c:pt>
                <c:pt idx="10">
                  <c:v>composition </c:v>
                </c:pt>
                <c:pt idx="11">
                  <c:v>centrality</c:v>
                </c:pt>
                <c:pt idx="12">
                  <c:v>symmetry</c:v>
                </c:pt>
                <c:pt idx="13">
                  <c:v>balance</c:v>
                </c:pt>
                <c:pt idx="14">
                  <c:v>proximity</c:v>
                </c:pt>
                <c:pt idx="15">
                  <c:v>motif</c:v>
                </c:pt>
                <c:pt idx="16">
                  <c:v>access hierarchy</c:v>
                </c:pt>
                <c:pt idx="17">
                  <c:v>accessibility</c:v>
                </c:pt>
                <c:pt idx="18">
                  <c:v>availabilities</c:v>
                </c:pt>
                <c:pt idx="19">
                  <c:v>inviting quality</c:v>
                </c:pt>
                <c:pt idx="20">
                  <c:v>form </c:v>
                </c:pt>
                <c:pt idx="21">
                  <c:v>shape</c:v>
                </c:pt>
                <c:pt idx="22">
                  <c:v>colour</c:v>
                </c:pt>
                <c:pt idx="23">
                  <c:v>space syntax </c:v>
                </c:pt>
                <c:pt idx="24">
                  <c:v>spatial arrangement</c:v>
                </c:pt>
                <c:pt idx="25">
                  <c:v>connectivity</c:v>
                </c:pt>
                <c:pt idx="26">
                  <c:v>typology</c:v>
                </c:pt>
                <c:pt idx="27">
                  <c:v>pattern</c:v>
                </c:pt>
                <c:pt idx="28">
                  <c:v>circulation</c:v>
                </c:pt>
              </c:strCache>
            </c:strRef>
          </c:cat>
          <c:val>
            <c:numRef>
              <c:f>Sheet3!$B$2:$B$30</c:f>
              <c:numCache>
                <c:formatCode>General</c:formatCode>
                <c:ptCount val="29"/>
                <c:pt idx="0">
                  <c:v>42</c:v>
                </c:pt>
                <c:pt idx="1">
                  <c:v>6</c:v>
                </c:pt>
                <c:pt idx="2">
                  <c:v>27</c:v>
                </c:pt>
                <c:pt idx="3">
                  <c:v>3</c:v>
                </c:pt>
                <c:pt idx="4">
                  <c:v>3</c:v>
                </c:pt>
                <c:pt idx="5">
                  <c:v>10</c:v>
                </c:pt>
                <c:pt idx="6">
                  <c:v>37</c:v>
                </c:pt>
                <c:pt idx="7">
                  <c:v>0</c:v>
                </c:pt>
                <c:pt idx="8">
                  <c:v>11</c:v>
                </c:pt>
                <c:pt idx="9">
                  <c:v>5</c:v>
                </c:pt>
                <c:pt idx="10">
                  <c:v>3</c:v>
                </c:pt>
                <c:pt idx="11">
                  <c:v>3</c:v>
                </c:pt>
                <c:pt idx="12">
                  <c:v>6</c:v>
                </c:pt>
                <c:pt idx="13">
                  <c:v>4</c:v>
                </c:pt>
                <c:pt idx="14">
                  <c:v>3</c:v>
                </c:pt>
                <c:pt idx="15">
                  <c:v>41</c:v>
                </c:pt>
                <c:pt idx="16">
                  <c:v>35</c:v>
                </c:pt>
                <c:pt idx="17">
                  <c:v>0</c:v>
                </c:pt>
                <c:pt idx="18">
                  <c:v>0</c:v>
                </c:pt>
                <c:pt idx="19">
                  <c:v>3</c:v>
                </c:pt>
                <c:pt idx="20">
                  <c:v>48</c:v>
                </c:pt>
                <c:pt idx="21">
                  <c:v>28</c:v>
                </c:pt>
                <c:pt idx="22">
                  <c:v>36</c:v>
                </c:pt>
                <c:pt idx="23">
                  <c:v>6</c:v>
                </c:pt>
                <c:pt idx="24">
                  <c:v>27</c:v>
                </c:pt>
                <c:pt idx="25">
                  <c:v>0</c:v>
                </c:pt>
                <c:pt idx="26">
                  <c:v>0</c:v>
                </c:pt>
                <c:pt idx="27">
                  <c:v>0</c:v>
                </c:pt>
                <c:pt idx="28">
                  <c:v>0</c:v>
                </c:pt>
              </c:numCache>
            </c:numRef>
          </c:val>
        </c:ser>
        <c:ser>
          <c:idx val="1"/>
          <c:order val="1"/>
          <c:tx>
            <c:strRef>
              <c:f>Sheet3!$C$1</c:f>
              <c:strCache>
                <c:ptCount val="1"/>
                <c:pt idx="0">
                  <c:v>International Articles</c:v>
                </c:pt>
              </c:strCache>
            </c:strRef>
          </c:tx>
          <c:invertIfNegative val="0"/>
          <c:cat>
            <c:strRef>
              <c:f>Sheet3!$A$2:$A$30</c:f>
              <c:strCache>
                <c:ptCount val="29"/>
                <c:pt idx="0">
                  <c:v>proportion </c:v>
                </c:pt>
                <c:pt idx="1">
                  <c:v>Module </c:v>
                </c:pt>
                <c:pt idx="2">
                  <c:v>geometry </c:v>
                </c:pt>
                <c:pt idx="3">
                  <c:v>peymoon</c:v>
                </c:pt>
                <c:pt idx="4">
                  <c:v>human scale</c:v>
                </c:pt>
                <c:pt idx="5">
                  <c:v>size </c:v>
                </c:pt>
                <c:pt idx="6">
                  <c:v>dimension </c:v>
                </c:pt>
                <c:pt idx="7">
                  <c:v>extension</c:v>
                </c:pt>
                <c:pt idx="8">
                  <c:v>height </c:v>
                </c:pt>
                <c:pt idx="9">
                  <c:v>area </c:v>
                </c:pt>
                <c:pt idx="10">
                  <c:v>composition </c:v>
                </c:pt>
                <c:pt idx="11">
                  <c:v>centrality</c:v>
                </c:pt>
                <c:pt idx="12">
                  <c:v>symmetry</c:v>
                </c:pt>
                <c:pt idx="13">
                  <c:v>balance</c:v>
                </c:pt>
                <c:pt idx="14">
                  <c:v>proximity</c:v>
                </c:pt>
                <c:pt idx="15">
                  <c:v>motif</c:v>
                </c:pt>
                <c:pt idx="16">
                  <c:v>access hierarchy</c:v>
                </c:pt>
                <c:pt idx="17">
                  <c:v>accessibility</c:v>
                </c:pt>
                <c:pt idx="18">
                  <c:v>availabilities</c:v>
                </c:pt>
                <c:pt idx="19">
                  <c:v>inviting quality</c:v>
                </c:pt>
                <c:pt idx="20">
                  <c:v>form </c:v>
                </c:pt>
                <c:pt idx="21">
                  <c:v>shape</c:v>
                </c:pt>
                <c:pt idx="22">
                  <c:v>colour</c:v>
                </c:pt>
                <c:pt idx="23">
                  <c:v>space syntax </c:v>
                </c:pt>
                <c:pt idx="24">
                  <c:v>spatial arrangement</c:v>
                </c:pt>
                <c:pt idx="25">
                  <c:v>connectivity</c:v>
                </c:pt>
                <c:pt idx="26">
                  <c:v>typology</c:v>
                </c:pt>
                <c:pt idx="27">
                  <c:v>pattern</c:v>
                </c:pt>
                <c:pt idx="28">
                  <c:v>circulation</c:v>
                </c:pt>
              </c:strCache>
            </c:strRef>
          </c:cat>
          <c:val>
            <c:numRef>
              <c:f>Sheet3!$C$2:$C$30</c:f>
              <c:numCache>
                <c:formatCode>General</c:formatCode>
                <c:ptCount val="29"/>
                <c:pt idx="0">
                  <c:v>26</c:v>
                </c:pt>
                <c:pt idx="1">
                  <c:v>13</c:v>
                </c:pt>
                <c:pt idx="2">
                  <c:v>44</c:v>
                </c:pt>
                <c:pt idx="3">
                  <c:v>0</c:v>
                </c:pt>
                <c:pt idx="4">
                  <c:v>0</c:v>
                </c:pt>
                <c:pt idx="5">
                  <c:v>21</c:v>
                </c:pt>
                <c:pt idx="6">
                  <c:v>8</c:v>
                </c:pt>
                <c:pt idx="7">
                  <c:v>3</c:v>
                </c:pt>
                <c:pt idx="8">
                  <c:v>18</c:v>
                </c:pt>
                <c:pt idx="9">
                  <c:v>4</c:v>
                </c:pt>
                <c:pt idx="10">
                  <c:v>12</c:v>
                </c:pt>
                <c:pt idx="11">
                  <c:v>0</c:v>
                </c:pt>
                <c:pt idx="12">
                  <c:v>0</c:v>
                </c:pt>
                <c:pt idx="13">
                  <c:v>0</c:v>
                </c:pt>
                <c:pt idx="14">
                  <c:v>0</c:v>
                </c:pt>
                <c:pt idx="15">
                  <c:v>0</c:v>
                </c:pt>
                <c:pt idx="16">
                  <c:v>0</c:v>
                </c:pt>
                <c:pt idx="17">
                  <c:v>29</c:v>
                </c:pt>
                <c:pt idx="18">
                  <c:v>7</c:v>
                </c:pt>
                <c:pt idx="19">
                  <c:v>0</c:v>
                </c:pt>
                <c:pt idx="20">
                  <c:v>32</c:v>
                </c:pt>
                <c:pt idx="21">
                  <c:v>14</c:v>
                </c:pt>
                <c:pt idx="22">
                  <c:v>28</c:v>
                </c:pt>
                <c:pt idx="23">
                  <c:v>4</c:v>
                </c:pt>
                <c:pt idx="24">
                  <c:v>0</c:v>
                </c:pt>
                <c:pt idx="25">
                  <c:v>13</c:v>
                </c:pt>
                <c:pt idx="26">
                  <c:v>6</c:v>
                </c:pt>
                <c:pt idx="27">
                  <c:v>4</c:v>
                </c:pt>
                <c:pt idx="28">
                  <c:v>7</c:v>
                </c:pt>
              </c:numCache>
            </c:numRef>
          </c:val>
        </c:ser>
        <c:dLbls>
          <c:showLegendKey val="0"/>
          <c:showVal val="0"/>
          <c:showCatName val="0"/>
          <c:showSerName val="0"/>
          <c:showPercent val="0"/>
          <c:showBubbleSize val="0"/>
        </c:dLbls>
        <c:gapWidth val="150"/>
        <c:axId val="295052800"/>
        <c:axId val="286522112"/>
      </c:barChart>
      <c:catAx>
        <c:axId val="295052800"/>
        <c:scaling>
          <c:orientation val="minMax"/>
        </c:scaling>
        <c:delete val="0"/>
        <c:axPos val="l"/>
        <c:majorTickMark val="out"/>
        <c:minorTickMark val="none"/>
        <c:tickLblPos val="nextTo"/>
        <c:txPr>
          <a:bodyPr/>
          <a:lstStyle/>
          <a:p>
            <a:pPr>
              <a:defRPr sz="800" baseline="0"/>
            </a:pPr>
            <a:endParaRPr lang="fa-IR"/>
          </a:p>
        </c:txPr>
        <c:crossAx val="286522112"/>
        <c:crosses val="autoZero"/>
        <c:auto val="1"/>
        <c:lblAlgn val="ctr"/>
        <c:lblOffset val="100"/>
        <c:noMultiLvlLbl val="0"/>
      </c:catAx>
      <c:valAx>
        <c:axId val="286522112"/>
        <c:scaling>
          <c:orientation val="minMax"/>
        </c:scaling>
        <c:delete val="0"/>
        <c:axPos val="b"/>
        <c:majorGridlines/>
        <c:numFmt formatCode="General" sourceLinked="1"/>
        <c:majorTickMark val="out"/>
        <c:minorTickMark val="none"/>
        <c:tickLblPos val="nextTo"/>
        <c:crossAx val="295052800"/>
        <c:crosses val="autoZero"/>
        <c:crossBetween val="between"/>
      </c:valAx>
    </c:plotArea>
    <c:legend>
      <c:legendPos val="r"/>
      <c:layout>
        <c:manualLayout>
          <c:xMode val="edge"/>
          <c:yMode val="edge"/>
          <c:x val="0.73538618628190411"/>
          <c:y val="4.8092603649662273E-2"/>
          <c:w val="0.24111071890810684"/>
          <c:h val="0.11280669610621816"/>
        </c:manualLayout>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410109064561292"/>
          <c:y val="3.9838592206032919E-2"/>
          <c:w val="0.74507088837686331"/>
          <c:h val="0.87930007806258348"/>
        </c:manualLayout>
      </c:layout>
      <c:barChart>
        <c:barDir val="bar"/>
        <c:grouping val="clustered"/>
        <c:varyColors val="0"/>
        <c:ser>
          <c:idx val="0"/>
          <c:order val="0"/>
          <c:tx>
            <c:strRef>
              <c:f>Sheet4!$B$1</c:f>
              <c:strCache>
                <c:ptCount val="1"/>
                <c:pt idx="0">
                  <c:v>Iranian Articles</c:v>
                </c:pt>
              </c:strCache>
            </c:strRef>
          </c:tx>
          <c:invertIfNegative val="0"/>
          <c:cat>
            <c:strRef>
              <c:f>Sheet4!$A$2:$A$31</c:f>
              <c:strCache>
                <c:ptCount val="30"/>
                <c:pt idx="0">
                  <c:v>privacy </c:v>
                </c:pt>
                <c:pt idx="1">
                  <c:v>solitude</c:v>
                </c:pt>
                <c:pt idx="2">
                  <c:v>Boundary</c:v>
                </c:pt>
                <c:pt idx="3">
                  <c:v>territory </c:v>
                </c:pt>
                <c:pt idx="4">
                  <c:v>dominance</c:v>
                </c:pt>
                <c:pt idx="5">
                  <c:v>habitability</c:v>
                </c:pt>
                <c:pt idx="6">
                  <c:v>Sight control</c:v>
                </c:pt>
                <c:pt idx="7">
                  <c:v>visual connection</c:v>
                </c:pt>
                <c:pt idx="8">
                  <c:v>visual field</c:v>
                </c:pt>
                <c:pt idx="9">
                  <c:v>visual attraction</c:v>
                </c:pt>
                <c:pt idx="10">
                  <c:v>visual comfort</c:v>
                </c:pt>
                <c:pt idx="11">
                  <c:v>visual privacy</c:v>
                </c:pt>
                <c:pt idx="12">
                  <c:v>arena</c:v>
                </c:pt>
                <c:pt idx="13">
                  <c:v>personal space</c:v>
                </c:pt>
                <c:pt idx="14">
                  <c:v>personalization</c:v>
                </c:pt>
                <c:pt idx="15">
                  <c:v>security </c:v>
                </c:pt>
                <c:pt idx="16">
                  <c:v>crime prevent</c:v>
                </c:pt>
                <c:pt idx="17">
                  <c:v>safety</c:v>
                </c:pt>
                <c:pt idx="18">
                  <c:v>order</c:v>
                </c:pt>
                <c:pt idx="19">
                  <c:v>experience</c:v>
                </c:pt>
                <c:pt idx="20">
                  <c:v>unity</c:v>
                </c:pt>
                <c:pt idx="21">
                  <c:v>centeredness</c:v>
                </c:pt>
                <c:pt idx="22">
                  <c:v>diversity</c:v>
                </c:pt>
                <c:pt idx="23">
                  <c:v>capacity</c:v>
                </c:pt>
                <c:pt idx="24">
                  <c:v>sign </c:v>
                </c:pt>
                <c:pt idx="25">
                  <c:v>meaning </c:v>
                </c:pt>
                <c:pt idx="26">
                  <c:v>perception</c:v>
                </c:pt>
                <c:pt idx="27">
                  <c:v>comfort</c:v>
                </c:pt>
                <c:pt idx="28">
                  <c:v>symbol </c:v>
                </c:pt>
                <c:pt idx="29">
                  <c:v>mystery</c:v>
                </c:pt>
              </c:strCache>
            </c:strRef>
          </c:cat>
          <c:val>
            <c:numRef>
              <c:f>Sheet4!$B$2:$B$31</c:f>
              <c:numCache>
                <c:formatCode>General</c:formatCode>
                <c:ptCount val="30"/>
                <c:pt idx="0">
                  <c:v>117</c:v>
                </c:pt>
                <c:pt idx="1">
                  <c:v>17</c:v>
                </c:pt>
                <c:pt idx="2">
                  <c:v>0</c:v>
                </c:pt>
                <c:pt idx="3">
                  <c:v>41</c:v>
                </c:pt>
                <c:pt idx="4">
                  <c:v>9</c:v>
                </c:pt>
                <c:pt idx="5">
                  <c:v>0</c:v>
                </c:pt>
                <c:pt idx="6">
                  <c:v>16</c:v>
                </c:pt>
                <c:pt idx="7">
                  <c:v>9</c:v>
                </c:pt>
                <c:pt idx="8">
                  <c:v>4</c:v>
                </c:pt>
                <c:pt idx="9">
                  <c:v>5</c:v>
                </c:pt>
                <c:pt idx="10">
                  <c:v>4</c:v>
                </c:pt>
                <c:pt idx="11">
                  <c:v>6</c:v>
                </c:pt>
                <c:pt idx="12">
                  <c:v>85</c:v>
                </c:pt>
                <c:pt idx="13">
                  <c:v>15</c:v>
                </c:pt>
                <c:pt idx="14">
                  <c:v>9</c:v>
                </c:pt>
                <c:pt idx="15">
                  <c:v>50</c:v>
                </c:pt>
                <c:pt idx="16">
                  <c:v>0</c:v>
                </c:pt>
                <c:pt idx="17">
                  <c:v>0</c:v>
                </c:pt>
                <c:pt idx="18">
                  <c:v>27</c:v>
                </c:pt>
                <c:pt idx="19">
                  <c:v>0</c:v>
                </c:pt>
                <c:pt idx="20">
                  <c:v>14</c:v>
                </c:pt>
                <c:pt idx="21">
                  <c:v>3</c:v>
                </c:pt>
                <c:pt idx="22">
                  <c:v>14</c:v>
                </c:pt>
                <c:pt idx="23">
                  <c:v>0</c:v>
                </c:pt>
                <c:pt idx="24">
                  <c:v>10</c:v>
                </c:pt>
                <c:pt idx="25">
                  <c:v>39</c:v>
                </c:pt>
                <c:pt idx="26">
                  <c:v>0</c:v>
                </c:pt>
                <c:pt idx="27">
                  <c:v>0</c:v>
                </c:pt>
                <c:pt idx="28">
                  <c:v>14</c:v>
                </c:pt>
                <c:pt idx="29">
                  <c:v>3</c:v>
                </c:pt>
              </c:numCache>
            </c:numRef>
          </c:val>
        </c:ser>
        <c:ser>
          <c:idx val="1"/>
          <c:order val="1"/>
          <c:tx>
            <c:strRef>
              <c:f>Sheet4!$C$1</c:f>
              <c:strCache>
                <c:ptCount val="1"/>
                <c:pt idx="0">
                  <c:v>International Articles</c:v>
                </c:pt>
              </c:strCache>
            </c:strRef>
          </c:tx>
          <c:invertIfNegative val="0"/>
          <c:cat>
            <c:strRef>
              <c:f>Sheet4!$A$2:$A$31</c:f>
              <c:strCache>
                <c:ptCount val="30"/>
                <c:pt idx="0">
                  <c:v>privacy </c:v>
                </c:pt>
                <c:pt idx="1">
                  <c:v>solitude</c:v>
                </c:pt>
                <c:pt idx="2">
                  <c:v>Boundary</c:v>
                </c:pt>
                <c:pt idx="3">
                  <c:v>territory </c:v>
                </c:pt>
                <c:pt idx="4">
                  <c:v>dominance</c:v>
                </c:pt>
                <c:pt idx="5">
                  <c:v>habitability</c:v>
                </c:pt>
                <c:pt idx="6">
                  <c:v>Sight control</c:v>
                </c:pt>
                <c:pt idx="7">
                  <c:v>visual connection</c:v>
                </c:pt>
                <c:pt idx="8">
                  <c:v>visual field</c:v>
                </c:pt>
                <c:pt idx="9">
                  <c:v>visual attraction</c:v>
                </c:pt>
                <c:pt idx="10">
                  <c:v>visual comfort</c:v>
                </c:pt>
                <c:pt idx="11">
                  <c:v>visual privacy</c:v>
                </c:pt>
                <c:pt idx="12">
                  <c:v>arena</c:v>
                </c:pt>
                <c:pt idx="13">
                  <c:v>personal space</c:v>
                </c:pt>
                <c:pt idx="14">
                  <c:v>personalization</c:v>
                </c:pt>
                <c:pt idx="15">
                  <c:v>security </c:v>
                </c:pt>
                <c:pt idx="16">
                  <c:v>crime prevent</c:v>
                </c:pt>
                <c:pt idx="17">
                  <c:v>safety</c:v>
                </c:pt>
                <c:pt idx="18">
                  <c:v>order</c:v>
                </c:pt>
                <c:pt idx="19">
                  <c:v>experience</c:v>
                </c:pt>
                <c:pt idx="20">
                  <c:v>unity</c:v>
                </c:pt>
                <c:pt idx="21">
                  <c:v>centeredness</c:v>
                </c:pt>
                <c:pt idx="22">
                  <c:v>diversity</c:v>
                </c:pt>
                <c:pt idx="23">
                  <c:v>capacity</c:v>
                </c:pt>
                <c:pt idx="24">
                  <c:v>sign </c:v>
                </c:pt>
                <c:pt idx="25">
                  <c:v>meaning </c:v>
                </c:pt>
                <c:pt idx="26">
                  <c:v>perception</c:v>
                </c:pt>
                <c:pt idx="27">
                  <c:v>comfort</c:v>
                </c:pt>
                <c:pt idx="28">
                  <c:v>symbol </c:v>
                </c:pt>
                <c:pt idx="29">
                  <c:v>mystery</c:v>
                </c:pt>
              </c:strCache>
            </c:strRef>
          </c:cat>
          <c:val>
            <c:numRef>
              <c:f>Sheet4!$C$2:$C$31</c:f>
              <c:numCache>
                <c:formatCode>General</c:formatCode>
                <c:ptCount val="30"/>
                <c:pt idx="0">
                  <c:v>18</c:v>
                </c:pt>
                <c:pt idx="1">
                  <c:v>0</c:v>
                </c:pt>
                <c:pt idx="2">
                  <c:v>12</c:v>
                </c:pt>
                <c:pt idx="3">
                  <c:v>14</c:v>
                </c:pt>
                <c:pt idx="4">
                  <c:v>0</c:v>
                </c:pt>
                <c:pt idx="5">
                  <c:v>4</c:v>
                </c:pt>
                <c:pt idx="6">
                  <c:v>0</c:v>
                </c:pt>
                <c:pt idx="7">
                  <c:v>0</c:v>
                </c:pt>
                <c:pt idx="8">
                  <c:v>0</c:v>
                </c:pt>
                <c:pt idx="9">
                  <c:v>0</c:v>
                </c:pt>
                <c:pt idx="10">
                  <c:v>0</c:v>
                </c:pt>
                <c:pt idx="11">
                  <c:v>0</c:v>
                </c:pt>
                <c:pt idx="12">
                  <c:v>0</c:v>
                </c:pt>
                <c:pt idx="13">
                  <c:v>0</c:v>
                </c:pt>
                <c:pt idx="14">
                  <c:v>0</c:v>
                </c:pt>
                <c:pt idx="15">
                  <c:v>21</c:v>
                </c:pt>
                <c:pt idx="16">
                  <c:v>9</c:v>
                </c:pt>
                <c:pt idx="17">
                  <c:v>3</c:v>
                </c:pt>
                <c:pt idx="18">
                  <c:v>0</c:v>
                </c:pt>
                <c:pt idx="19">
                  <c:v>3</c:v>
                </c:pt>
                <c:pt idx="20">
                  <c:v>0</c:v>
                </c:pt>
                <c:pt idx="21">
                  <c:v>0</c:v>
                </c:pt>
                <c:pt idx="22">
                  <c:v>0</c:v>
                </c:pt>
                <c:pt idx="23">
                  <c:v>5</c:v>
                </c:pt>
                <c:pt idx="24">
                  <c:v>3</c:v>
                </c:pt>
                <c:pt idx="25">
                  <c:v>0</c:v>
                </c:pt>
                <c:pt idx="26">
                  <c:v>11</c:v>
                </c:pt>
                <c:pt idx="27">
                  <c:v>17</c:v>
                </c:pt>
                <c:pt idx="28">
                  <c:v>0</c:v>
                </c:pt>
                <c:pt idx="29">
                  <c:v>0</c:v>
                </c:pt>
              </c:numCache>
            </c:numRef>
          </c:val>
        </c:ser>
        <c:dLbls>
          <c:showLegendKey val="0"/>
          <c:showVal val="0"/>
          <c:showCatName val="0"/>
          <c:showSerName val="0"/>
          <c:showPercent val="0"/>
          <c:showBubbleSize val="0"/>
        </c:dLbls>
        <c:gapWidth val="150"/>
        <c:axId val="295053312"/>
        <c:axId val="288842880"/>
      </c:barChart>
      <c:catAx>
        <c:axId val="295053312"/>
        <c:scaling>
          <c:orientation val="minMax"/>
        </c:scaling>
        <c:delete val="0"/>
        <c:axPos val="l"/>
        <c:majorTickMark val="out"/>
        <c:minorTickMark val="none"/>
        <c:tickLblPos val="nextTo"/>
        <c:txPr>
          <a:bodyPr/>
          <a:lstStyle/>
          <a:p>
            <a:pPr>
              <a:defRPr sz="800" baseline="0"/>
            </a:pPr>
            <a:endParaRPr lang="fa-IR"/>
          </a:p>
        </c:txPr>
        <c:crossAx val="288842880"/>
        <c:crosses val="autoZero"/>
        <c:auto val="1"/>
        <c:lblAlgn val="ctr"/>
        <c:lblOffset val="100"/>
        <c:noMultiLvlLbl val="0"/>
      </c:catAx>
      <c:valAx>
        <c:axId val="288842880"/>
        <c:scaling>
          <c:orientation val="minMax"/>
        </c:scaling>
        <c:delete val="0"/>
        <c:axPos val="b"/>
        <c:majorGridlines/>
        <c:numFmt formatCode="General" sourceLinked="1"/>
        <c:majorTickMark val="out"/>
        <c:minorTickMark val="none"/>
        <c:tickLblPos val="nextTo"/>
        <c:crossAx val="295053312"/>
        <c:crosses val="autoZero"/>
        <c:crossBetween val="between"/>
      </c:valAx>
    </c:plotArea>
    <c:legend>
      <c:legendPos val="r"/>
      <c:layout>
        <c:manualLayout>
          <c:xMode val="edge"/>
          <c:yMode val="edge"/>
          <c:x val="0.42943875750088245"/>
          <c:y val="4.7446247469814504E-2"/>
          <c:w val="0.24111071890810684"/>
          <c:h val="0.12027212095661305"/>
        </c:manualLayout>
      </c:layout>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2E3315-4541-4D65-9324-8DB7D27E9FF5}" type="doc">
      <dgm:prSet loTypeId="urn:microsoft.com/office/officeart/2005/8/layout/process2" loCatId="process" qsTypeId="urn:microsoft.com/office/officeart/2005/8/quickstyle/simple1" qsCatId="simple" csTypeId="urn:microsoft.com/office/officeart/2005/8/colors/accent3_4" csCatId="accent3" phldr="1"/>
      <dgm:spPr/>
    </dgm:pt>
    <dgm:pt modelId="{93691F4D-F638-42FE-9F07-5E74595427CF}">
      <dgm:prSet phldrT="[Text]"/>
      <dgm:spPr/>
      <dgm:t>
        <a:bodyPr/>
        <a:lstStyle/>
        <a:p>
          <a:r>
            <a:rPr lang="en-US"/>
            <a:t>Scientific Journal Ranking</a:t>
          </a:r>
        </a:p>
      </dgm:t>
    </dgm:pt>
    <dgm:pt modelId="{B4572E52-73CE-4BEB-B87E-1747739A8187}" type="parTrans" cxnId="{0C9AD469-9BBA-4B9A-852D-9B19B7E75299}">
      <dgm:prSet/>
      <dgm:spPr/>
      <dgm:t>
        <a:bodyPr/>
        <a:lstStyle/>
        <a:p>
          <a:endParaRPr lang="en-US"/>
        </a:p>
      </dgm:t>
    </dgm:pt>
    <dgm:pt modelId="{A7DB464F-99F9-4A77-83F7-184C222EFF0B}" type="sibTrans" cxnId="{0C9AD469-9BBA-4B9A-852D-9B19B7E75299}">
      <dgm:prSet/>
      <dgm:spPr/>
      <dgm:t>
        <a:bodyPr/>
        <a:lstStyle/>
        <a:p>
          <a:endParaRPr lang="en-US"/>
        </a:p>
      </dgm:t>
    </dgm:pt>
    <dgm:pt modelId="{64D0A81E-E070-4038-96E0-4693793E0C7E}">
      <dgm:prSet phldrT="[Text]"/>
      <dgm:spPr/>
      <dgm:t>
        <a:bodyPr/>
        <a:lstStyle/>
        <a:p>
          <a:r>
            <a:rPr lang="en-US"/>
            <a:t>First 27 Journals of the List</a:t>
          </a:r>
        </a:p>
      </dgm:t>
    </dgm:pt>
    <dgm:pt modelId="{D3647E4A-1FBF-43BB-88BC-06AC3B2C63B6}" type="parTrans" cxnId="{38C02F90-8BB8-4A77-8BFD-CB9AC7566D79}">
      <dgm:prSet/>
      <dgm:spPr/>
      <dgm:t>
        <a:bodyPr/>
        <a:lstStyle/>
        <a:p>
          <a:endParaRPr lang="en-US"/>
        </a:p>
      </dgm:t>
    </dgm:pt>
    <dgm:pt modelId="{27282207-5659-413C-AF23-5E5E19848FB6}" type="sibTrans" cxnId="{38C02F90-8BB8-4A77-8BFD-CB9AC7566D79}">
      <dgm:prSet/>
      <dgm:spPr/>
      <dgm:t>
        <a:bodyPr/>
        <a:lstStyle/>
        <a:p>
          <a:endParaRPr lang="en-US"/>
        </a:p>
      </dgm:t>
    </dgm:pt>
    <dgm:pt modelId="{1406B388-7F9C-4E78-B373-E49B4B2FEC59}">
      <dgm:prSet phldrT="[Text]"/>
      <dgm:spPr/>
      <dgm:t>
        <a:bodyPr/>
        <a:lstStyle/>
        <a:p>
          <a:r>
            <a:rPr lang="en-US"/>
            <a:t>15 Journals with Housing Articles</a:t>
          </a:r>
        </a:p>
      </dgm:t>
    </dgm:pt>
    <dgm:pt modelId="{FB2BFB20-01F1-4378-89AD-5F7AC52A853C}" type="parTrans" cxnId="{F1E041E3-1FB0-40FB-AA4A-BF9D652DED63}">
      <dgm:prSet/>
      <dgm:spPr/>
      <dgm:t>
        <a:bodyPr/>
        <a:lstStyle/>
        <a:p>
          <a:endParaRPr lang="en-US"/>
        </a:p>
      </dgm:t>
    </dgm:pt>
    <dgm:pt modelId="{E6FAF178-7562-46EC-BF8E-AD72DA6DBFE1}" type="sibTrans" cxnId="{F1E041E3-1FB0-40FB-AA4A-BF9D652DED63}">
      <dgm:prSet/>
      <dgm:spPr/>
      <dgm:t>
        <a:bodyPr/>
        <a:lstStyle/>
        <a:p>
          <a:endParaRPr lang="en-US"/>
        </a:p>
      </dgm:t>
    </dgm:pt>
    <dgm:pt modelId="{6C7A5DA9-51D6-4D4F-AF02-3248A7D142F6}" type="pres">
      <dgm:prSet presAssocID="{512E3315-4541-4D65-9324-8DB7D27E9FF5}" presName="linearFlow" presStyleCnt="0">
        <dgm:presLayoutVars>
          <dgm:resizeHandles val="exact"/>
        </dgm:presLayoutVars>
      </dgm:prSet>
      <dgm:spPr/>
    </dgm:pt>
    <dgm:pt modelId="{7B4B74DE-DB18-406E-8863-607D571325E2}" type="pres">
      <dgm:prSet presAssocID="{93691F4D-F638-42FE-9F07-5E74595427CF}" presName="node" presStyleLbl="node1" presStyleIdx="0" presStyleCnt="3" custScaleX="178519">
        <dgm:presLayoutVars>
          <dgm:bulletEnabled val="1"/>
        </dgm:presLayoutVars>
      </dgm:prSet>
      <dgm:spPr/>
      <dgm:t>
        <a:bodyPr/>
        <a:lstStyle/>
        <a:p>
          <a:endParaRPr lang="en-US"/>
        </a:p>
      </dgm:t>
    </dgm:pt>
    <dgm:pt modelId="{AA1FFAFA-898C-48ED-AFC7-850B31413E2C}" type="pres">
      <dgm:prSet presAssocID="{A7DB464F-99F9-4A77-83F7-184C222EFF0B}" presName="sibTrans" presStyleLbl="sibTrans2D1" presStyleIdx="0" presStyleCnt="2"/>
      <dgm:spPr/>
      <dgm:t>
        <a:bodyPr/>
        <a:lstStyle/>
        <a:p>
          <a:endParaRPr lang="en-US"/>
        </a:p>
      </dgm:t>
    </dgm:pt>
    <dgm:pt modelId="{E837D43A-DDE3-48B2-B019-AC178EC98FBD}" type="pres">
      <dgm:prSet presAssocID="{A7DB464F-99F9-4A77-83F7-184C222EFF0B}" presName="connectorText" presStyleLbl="sibTrans2D1" presStyleIdx="0" presStyleCnt="2"/>
      <dgm:spPr/>
      <dgm:t>
        <a:bodyPr/>
        <a:lstStyle/>
        <a:p>
          <a:endParaRPr lang="en-US"/>
        </a:p>
      </dgm:t>
    </dgm:pt>
    <dgm:pt modelId="{B0065B00-FDF2-4A93-941A-54348F2067D7}" type="pres">
      <dgm:prSet presAssocID="{64D0A81E-E070-4038-96E0-4693793E0C7E}" presName="node" presStyleLbl="node1" presStyleIdx="1" presStyleCnt="3" custScaleX="178519">
        <dgm:presLayoutVars>
          <dgm:bulletEnabled val="1"/>
        </dgm:presLayoutVars>
      </dgm:prSet>
      <dgm:spPr/>
      <dgm:t>
        <a:bodyPr/>
        <a:lstStyle/>
        <a:p>
          <a:endParaRPr lang="en-US"/>
        </a:p>
      </dgm:t>
    </dgm:pt>
    <dgm:pt modelId="{76C475B5-6246-4094-A473-68FDE5BA1891}" type="pres">
      <dgm:prSet presAssocID="{27282207-5659-413C-AF23-5E5E19848FB6}" presName="sibTrans" presStyleLbl="sibTrans2D1" presStyleIdx="1" presStyleCnt="2"/>
      <dgm:spPr/>
      <dgm:t>
        <a:bodyPr/>
        <a:lstStyle/>
        <a:p>
          <a:endParaRPr lang="en-US"/>
        </a:p>
      </dgm:t>
    </dgm:pt>
    <dgm:pt modelId="{1102E06A-E81B-4DA5-9992-51B6CAD149C1}" type="pres">
      <dgm:prSet presAssocID="{27282207-5659-413C-AF23-5E5E19848FB6}" presName="connectorText" presStyleLbl="sibTrans2D1" presStyleIdx="1" presStyleCnt="2"/>
      <dgm:spPr/>
      <dgm:t>
        <a:bodyPr/>
        <a:lstStyle/>
        <a:p>
          <a:endParaRPr lang="en-US"/>
        </a:p>
      </dgm:t>
    </dgm:pt>
    <dgm:pt modelId="{E4DD31BA-D8B7-4647-9CF9-816B8145DD4F}" type="pres">
      <dgm:prSet presAssocID="{1406B388-7F9C-4E78-B373-E49B4B2FEC59}" presName="node" presStyleLbl="node1" presStyleIdx="2" presStyleCnt="3" custScaleX="178519">
        <dgm:presLayoutVars>
          <dgm:bulletEnabled val="1"/>
        </dgm:presLayoutVars>
      </dgm:prSet>
      <dgm:spPr/>
      <dgm:t>
        <a:bodyPr/>
        <a:lstStyle/>
        <a:p>
          <a:endParaRPr lang="en-US"/>
        </a:p>
      </dgm:t>
    </dgm:pt>
  </dgm:ptLst>
  <dgm:cxnLst>
    <dgm:cxn modelId="{75B4E6CF-E280-43AF-9D3A-4D7927CE3526}" type="presOf" srcId="{A7DB464F-99F9-4A77-83F7-184C222EFF0B}" destId="{AA1FFAFA-898C-48ED-AFC7-850B31413E2C}" srcOrd="0" destOrd="0" presId="urn:microsoft.com/office/officeart/2005/8/layout/process2"/>
    <dgm:cxn modelId="{D06D2CA5-1DF2-479B-B23B-8325DCEB46F2}" type="presOf" srcId="{27282207-5659-413C-AF23-5E5E19848FB6}" destId="{76C475B5-6246-4094-A473-68FDE5BA1891}" srcOrd="0" destOrd="0" presId="urn:microsoft.com/office/officeart/2005/8/layout/process2"/>
    <dgm:cxn modelId="{F1E041E3-1FB0-40FB-AA4A-BF9D652DED63}" srcId="{512E3315-4541-4D65-9324-8DB7D27E9FF5}" destId="{1406B388-7F9C-4E78-B373-E49B4B2FEC59}" srcOrd="2" destOrd="0" parTransId="{FB2BFB20-01F1-4378-89AD-5F7AC52A853C}" sibTransId="{E6FAF178-7562-46EC-BF8E-AD72DA6DBFE1}"/>
    <dgm:cxn modelId="{1D798298-FE90-4D68-BE1C-E7C737FAABEE}" type="presOf" srcId="{A7DB464F-99F9-4A77-83F7-184C222EFF0B}" destId="{E837D43A-DDE3-48B2-B019-AC178EC98FBD}" srcOrd="1" destOrd="0" presId="urn:microsoft.com/office/officeart/2005/8/layout/process2"/>
    <dgm:cxn modelId="{CD069782-5F64-4773-B26C-B54E30933EEB}" type="presOf" srcId="{1406B388-7F9C-4E78-B373-E49B4B2FEC59}" destId="{E4DD31BA-D8B7-4647-9CF9-816B8145DD4F}" srcOrd="0" destOrd="0" presId="urn:microsoft.com/office/officeart/2005/8/layout/process2"/>
    <dgm:cxn modelId="{DF2708CF-1C7F-4741-982C-07947B9824C6}" type="presOf" srcId="{93691F4D-F638-42FE-9F07-5E74595427CF}" destId="{7B4B74DE-DB18-406E-8863-607D571325E2}" srcOrd="0" destOrd="0" presId="urn:microsoft.com/office/officeart/2005/8/layout/process2"/>
    <dgm:cxn modelId="{38C02F90-8BB8-4A77-8BFD-CB9AC7566D79}" srcId="{512E3315-4541-4D65-9324-8DB7D27E9FF5}" destId="{64D0A81E-E070-4038-96E0-4693793E0C7E}" srcOrd="1" destOrd="0" parTransId="{D3647E4A-1FBF-43BB-88BC-06AC3B2C63B6}" sibTransId="{27282207-5659-413C-AF23-5E5E19848FB6}"/>
    <dgm:cxn modelId="{0C9AD469-9BBA-4B9A-852D-9B19B7E75299}" srcId="{512E3315-4541-4D65-9324-8DB7D27E9FF5}" destId="{93691F4D-F638-42FE-9F07-5E74595427CF}" srcOrd="0" destOrd="0" parTransId="{B4572E52-73CE-4BEB-B87E-1747739A8187}" sibTransId="{A7DB464F-99F9-4A77-83F7-184C222EFF0B}"/>
    <dgm:cxn modelId="{F3E7EC67-8BB3-4FE3-914D-2EFC4582AE82}" type="presOf" srcId="{512E3315-4541-4D65-9324-8DB7D27E9FF5}" destId="{6C7A5DA9-51D6-4D4F-AF02-3248A7D142F6}" srcOrd="0" destOrd="0" presId="urn:microsoft.com/office/officeart/2005/8/layout/process2"/>
    <dgm:cxn modelId="{F7AC9CFF-19E4-4B98-8D57-C3AF0E741567}" type="presOf" srcId="{27282207-5659-413C-AF23-5E5E19848FB6}" destId="{1102E06A-E81B-4DA5-9992-51B6CAD149C1}" srcOrd="1" destOrd="0" presId="urn:microsoft.com/office/officeart/2005/8/layout/process2"/>
    <dgm:cxn modelId="{C935D65E-1FED-4054-80DA-791323CC07F8}" type="presOf" srcId="{64D0A81E-E070-4038-96E0-4693793E0C7E}" destId="{B0065B00-FDF2-4A93-941A-54348F2067D7}" srcOrd="0" destOrd="0" presId="urn:microsoft.com/office/officeart/2005/8/layout/process2"/>
    <dgm:cxn modelId="{71A73E72-430C-4D7A-8014-7012AB38A242}" type="presParOf" srcId="{6C7A5DA9-51D6-4D4F-AF02-3248A7D142F6}" destId="{7B4B74DE-DB18-406E-8863-607D571325E2}" srcOrd="0" destOrd="0" presId="urn:microsoft.com/office/officeart/2005/8/layout/process2"/>
    <dgm:cxn modelId="{F9933A59-DE0D-468C-8F8F-CF39EE4B0D74}" type="presParOf" srcId="{6C7A5DA9-51D6-4D4F-AF02-3248A7D142F6}" destId="{AA1FFAFA-898C-48ED-AFC7-850B31413E2C}" srcOrd="1" destOrd="0" presId="urn:microsoft.com/office/officeart/2005/8/layout/process2"/>
    <dgm:cxn modelId="{9DB82992-A6C7-4799-A9EE-8302EF647813}" type="presParOf" srcId="{AA1FFAFA-898C-48ED-AFC7-850B31413E2C}" destId="{E837D43A-DDE3-48B2-B019-AC178EC98FBD}" srcOrd="0" destOrd="0" presId="urn:microsoft.com/office/officeart/2005/8/layout/process2"/>
    <dgm:cxn modelId="{82F8837A-5188-4644-8146-C09FA93394B2}" type="presParOf" srcId="{6C7A5DA9-51D6-4D4F-AF02-3248A7D142F6}" destId="{B0065B00-FDF2-4A93-941A-54348F2067D7}" srcOrd="2" destOrd="0" presId="urn:microsoft.com/office/officeart/2005/8/layout/process2"/>
    <dgm:cxn modelId="{9CD4AF3B-D50A-4468-9C0B-8A7F93D09001}" type="presParOf" srcId="{6C7A5DA9-51D6-4D4F-AF02-3248A7D142F6}" destId="{76C475B5-6246-4094-A473-68FDE5BA1891}" srcOrd="3" destOrd="0" presId="urn:microsoft.com/office/officeart/2005/8/layout/process2"/>
    <dgm:cxn modelId="{68A3EF36-9D6D-4FDA-9DBB-FC54364821E3}" type="presParOf" srcId="{76C475B5-6246-4094-A473-68FDE5BA1891}" destId="{1102E06A-E81B-4DA5-9992-51B6CAD149C1}" srcOrd="0" destOrd="0" presId="urn:microsoft.com/office/officeart/2005/8/layout/process2"/>
    <dgm:cxn modelId="{7BD2A944-8D0D-4187-9DEB-75C128B26987}" type="presParOf" srcId="{6C7A5DA9-51D6-4D4F-AF02-3248A7D142F6}" destId="{E4DD31BA-D8B7-4647-9CF9-816B8145DD4F}" srcOrd="4" destOrd="0" presId="urn:microsoft.com/office/officeart/2005/8/layout/process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12E3315-4541-4D65-9324-8DB7D27E9FF5}" type="doc">
      <dgm:prSet loTypeId="urn:microsoft.com/office/officeart/2005/8/layout/process2" loCatId="process" qsTypeId="urn:microsoft.com/office/officeart/2005/8/quickstyle/simple1" qsCatId="simple" csTypeId="urn:microsoft.com/office/officeart/2005/8/colors/accent3_4" csCatId="accent3" phldr="1"/>
      <dgm:spPr/>
    </dgm:pt>
    <dgm:pt modelId="{93691F4D-F638-42FE-9F07-5E74595427CF}">
      <dgm:prSet phldrT="[Text]" custT="1"/>
      <dgm:spPr/>
      <dgm:t>
        <a:bodyPr/>
        <a:lstStyle/>
        <a:p>
          <a:r>
            <a:rPr lang="en-US" sz="800"/>
            <a:t>Ministry of Science, Research and Technology of Iran</a:t>
          </a:r>
        </a:p>
      </dgm:t>
    </dgm:pt>
    <dgm:pt modelId="{B4572E52-73CE-4BEB-B87E-1747739A8187}" type="parTrans" cxnId="{0C9AD469-9BBA-4B9A-852D-9B19B7E75299}">
      <dgm:prSet/>
      <dgm:spPr/>
      <dgm:t>
        <a:bodyPr/>
        <a:lstStyle/>
        <a:p>
          <a:endParaRPr lang="en-US"/>
        </a:p>
      </dgm:t>
    </dgm:pt>
    <dgm:pt modelId="{A7DB464F-99F9-4A77-83F7-184C222EFF0B}" type="sibTrans" cxnId="{0C9AD469-9BBA-4B9A-852D-9B19B7E75299}">
      <dgm:prSet/>
      <dgm:spPr/>
      <dgm:t>
        <a:bodyPr/>
        <a:lstStyle/>
        <a:p>
          <a:endParaRPr lang="en-US"/>
        </a:p>
      </dgm:t>
    </dgm:pt>
    <dgm:pt modelId="{64D0A81E-E070-4038-96E0-4693793E0C7E}">
      <dgm:prSet phldrT="[Text]" custT="1"/>
      <dgm:spPr/>
      <dgm:t>
        <a:bodyPr/>
        <a:lstStyle/>
        <a:p>
          <a:r>
            <a:rPr lang="en-US" sz="800"/>
            <a:t>16 Scientific Research Journals</a:t>
          </a:r>
        </a:p>
      </dgm:t>
    </dgm:pt>
    <dgm:pt modelId="{D3647E4A-1FBF-43BB-88BC-06AC3B2C63B6}" type="parTrans" cxnId="{38C02F90-8BB8-4A77-8BFD-CB9AC7566D79}">
      <dgm:prSet/>
      <dgm:spPr/>
      <dgm:t>
        <a:bodyPr/>
        <a:lstStyle/>
        <a:p>
          <a:endParaRPr lang="en-US"/>
        </a:p>
      </dgm:t>
    </dgm:pt>
    <dgm:pt modelId="{27282207-5659-413C-AF23-5E5E19848FB6}" type="sibTrans" cxnId="{38C02F90-8BB8-4A77-8BFD-CB9AC7566D79}">
      <dgm:prSet/>
      <dgm:spPr/>
      <dgm:t>
        <a:bodyPr/>
        <a:lstStyle/>
        <a:p>
          <a:endParaRPr lang="en-US"/>
        </a:p>
      </dgm:t>
    </dgm:pt>
    <dgm:pt modelId="{1406B388-7F9C-4E78-B373-E49B4B2FEC59}">
      <dgm:prSet phldrT="[Text]" custT="1"/>
      <dgm:spPr/>
      <dgm:t>
        <a:bodyPr/>
        <a:lstStyle/>
        <a:p>
          <a:r>
            <a:rPr lang="en-US" sz="800"/>
            <a:t>15 Journals with Housing Articles</a:t>
          </a:r>
        </a:p>
      </dgm:t>
    </dgm:pt>
    <dgm:pt modelId="{FB2BFB20-01F1-4378-89AD-5F7AC52A853C}" type="parTrans" cxnId="{F1E041E3-1FB0-40FB-AA4A-BF9D652DED63}">
      <dgm:prSet/>
      <dgm:spPr/>
      <dgm:t>
        <a:bodyPr/>
        <a:lstStyle/>
        <a:p>
          <a:endParaRPr lang="en-US"/>
        </a:p>
      </dgm:t>
    </dgm:pt>
    <dgm:pt modelId="{E6FAF178-7562-46EC-BF8E-AD72DA6DBFE1}" type="sibTrans" cxnId="{F1E041E3-1FB0-40FB-AA4A-BF9D652DED63}">
      <dgm:prSet/>
      <dgm:spPr/>
      <dgm:t>
        <a:bodyPr/>
        <a:lstStyle/>
        <a:p>
          <a:endParaRPr lang="en-US"/>
        </a:p>
      </dgm:t>
    </dgm:pt>
    <dgm:pt modelId="{6C7A5DA9-51D6-4D4F-AF02-3248A7D142F6}" type="pres">
      <dgm:prSet presAssocID="{512E3315-4541-4D65-9324-8DB7D27E9FF5}" presName="linearFlow" presStyleCnt="0">
        <dgm:presLayoutVars>
          <dgm:resizeHandles val="exact"/>
        </dgm:presLayoutVars>
      </dgm:prSet>
      <dgm:spPr/>
    </dgm:pt>
    <dgm:pt modelId="{7B4B74DE-DB18-406E-8863-607D571325E2}" type="pres">
      <dgm:prSet presAssocID="{93691F4D-F638-42FE-9F07-5E74595427CF}" presName="node" presStyleLbl="node1" presStyleIdx="0" presStyleCnt="3" custScaleX="162843">
        <dgm:presLayoutVars>
          <dgm:bulletEnabled val="1"/>
        </dgm:presLayoutVars>
      </dgm:prSet>
      <dgm:spPr/>
      <dgm:t>
        <a:bodyPr/>
        <a:lstStyle/>
        <a:p>
          <a:endParaRPr lang="en-US"/>
        </a:p>
      </dgm:t>
    </dgm:pt>
    <dgm:pt modelId="{AA1FFAFA-898C-48ED-AFC7-850B31413E2C}" type="pres">
      <dgm:prSet presAssocID="{A7DB464F-99F9-4A77-83F7-184C222EFF0B}" presName="sibTrans" presStyleLbl="sibTrans2D1" presStyleIdx="0" presStyleCnt="2"/>
      <dgm:spPr/>
      <dgm:t>
        <a:bodyPr/>
        <a:lstStyle/>
        <a:p>
          <a:endParaRPr lang="en-US"/>
        </a:p>
      </dgm:t>
    </dgm:pt>
    <dgm:pt modelId="{E837D43A-DDE3-48B2-B019-AC178EC98FBD}" type="pres">
      <dgm:prSet presAssocID="{A7DB464F-99F9-4A77-83F7-184C222EFF0B}" presName="connectorText" presStyleLbl="sibTrans2D1" presStyleIdx="0" presStyleCnt="2"/>
      <dgm:spPr/>
      <dgm:t>
        <a:bodyPr/>
        <a:lstStyle/>
        <a:p>
          <a:endParaRPr lang="en-US"/>
        </a:p>
      </dgm:t>
    </dgm:pt>
    <dgm:pt modelId="{B0065B00-FDF2-4A93-941A-54348F2067D7}" type="pres">
      <dgm:prSet presAssocID="{64D0A81E-E070-4038-96E0-4693793E0C7E}" presName="node" presStyleLbl="node1" presStyleIdx="1" presStyleCnt="3" custScaleX="161513">
        <dgm:presLayoutVars>
          <dgm:bulletEnabled val="1"/>
        </dgm:presLayoutVars>
      </dgm:prSet>
      <dgm:spPr/>
      <dgm:t>
        <a:bodyPr/>
        <a:lstStyle/>
        <a:p>
          <a:endParaRPr lang="en-US"/>
        </a:p>
      </dgm:t>
    </dgm:pt>
    <dgm:pt modelId="{76C475B5-6246-4094-A473-68FDE5BA1891}" type="pres">
      <dgm:prSet presAssocID="{27282207-5659-413C-AF23-5E5E19848FB6}" presName="sibTrans" presStyleLbl="sibTrans2D1" presStyleIdx="1" presStyleCnt="2"/>
      <dgm:spPr/>
      <dgm:t>
        <a:bodyPr/>
        <a:lstStyle/>
        <a:p>
          <a:endParaRPr lang="en-US"/>
        </a:p>
      </dgm:t>
    </dgm:pt>
    <dgm:pt modelId="{1102E06A-E81B-4DA5-9992-51B6CAD149C1}" type="pres">
      <dgm:prSet presAssocID="{27282207-5659-413C-AF23-5E5E19848FB6}" presName="connectorText" presStyleLbl="sibTrans2D1" presStyleIdx="1" presStyleCnt="2"/>
      <dgm:spPr/>
      <dgm:t>
        <a:bodyPr/>
        <a:lstStyle/>
        <a:p>
          <a:endParaRPr lang="en-US"/>
        </a:p>
      </dgm:t>
    </dgm:pt>
    <dgm:pt modelId="{E4DD31BA-D8B7-4647-9CF9-816B8145DD4F}" type="pres">
      <dgm:prSet presAssocID="{1406B388-7F9C-4E78-B373-E49B4B2FEC59}" presName="node" presStyleLbl="node1" presStyleIdx="2" presStyleCnt="3" custScaleX="162843">
        <dgm:presLayoutVars>
          <dgm:bulletEnabled val="1"/>
        </dgm:presLayoutVars>
      </dgm:prSet>
      <dgm:spPr/>
      <dgm:t>
        <a:bodyPr/>
        <a:lstStyle/>
        <a:p>
          <a:endParaRPr lang="en-US"/>
        </a:p>
      </dgm:t>
    </dgm:pt>
  </dgm:ptLst>
  <dgm:cxnLst>
    <dgm:cxn modelId="{38C02F90-8BB8-4A77-8BFD-CB9AC7566D79}" srcId="{512E3315-4541-4D65-9324-8DB7D27E9FF5}" destId="{64D0A81E-E070-4038-96E0-4693793E0C7E}" srcOrd="1" destOrd="0" parTransId="{D3647E4A-1FBF-43BB-88BC-06AC3B2C63B6}" sibTransId="{27282207-5659-413C-AF23-5E5E19848FB6}"/>
    <dgm:cxn modelId="{C066904B-6A49-4F25-BFD8-21D6452BDD56}" type="presOf" srcId="{A7DB464F-99F9-4A77-83F7-184C222EFF0B}" destId="{E837D43A-DDE3-48B2-B019-AC178EC98FBD}" srcOrd="1" destOrd="0" presId="urn:microsoft.com/office/officeart/2005/8/layout/process2"/>
    <dgm:cxn modelId="{9EEF3A5A-9B24-43D2-A7EE-5FB62D8399DE}" type="presOf" srcId="{64D0A81E-E070-4038-96E0-4693793E0C7E}" destId="{B0065B00-FDF2-4A93-941A-54348F2067D7}" srcOrd="0" destOrd="0" presId="urn:microsoft.com/office/officeart/2005/8/layout/process2"/>
    <dgm:cxn modelId="{0C9AD469-9BBA-4B9A-852D-9B19B7E75299}" srcId="{512E3315-4541-4D65-9324-8DB7D27E9FF5}" destId="{93691F4D-F638-42FE-9F07-5E74595427CF}" srcOrd="0" destOrd="0" parTransId="{B4572E52-73CE-4BEB-B87E-1747739A8187}" sibTransId="{A7DB464F-99F9-4A77-83F7-184C222EFF0B}"/>
    <dgm:cxn modelId="{D00F63AB-0874-4946-9B62-350713DB66EE}" type="presOf" srcId="{27282207-5659-413C-AF23-5E5E19848FB6}" destId="{1102E06A-E81B-4DA5-9992-51B6CAD149C1}" srcOrd="1" destOrd="0" presId="urn:microsoft.com/office/officeart/2005/8/layout/process2"/>
    <dgm:cxn modelId="{3F9A5695-D338-432D-A9BF-28CFDE18CB12}" type="presOf" srcId="{93691F4D-F638-42FE-9F07-5E74595427CF}" destId="{7B4B74DE-DB18-406E-8863-607D571325E2}" srcOrd="0" destOrd="0" presId="urn:microsoft.com/office/officeart/2005/8/layout/process2"/>
    <dgm:cxn modelId="{2085B9A5-D760-4034-BB74-4410DC12E0C5}" type="presOf" srcId="{A7DB464F-99F9-4A77-83F7-184C222EFF0B}" destId="{AA1FFAFA-898C-48ED-AFC7-850B31413E2C}" srcOrd="0" destOrd="0" presId="urn:microsoft.com/office/officeart/2005/8/layout/process2"/>
    <dgm:cxn modelId="{35BF41C7-1C85-4A49-8605-BDD558A843DB}" type="presOf" srcId="{1406B388-7F9C-4E78-B373-E49B4B2FEC59}" destId="{E4DD31BA-D8B7-4647-9CF9-816B8145DD4F}" srcOrd="0" destOrd="0" presId="urn:microsoft.com/office/officeart/2005/8/layout/process2"/>
    <dgm:cxn modelId="{FAFD8BF2-A257-4167-A035-B44B73B55675}" type="presOf" srcId="{27282207-5659-413C-AF23-5E5E19848FB6}" destId="{76C475B5-6246-4094-A473-68FDE5BA1891}" srcOrd="0" destOrd="0" presId="urn:microsoft.com/office/officeart/2005/8/layout/process2"/>
    <dgm:cxn modelId="{3F02D612-C637-4ACB-BD19-4798A30D3C1C}" type="presOf" srcId="{512E3315-4541-4D65-9324-8DB7D27E9FF5}" destId="{6C7A5DA9-51D6-4D4F-AF02-3248A7D142F6}" srcOrd="0" destOrd="0" presId="urn:microsoft.com/office/officeart/2005/8/layout/process2"/>
    <dgm:cxn modelId="{F1E041E3-1FB0-40FB-AA4A-BF9D652DED63}" srcId="{512E3315-4541-4D65-9324-8DB7D27E9FF5}" destId="{1406B388-7F9C-4E78-B373-E49B4B2FEC59}" srcOrd="2" destOrd="0" parTransId="{FB2BFB20-01F1-4378-89AD-5F7AC52A853C}" sibTransId="{E6FAF178-7562-46EC-BF8E-AD72DA6DBFE1}"/>
    <dgm:cxn modelId="{9FAAA571-6FAA-4616-8F6C-3217013623F0}" type="presParOf" srcId="{6C7A5DA9-51D6-4D4F-AF02-3248A7D142F6}" destId="{7B4B74DE-DB18-406E-8863-607D571325E2}" srcOrd="0" destOrd="0" presId="urn:microsoft.com/office/officeart/2005/8/layout/process2"/>
    <dgm:cxn modelId="{C889ED6A-A66D-4A11-9588-3FCFA68FDCBD}" type="presParOf" srcId="{6C7A5DA9-51D6-4D4F-AF02-3248A7D142F6}" destId="{AA1FFAFA-898C-48ED-AFC7-850B31413E2C}" srcOrd="1" destOrd="0" presId="urn:microsoft.com/office/officeart/2005/8/layout/process2"/>
    <dgm:cxn modelId="{EDFAD27C-AAE5-4C2B-93D2-05DAB56E1C8D}" type="presParOf" srcId="{AA1FFAFA-898C-48ED-AFC7-850B31413E2C}" destId="{E837D43A-DDE3-48B2-B019-AC178EC98FBD}" srcOrd="0" destOrd="0" presId="urn:microsoft.com/office/officeart/2005/8/layout/process2"/>
    <dgm:cxn modelId="{84B28F08-9E83-4D01-9B4F-0CAB93D85644}" type="presParOf" srcId="{6C7A5DA9-51D6-4D4F-AF02-3248A7D142F6}" destId="{B0065B00-FDF2-4A93-941A-54348F2067D7}" srcOrd="2" destOrd="0" presId="urn:microsoft.com/office/officeart/2005/8/layout/process2"/>
    <dgm:cxn modelId="{4E1B90CE-170F-49C4-B767-739078FBBFCC}" type="presParOf" srcId="{6C7A5DA9-51D6-4D4F-AF02-3248A7D142F6}" destId="{76C475B5-6246-4094-A473-68FDE5BA1891}" srcOrd="3" destOrd="0" presId="urn:microsoft.com/office/officeart/2005/8/layout/process2"/>
    <dgm:cxn modelId="{C8B153A8-55DE-4800-8DAA-6D17C54874E9}" type="presParOf" srcId="{76C475B5-6246-4094-A473-68FDE5BA1891}" destId="{1102E06A-E81B-4DA5-9992-51B6CAD149C1}" srcOrd="0" destOrd="0" presId="urn:microsoft.com/office/officeart/2005/8/layout/process2"/>
    <dgm:cxn modelId="{66E8CFD1-03F5-444D-A82C-D66683A0DBE1}" type="presParOf" srcId="{6C7A5DA9-51D6-4D4F-AF02-3248A7D142F6}" destId="{E4DD31BA-D8B7-4647-9CF9-816B8145DD4F}" srcOrd="4" destOrd="0" presId="urn:microsoft.com/office/officeart/2005/8/layout/process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4B74DE-DB18-406E-8863-607D571325E2}">
      <dsp:nvSpPr>
        <dsp:cNvPr id="0" name=""/>
        <dsp:cNvSpPr/>
      </dsp:nvSpPr>
      <dsp:spPr>
        <a:xfrm>
          <a:off x="0" y="0"/>
          <a:ext cx="2189018" cy="311727"/>
        </a:xfrm>
        <a:prstGeom prst="roundRect">
          <a:avLst>
            <a:gd name="adj" fmla="val 10000"/>
          </a:avLst>
        </a:prstGeom>
        <a:solidFill>
          <a:schemeClr val="accent3">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Scientific Journal Ranking</a:t>
          </a:r>
        </a:p>
      </dsp:txBody>
      <dsp:txXfrm>
        <a:off x="9130" y="9130"/>
        <a:ext cx="2170758" cy="293467"/>
      </dsp:txXfrm>
    </dsp:sp>
    <dsp:sp modelId="{AA1FFAFA-898C-48ED-AFC7-850B31413E2C}">
      <dsp:nvSpPr>
        <dsp:cNvPr id="0" name=""/>
        <dsp:cNvSpPr/>
      </dsp:nvSpPr>
      <dsp:spPr>
        <a:xfrm rot="5400000">
          <a:off x="1036060" y="319520"/>
          <a:ext cx="116897" cy="140277"/>
        </a:xfrm>
        <a:prstGeom prst="rightArrow">
          <a:avLst>
            <a:gd name="adj1" fmla="val 60000"/>
            <a:gd name="adj2" fmla="val 50000"/>
          </a:avLst>
        </a:prstGeom>
        <a:solidFill>
          <a:schemeClr val="accent3">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rot="-5400000">
        <a:off x="1052426" y="331210"/>
        <a:ext cx="84167" cy="81828"/>
      </dsp:txXfrm>
    </dsp:sp>
    <dsp:sp modelId="{B0065B00-FDF2-4A93-941A-54348F2067D7}">
      <dsp:nvSpPr>
        <dsp:cNvPr id="0" name=""/>
        <dsp:cNvSpPr/>
      </dsp:nvSpPr>
      <dsp:spPr>
        <a:xfrm>
          <a:off x="0" y="467590"/>
          <a:ext cx="2189018" cy="311727"/>
        </a:xfrm>
        <a:prstGeom prst="roundRect">
          <a:avLst>
            <a:gd name="adj" fmla="val 10000"/>
          </a:avLst>
        </a:prstGeom>
        <a:solidFill>
          <a:schemeClr val="accent3">
            <a:shade val="50000"/>
            <a:hueOff val="178371"/>
            <a:satOff val="-2846"/>
            <a:lumOff val="2740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First 27 Journals of the List</a:t>
          </a:r>
        </a:p>
      </dsp:txBody>
      <dsp:txXfrm>
        <a:off x="9130" y="476720"/>
        <a:ext cx="2170758" cy="293467"/>
      </dsp:txXfrm>
    </dsp:sp>
    <dsp:sp modelId="{76C475B5-6246-4094-A473-68FDE5BA1891}">
      <dsp:nvSpPr>
        <dsp:cNvPr id="0" name=""/>
        <dsp:cNvSpPr/>
      </dsp:nvSpPr>
      <dsp:spPr>
        <a:xfrm rot="5400000">
          <a:off x="1036060" y="787111"/>
          <a:ext cx="116897" cy="140277"/>
        </a:xfrm>
        <a:prstGeom prst="rightArrow">
          <a:avLst>
            <a:gd name="adj1" fmla="val 60000"/>
            <a:gd name="adj2" fmla="val 50000"/>
          </a:avLst>
        </a:prstGeom>
        <a:solidFill>
          <a:schemeClr val="accent3">
            <a:shade val="90000"/>
            <a:hueOff val="280340"/>
            <a:satOff val="-6007"/>
            <a:lumOff val="3081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rot="-5400000">
        <a:off x="1052426" y="798801"/>
        <a:ext cx="84167" cy="81828"/>
      </dsp:txXfrm>
    </dsp:sp>
    <dsp:sp modelId="{E4DD31BA-D8B7-4647-9CF9-816B8145DD4F}">
      <dsp:nvSpPr>
        <dsp:cNvPr id="0" name=""/>
        <dsp:cNvSpPr/>
      </dsp:nvSpPr>
      <dsp:spPr>
        <a:xfrm>
          <a:off x="0" y="935181"/>
          <a:ext cx="2189018" cy="311727"/>
        </a:xfrm>
        <a:prstGeom prst="roundRect">
          <a:avLst>
            <a:gd name="adj" fmla="val 10000"/>
          </a:avLst>
        </a:prstGeom>
        <a:solidFill>
          <a:schemeClr val="accent3">
            <a:shade val="50000"/>
            <a:hueOff val="178371"/>
            <a:satOff val="-2846"/>
            <a:lumOff val="2740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15 Journals with Housing Articles</a:t>
          </a:r>
        </a:p>
      </dsp:txBody>
      <dsp:txXfrm>
        <a:off x="9130" y="944311"/>
        <a:ext cx="2170758" cy="29346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4B74DE-DB18-406E-8863-607D571325E2}">
      <dsp:nvSpPr>
        <dsp:cNvPr id="0" name=""/>
        <dsp:cNvSpPr/>
      </dsp:nvSpPr>
      <dsp:spPr>
        <a:xfrm>
          <a:off x="242625" y="598"/>
          <a:ext cx="1994712" cy="306232"/>
        </a:xfrm>
        <a:prstGeom prst="roundRect">
          <a:avLst>
            <a:gd name="adj" fmla="val 10000"/>
          </a:avLst>
        </a:prstGeom>
        <a:solidFill>
          <a:schemeClr val="accent3">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Ministry of Science, Research and Technology of Iran</a:t>
          </a:r>
        </a:p>
      </dsp:txBody>
      <dsp:txXfrm>
        <a:off x="251594" y="9567"/>
        <a:ext cx="1976774" cy="288294"/>
      </dsp:txXfrm>
    </dsp:sp>
    <dsp:sp modelId="{AA1FFAFA-898C-48ED-AFC7-850B31413E2C}">
      <dsp:nvSpPr>
        <dsp:cNvPr id="0" name=""/>
        <dsp:cNvSpPr/>
      </dsp:nvSpPr>
      <dsp:spPr>
        <a:xfrm rot="5400000">
          <a:off x="1182562" y="314486"/>
          <a:ext cx="114837" cy="137804"/>
        </a:xfrm>
        <a:prstGeom prst="rightArrow">
          <a:avLst>
            <a:gd name="adj1" fmla="val 60000"/>
            <a:gd name="adj2" fmla="val 50000"/>
          </a:avLst>
        </a:prstGeom>
        <a:solidFill>
          <a:schemeClr val="accent3">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rot="-5400000">
        <a:off x="1198640" y="325970"/>
        <a:ext cx="82682" cy="80386"/>
      </dsp:txXfrm>
    </dsp:sp>
    <dsp:sp modelId="{B0065B00-FDF2-4A93-941A-54348F2067D7}">
      <dsp:nvSpPr>
        <dsp:cNvPr id="0" name=""/>
        <dsp:cNvSpPr/>
      </dsp:nvSpPr>
      <dsp:spPr>
        <a:xfrm>
          <a:off x="250771" y="459947"/>
          <a:ext cx="1978420" cy="306232"/>
        </a:xfrm>
        <a:prstGeom prst="roundRect">
          <a:avLst>
            <a:gd name="adj" fmla="val 10000"/>
          </a:avLst>
        </a:prstGeom>
        <a:solidFill>
          <a:schemeClr val="accent3">
            <a:shade val="50000"/>
            <a:hueOff val="178371"/>
            <a:satOff val="-2846"/>
            <a:lumOff val="2740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16 Scientific Research Journals</a:t>
          </a:r>
        </a:p>
      </dsp:txBody>
      <dsp:txXfrm>
        <a:off x="259740" y="468916"/>
        <a:ext cx="1960482" cy="288294"/>
      </dsp:txXfrm>
    </dsp:sp>
    <dsp:sp modelId="{76C475B5-6246-4094-A473-68FDE5BA1891}">
      <dsp:nvSpPr>
        <dsp:cNvPr id="0" name=""/>
        <dsp:cNvSpPr/>
      </dsp:nvSpPr>
      <dsp:spPr>
        <a:xfrm rot="5400000">
          <a:off x="1182562" y="773835"/>
          <a:ext cx="114837" cy="137804"/>
        </a:xfrm>
        <a:prstGeom prst="rightArrow">
          <a:avLst>
            <a:gd name="adj1" fmla="val 60000"/>
            <a:gd name="adj2" fmla="val 50000"/>
          </a:avLst>
        </a:prstGeom>
        <a:solidFill>
          <a:schemeClr val="accent3">
            <a:shade val="90000"/>
            <a:hueOff val="280340"/>
            <a:satOff val="-6007"/>
            <a:lumOff val="3081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rot="-5400000">
        <a:off x="1198640" y="785319"/>
        <a:ext cx="82682" cy="80386"/>
      </dsp:txXfrm>
    </dsp:sp>
    <dsp:sp modelId="{E4DD31BA-D8B7-4647-9CF9-816B8145DD4F}">
      <dsp:nvSpPr>
        <dsp:cNvPr id="0" name=""/>
        <dsp:cNvSpPr/>
      </dsp:nvSpPr>
      <dsp:spPr>
        <a:xfrm>
          <a:off x="242625" y="919295"/>
          <a:ext cx="1994712" cy="306232"/>
        </a:xfrm>
        <a:prstGeom prst="roundRect">
          <a:avLst>
            <a:gd name="adj" fmla="val 10000"/>
          </a:avLst>
        </a:prstGeom>
        <a:solidFill>
          <a:schemeClr val="accent3">
            <a:shade val="50000"/>
            <a:hueOff val="178371"/>
            <a:satOff val="-2846"/>
            <a:lumOff val="2740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15 Journals with Housing Articles</a:t>
          </a:r>
        </a:p>
      </dsp:txBody>
      <dsp:txXfrm>
        <a:off x="251594" y="928264"/>
        <a:ext cx="1976774" cy="2882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EA721-6067-4393-BAE8-F77E72B1D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TF_Template_Word_Windows_2013</Template>
  <TotalTime>70</TotalTime>
  <Pages>23</Pages>
  <Words>8269</Words>
  <Characters>47136</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TF_Template_Word_Windows_2013</vt:lpstr>
    </vt:vector>
  </TitlesOfParts>
  <Company>Informa Plc</Company>
  <LinksUpToDate>false</LinksUpToDate>
  <CharactersWithSpaces>55295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TF_Template_Word_Windows_2013</dc:title>
  <dc:creator>Windows User</dc:creator>
  <cp:lastModifiedBy>Rachel</cp:lastModifiedBy>
  <cp:revision>10</cp:revision>
  <cp:lastPrinted>2020-07-06T09:44:00Z</cp:lastPrinted>
  <dcterms:created xsi:type="dcterms:W3CDTF">2020-09-02T06:19:00Z</dcterms:created>
  <dcterms:modified xsi:type="dcterms:W3CDTF">2020-09-02T08:53:00Z</dcterms:modified>
</cp:coreProperties>
</file>