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01992" w14:textId="77777777" w:rsidR="00643803" w:rsidRDefault="00643803" w:rsidP="00643803">
      <w:pPr>
        <w:bidi w:val="0"/>
        <w:jc w:val="center"/>
        <w:rPr>
          <w:rFonts w:asciiTheme="majorBidi" w:hAnsiTheme="majorBidi" w:cstheme="majorBidi"/>
          <w:b/>
          <w:bCs/>
          <w:sz w:val="24"/>
          <w:szCs w:val="24"/>
        </w:rPr>
      </w:pPr>
      <w:r w:rsidRPr="00643803">
        <w:rPr>
          <w:rFonts w:asciiTheme="majorBidi" w:hAnsiTheme="majorBidi" w:cstheme="majorBidi"/>
          <w:b/>
          <w:bCs/>
          <w:sz w:val="24"/>
          <w:szCs w:val="24"/>
        </w:rPr>
        <w:t xml:space="preserve">Ranking of Iranian </w:t>
      </w:r>
      <w:r w:rsidR="004A7F3E" w:rsidRPr="00643803">
        <w:rPr>
          <w:rFonts w:asciiTheme="majorBidi" w:hAnsiTheme="majorBidi" w:cstheme="majorBidi"/>
          <w:b/>
          <w:bCs/>
          <w:sz w:val="24"/>
          <w:szCs w:val="24"/>
        </w:rPr>
        <w:t xml:space="preserve">Metropolises </w:t>
      </w:r>
      <w:r w:rsidRPr="00643803">
        <w:rPr>
          <w:rFonts w:asciiTheme="majorBidi" w:hAnsiTheme="majorBidi" w:cstheme="majorBidi"/>
          <w:b/>
          <w:bCs/>
          <w:sz w:val="24"/>
          <w:szCs w:val="24"/>
        </w:rPr>
        <w:t xml:space="preserve">with an Islamic </w:t>
      </w:r>
      <w:r w:rsidR="004A7F3E" w:rsidRPr="00643803">
        <w:rPr>
          <w:rFonts w:asciiTheme="majorBidi" w:hAnsiTheme="majorBidi" w:cstheme="majorBidi"/>
          <w:b/>
          <w:bCs/>
          <w:sz w:val="24"/>
          <w:szCs w:val="24"/>
        </w:rPr>
        <w:t>Approach</w:t>
      </w:r>
    </w:p>
    <w:p w14:paraId="1891EB88" w14:textId="77777777" w:rsidR="002D3EC4" w:rsidRPr="004A7F3E" w:rsidRDefault="002D3EC4" w:rsidP="004A7F3E">
      <w:pPr>
        <w:bidi w:val="0"/>
        <w:jc w:val="center"/>
        <w:rPr>
          <w:rFonts w:asciiTheme="majorBidi" w:hAnsiTheme="majorBidi" w:cstheme="majorBidi"/>
          <w:b/>
          <w:bCs/>
          <w:sz w:val="20"/>
          <w:szCs w:val="20"/>
          <w:rtl/>
        </w:rPr>
      </w:pPr>
      <w:r w:rsidRPr="004A7F3E">
        <w:rPr>
          <w:rFonts w:asciiTheme="majorBidi" w:hAnsiTheme="majorBidi" w:cstheme="majorBidi"/>
          <w:b/>
          <w:bCs/>
          <w:sz w:val="20"/>
          <w:szCs w:val="20"/>
        </w:rPr>
        <w:t xml:space="preserve">Mohsen </w:t>
      </w:r>
      <w:proofErr w:type="spellStart"/>
      <w:r w:rsidRPr="004A7F3E">
        <w:rPr>
          <w:rFonts w:asciiTheme="majorBidi" w:hAnsiTheme="majorBidi" w:cstheme="majorBidi"/>
          <w:b/>
          <w:bCs/>
          <w:sz w:val="20"/>
          <w:szCs w:val="20"/>
        </w:rPr>
        <w:t>Rafi</w:t>
      </w:r>
      <w:r w:rsidR="00A30EC5" w:rsidRPr="004A7F3E">
        <w:rPr>
          <w:rFonts w:asciiTheme="majorBidi" w:hAnsiTheme="majorBidi" w:cstheme="majorBidi"/>
          <w:b/>
          <w:bCs/>
          <w:sz w:val="20"/>
          <w:szCs w:val="20"/>
        </w:rPr>
        <w:t>ei</w:t>
      </w:r>
      <w:r w:rsidRPr="004A7F3E">
        <w:rPr>
          <w:rFonts w:asciiTheme="majorBidi" w:hAnsiTheme="majorBidi" w:cstheme="majorBidi"/>
          <w:b/>
          <w:bCs/>
          <w:sz w:val="20"/>
          <w:szCs w:val="20"/>
        </w:rPr>
        <w:t>an</w:t>
      </w:r>
      <w:proofErr w:type="spellEnd"/>
      <w:r w:rsidRPr="004A7F3E">
        <w:rPr>
          <w:rStyle w:val="FootnoteReference"/>
          <w:rFonts w:asciiTheme="majorBidi" w:hAnsiTheme="majorBidi" w:cstheme="majorBidi"/>
          <w:b/>
          <w:bCs/>
          <w:sz w:val="20"/>
          <w:szCs w:val="20"/>
        </w:rPr>
        <w:footnoteReference w:id="1"/>
      </w:r>
      <w:r w:rsidRPr="004A7F3E">
        <w:rPr>
          <w:rFonts w:asciiTheme="majorBidi" w:hAnsiTheme="majorBidi" w:cstheme="majorBidi"/>
          <w:b/>
          <w:bCs/>
          <w:sz w:val="20"/>
          <w:szCs w:val="20"/>
        </w:rPr>
        <w:t xml:space="preserve">*, </w:t>
      </w:r>
      <w:proofErr w:type="spellStart"/>
      <w:r w:rsidRPr="004A7F3E">
        <w:rPr>
          <w:rFonts w:asciiTheme="majorBidi" w:hAnsiTheme="majorBidi" w:cstheme="majorBidi"/>
          <w:b/>
          <w:bCs/>
          <w:sz w:val="20"/>
          <w:szCs w:val="20"/>
        </w:rPr>
        <w:t>Alireza</w:t>
      </w:r>
      <w:proofErr w:type="spellEnd"/>
      <w:r w:rsidRPr="004A7F3E">
        <w:rPr>
          <w:rFonts w:asciiTheme="majorBidi" w:hAnsiTheme="majorBidi" w:cstheme="majorBidi"/>
          <w:b/>
          <w:bCs/>
          <w:sz w:val="20"/>
          <w:szCs w:val="20"/>
        </w:rPr>
        <w:t xml:space="preserve"> </w:t>
      </w:r>
      <w:proofErr w:type="spellStart"/>
      <w:r w:rsidRPr="004A7F3E">
        <w:rPr>
          <w:rFonts w:asciiTheme="majorBidi" w:hAnsiTheme="majorBidi" w:cstheme="majorBidi"/>
          <w:b/>
          <w:bCs/>
          <w:sz w:val="20"/>
          <w:szCs w:val="20"/>
        </w:rPr>
        <w:t>Rivaz</w:t>
      </w:r>
      <w:proofErr w:type="spellEnd"/>
      <w:r w:rsidR="004A7F3E">
        <w:rPr>
          <w:rFonts w:asciiTheme="majorBidi" w:hAnsiTheme="majorBidi" w:cstheme="majorBidi" w:hint="cs"/>
          <w:b/>
          <w:bCs/>
          <w:sz w:val="20"/>
          <w:szCs w:val="20"/>
          <w:rtl/>
        </w:rPr>
        <w:t xml:space="preserve"> </w:t>
      </w:r>
      <w:r w:rsidRPr="00F1094B">
        <w:rPr>
          <w:rFonts w:asciiTheme="majorBidi" w:hAnsiTheme="majorBidi" w:cstheme="majorBidi"/>
          <w:b/>
          <w:bCs/>
          <w:sz w:val="20"/>
          <w:szCs w:val="20"/>
          <w:vertAlign w:val="superscript"/>
        </w:rPr>
        <w:t xml:space="preserve">2 </w:t>
      </w:r>
      <w:r w:rsidRPr="004A7F3E">
        <w:rPr>
          <w:rFonts w:asciiTheme="majorBidi" w:hAnsiTheme="majorBidi" w:cstheme="majorBidi"/>
          <w:b/>
          <w:bCs/>
          <w:sz w:val="20"/>
          <w:szCs w:val="20"/>
        </w:rPr>
        <w:t xml:space="preserve">, </w:t>
      </w:r>
      <w:proofErr w:type="spellStart"/>
      <w:r w:rsidRPr="004A7F3E">
        <w:rPr>
          <w:rFonts w:asciiTheme="majorBidi" w:hAnsiTheme="majorBidi" w:cstheme="majorBidi"/>
          <w:b/>
          <w:bCs/>
          <w:sz w:val="20"/>
          <w:szCs w:val="20"/>
        </w:rPr>
        <w:t>Abolfazl</w:t>
      </w:r>
      <w:proofErr w:type="spellEnd"/>
      <w:r w:rsidRPr="004A7F3E">
        <w:rPr>
          <w:rFonts w:asciiTheme="majorBidi" w:hAnsiTheme="majorBidi" w:cstheme="majorBidi"/>
          <w:b/>
          <w:bCs/>
          <w:sz w:val="20"/>
          <w:szCs w:val="20"/>
        </w:rPr>
        <w:t xml:space="preserve"> </w:t>
      </w:r>
      <w:proofErr w:type="spellStart"/>
      <w:r w:rsidRPr="004A7F3E">
        <w:rPr>
          <w:rFonts w:asciiTheme="majorBidi" w:hAnsiTheme="majorBidi" w:cstheme="majorBidi"/>
          <w:b/>
          <w:bCs/>
          <w:sz w:val="20"/>
          <w:szCs w:val="20"/>
        </w:rPr>
        <w:t>Mashayekhi</w:t>
      </w:r>
      <w:proofErr w:type="spellEnd"/>
      <w:r w:rsidRPr="004A7F3E">
        <w:rPr>
          <w:rFonts w:asciiTheme="majorBidi" w:hAnsiTheme="majorBidi" w:cstheme="majorBidi"/>
          <w:b/>
          <w:bCs/>
          <w:sz w:val="20"/>
          <w:szCs w:val="20"/>
        </w:rPr>
        <w:t xml:space="preserve"> </w:t>
      </w:r>
      <w:r w:rsidRPr="00F1094B">
        <w:rPr>
          <w:rFonts w:asciiTheme="majorBidi" w:hAnsiTheme="majorBidi" w:cstheme="majorBidi"/>
          <w:b/>
          <w:bCs/>
          <w:sz w:val="20"/>
          <w:szCs w:val="20"/>
          <w:vertAlign w:val="superscript"/>
        </w:rPr>
        <w:t>3</w:t>
      </w:r>
      <w:r w:rsidRPr="004A7F3E">
        <w:rPr>
          <w:rFonts w:asciiTheme="majorBidi" w:hAnsiTheme="majorBidi" w:cstheme="majorBidi"/>
          <w:b/>
          <w:bCs/>
          <w:sz w:val="20"/>
          <w:szCs w:val="20"/>
        </w:rPr>
        <w:t xml:space="preserve">, </w:t>
      </w:r>
      <w:proofErr w:type="spellStart"/>
      <w:r w:rsidRPr="004A7F3E">
        <w:rPr>
          <w:rFonts w:asciiTheme="majorBidi" w:hAnsiTheme="majorBidi" w:cstheme="majorBidi"/>
          <w:b/>
          <w:bCs/>
          <w:sz w:val="20"/>
          <w:szCs w:val="20"/>
        </w:rPr>
        <w:t>Fatemeh</w:t>
      </w:r>
      <w:proofErr w:type="spellEnd"/>
      <w:r w:rsidRPr="004A7F3E">
        <w:rPr>
          <w:rFonts w:asciiTheme="majorBidi" w:hAnsiTheme="majorBidi" w:cstheme="majorBidi"/>
          <w:b/>
          <w:bCs/>
          <w:sz w:val="20"/>
          <w:szCs w:val="20"/>
        </w:rPr>
        <w:t xml:space="preserve"> Shams </w:t>
      </w:r>
      <w:r w:rsidRPr="00F1094B">
        <w:rPr>
          <w:rFonts w:asciiTheme="majorBidi" w:hAnsiTheme="majorBidi" w:cstheme="majorBidi"/>
          <w:b/>
          <w:bCs/>
          <w:sz w:val="20"/>
          <w:szCs w:val="20"/>
          <w:vertAlign w:val="superscript"/>
        </w:rPr>
        <w:t>4</w:t>
      </w:r>
    </w:p>
    <w:p w14:paraId="31056CB1" w14:textId="77777777" w:rsidR="004A7F3E" w:rsidRPr="00A90805" w:rsidRDefault="004A7F3E" w:rsidP="004A7F3E">
      <w:pPr>
        <w:bidi w:val="0"/>
        <w:jc w:val="center"/>
        <w:rPr>
          <w:rFonts w:asciiTheme="majorBidi" w:hAnsiTheme="majorBidi" w:cstheme="majorBidi"/>
          <w:sz w:val="20"/>
          <w:szCs w:val="20"/>
        </w:rPr>
      </w:pPr>
    </w:p>
    <w:p w14:paraId="38278331" w14:textId="77777777" w:rsidR="002D3EC4" w:rsidRPr="00A90805" w:rsidRDefault="00D31556" w:rsidP="00D31556">
      <w:pPr>
        <w:bidi w:val="0"/>
        <w:rPr>
          <w:rFonts w:asciiTheme="majorBidi" w:hAnsiTheme="majorBidi" w:cstheme="majorBidi"/>
          <w:sz w:val="20"/>
          <w:szCs w:val="20"/>
        </w:rPr>
      </w:pPr>
      <w:r>
        <w:rPr>
          <w:rFonts w:asciiTheme="majorBidi" w:hAnsiTheme="majorBidi" w:cstheme="majorBidi"/>
          <w:sz w:val="20"/>
          <w:szCs w:val="20"/>
        </w:rPr>
        <w:t>1</w:t>
      </w:r>
      <w:r w:rsidR="00A30EC5">
        <w:rPr>
          <w:rFonts w:asciiTheme="majorBidi" w:hAnsiTheme="majorBidi" w:cstheme="majorBidi"/>
          <w:sz w:val="20"/>
          <w:szCs w:val="20"/>
        </w:rPr>
        <w:t>Associate</w:t>
      </w:r>
      <w:r w:rsidR="002D3EC4" w:rsidRPr="00A90805">
        <w:rPr>
          <w:rFonts w:asciiTheme="majorBidi" w:hAnsiTheme="majorBidi" w:cstheme="majorBidi"/>
          <w:sz w:val="20"/>
          <w:szCs w:val="20"/>
        </w:rPr>
        <w:t xml:space="preserve"> Professor, </w:t>
      </w:r>
      <w:r w:rsidR="00A30EC5">
        <w:rPr>
          <w:rFonts w:asciiTheme="majorBidi" w:hAnsiTheme="majorBidi" w:cstheme="majorBidi"/>
          <w:sz w:val="20"/>
          <w:szCs w:val="20"/>
        </w:rPr>
        <w:t>Department of Urbanism</w:t>
      </w:r>
      <w:r w:rsidR="002D3EC4" w:rsidRPr="00A90805">
        <w:rPr>
          <w:rFonts w:asciiTheme="majorBidi" w:hAnsiTheme="majorBidi" w:cstheme="majorBidi"/>
          <w:sz w:val="20"/>
          <w:szCs w:val="20"/>
        </w:rPr>
        <w:t>, Yazd University</w:t>
      </w:r>
      <w:r w:rsidR="00A30EC5">
        <w:rPr>
          <w:rFonts w:asciiTheme="majorBidi" w:hAnsiTheme="majorBidi" w:cstheme="majorBidi"/>
          <w:sz w:val="20"/>
          <w:szCs w:val="20"/>
        </w:rPr>
        <w:t>,</w:t>
      </w:r>
      <w:r w:rsidR="002D3EC4" w:rsidRPr="00A90805">
        <w:rPr>
          <w:rFonts w:asciiTheme="majorBidi" w:hAnsiTheme="majorBidi" w:cstheme="majorBidi"/>
          <w:sz w:val="20"/>
          <w:szCs w:val="20"/>
        </w:rPr>
        <w:t xml:space="preserve"> Yazd, Iran</w:t>
      </w:r>
      <w:r w:rsidR="00A30EC5">
        <w:rPr>
          <w:rFonts w:asciiTheme="majorBidi" w:hAnsiTheme="majorBidi" w:cstheme="majorBidi"/>
          <w:sz w:val="20"/>
          <w:szCs w:val="20"/>
        </w:rPr>
        <w:t xml:space="preserve"> </w:t>
      </w:r>
      <w:r w:rsidR="002D3EC4" w:rsidRPr="00A90805">
        <w:rPr>
          <w:rFonts w:asciiTheme="majorBidi" w:hAnsiTheme="majorBidi" w:cstheme="majorBidi"/>
          <w:sz w:val="20"/>
          <w:szCs w:val="20"/>
        </w:rPr>
        <w:t>(</w:t>
      </w:r>
      <w:r w:rsidR="004A7F3E" w:rsidRPr="00A90805">
        <w:rPr>
          <w:rFonts w:asciiTheme="majorBidi" w:hAnsiTheme="majorBidi" w:cstheme="majorBidi"/>
          <w:sz w:val="20"/>
          <w:szCs w:val="20"/>
        </w:rPr>
        <w:t>Corresponding Author</w:t>
      </w:r>
      <w:r w:rsidR="002D3EC4" w:rsidRPr="00A90805">
        <w:rPr>
          <w:rFonts w:asciiTheme="majorBidi" w:hAnsiTheme="majorBidi" w:cstheme="majorBidi"/>
          <w:sz w:val="20"/>
          <w:szCs w:val="20"/>
        </w:rPr>
        <w:t>).</w:t>
      </w:r>
    </w:p>
    <w:p w14:paraId="5EE0ADD0" w14:textId="77777777" w:rsidR="002D3EC4" w:rsidRPr="00A90805" w:rsidRDefault="00D31556" w:rsidP="00D31556">
      <w:pPr>
        <w:bidi w:val="0"/>
        <w:rPr>
          <w:rFonts w:asciiTheme="majorBidi" w:hAnsiTheme="majorBidi" w:cstheme="majorBidi"/>
          <w:sz w:val="20"/>
          <w:szCs w:val="20"/>
        </w:rPr>
      </w:pPr>
      <w:r>
        <w:rPr>
          <w:rFonts w:asciiTheme="majorBidi" w:hAnsiTheme="majorBidi" w:cstheme="majorBidi"/>
          <w:sz w:val="20"/>
          <w:szCs w:val="20"/>
        </w:rPr>
        <w:t>2</w:t>
      </w:r>
      <w:r w:rsidR="002D3EC4" w:rsidRPr="00A90805">
        <w:rPr>
          <w:rFonts w:asciiTheme="majorBidi" w:hAnsiTheme="majorBidi" w:cstheme="majorBidi"/>
          <w:sz w:val="20"/>
          <w:szCs w:val="20"/>
        </w:rPr>
        <w:t xml:space="preserve"> </w:t>
      </w:r>
      <w:r w:rsidR="004A7F3E">
        <w:rPr>
          <w:rFonts w:asciiTheme="majorBidi" w:hAnsiTheme="majorBidi" w:cstheme="majorBidi"/>
          <w:sz w:val="20"/>
          <w:szCs w:val="20"/>
        </w:rPr>
        <w:t>PhD</w:t>
      </w:r>
      <w:r w:rsidR="00A30EC5">
        <w:rPr>
          <w:rFonts w:asciiTheme="majorBidi" w:hAnsiTheme="majorBidi" w:cstheme="majorBidi"/>
          <w:sz w:val="20"/>
          <w:szCs w:val="20"/>
        </w:rPr>
        <w:t xml:space="preserve"> S</w:t>
      </w:r>
      <w:r w:rsidR="00A30EC5" w:rsidRPr="00A90805">
        <w:rPr>
          <w:rFonts w:asciiTheme="majorBidi" w:hAnsiTheme="majorBidi" w:cstheme="majorBidi"/>
          <w:sz w:val="20"/>
          <w:szCs w:val="20"/>
        </w:rPr>
        <w:t>tude</w:t>
      </w:r>
      <w:r w:rsidR="00A30EC5">
        <w:rPr>
          <w:rFonts w:asciiTheme="majorBidi" w:hAnsiTheme="majorBidi" w:cstheme="majorBidi"/>
          <w:sz w:val="20"/>
          <w:szCs w:val="20"/>
        </w:rPr>
        <w:t>nt of Urban Planning and Design, Art University</w:t>
      </w:r>
      <w:r w:rsidR="00CD41F1">
        <w:rPr>
          <w:rFonts w:asciiTheme="majorBidi" w:hAnsiTheme="majorBidi" w:cstheme="majorBidi"/>
          <w:sz w:val="20"/>
          <w:szCs w:val="20"/>
        </w:rPr>
        <w:t>,</w:t>
      </w:r>
      <w:r w:rsidR="00A30EC5">
        <w:rPr>
          <w:rFonts w:asciiTheme="majorBidi" w:hAnsiTheme="majorBidi" w:cstheme="majorBidi"/>
          <w:sz w:val="20"/>
          <w:szCs w:val="20"/>
        </w:rPr>
        <w:t xml:space="preserve"> Isfahan,</w:t>
      </w:r>
      <w:r w:rsidR="00CD41F1">
        <w:rPr>
          <w:rFonts w:asciiTheme="majorBidi" w:hAnsiTheme="majorBidi" w:cstheme="majorBidi"/>
          <w:sz w:val="20"/>
          <w:szCs w:val="20"/>
        </w:rPr>
        <w:t xml:space="preserve"> </w:t>
      </w:r>
      <w:r w:rsidR="00CD41F1" w:rsidRPr="00A90805">
        <w:rPr>
          <w:rFonts w:asciiTheme="majorBidi" w:hAnsiTheme="majorBidi" w:cstheme="majorBidi"/>
          <w:sz w:val="20"/>
          <w:szCs w:val="20"/>
        </w:rPr>
        <w:t>Iran</w:t>
      </w:r>
      <w:r w:rsidR="002D3EC4" w:rsidRPr="00A90805">
        <w:rPr>
          <w:rFonts w:asciiTheme="majorBidi" w:hAnsiTheme="majorBidi" w:cstheme="majorBidi"/>
          <w:sz w:val="20"/>
          <w:szCs w:val="20"/>
        </w:rPr>
        <w:t>.</w:t>
      </w:r>
    </w:p>
    <w:p w14:paraId="6C78FB8C" w14:textId="77777777" w:rsidR="002D3EC4" w:rsidRPr="00A90805" w:rsidRDefault="00A30EC5" w:rsidP="00D31556">
      <w:pPr>
        <w:bidi w:val="0"/>
        <w:rPr>
          <w:rFonts w:asciiTheme="majorBidi" w:hAnsiTheme="majorBidi" w:cstheme="majorBidi"/>
          <w:sz w:val="20"/>
          <w:szCs w:val="20"/>
        </w:rPr>
      </w:pPr>
      <w:r>
        <w:rPr>
          <w:rFonts w:asciiTheme="majorBidi" w:hAnsiTheme="majorBidi" w:cstheme="majorBidi"/>
          <w:sz w:val="20"/>
          <w:szCs w:val="20"/>
        </w:rPr>
        <w:t xml:space="preserve">3 </w:t>
      </w:r>
      <w:r w:rsidR="004A7F3E">
        <w:rPr>
          <w:rFonts w:asciiTheme="majorBidi" w:hAnsiTheme="majorBidi" w:cstheme="majorBidi"/>
          <w:sz w:val="20"/>
          <w:szCs w:val="20"/>
        </w:rPr>
        <w:t>PhD</w:t>
      </w:r>
      <w:r>
        <w:rPr>
          <w:rFonts w:asciiTheme="majorBidi" w:hAnsiTheme="majorBidi" w:cstheme="majorBidi"/>
          <w:sz w:val="20"/>
          <w:szCs w:val="20"/>
        </w:rPr>
        <w:t xml:space="preserve"> Student of Urban Planning and D</w:t>
      </w:r>
      <w:r w:rsidR="002D3EC4" w:rsidRPr="00A90805">
        <w:rPr>
          <w:rFonts w:asciiTheme="majorBidi" w:hAnsiTheme="majorBidi" w:cstheme="majorBidi"/>
          <w:sz w:val="20"/>
          <w:szCs w:val="20"/>
        </w:rPr>
        <w:t>esign</w:t>
      </w:r>
      <w:r>
        <w:rPr>
          <w:rFonts w:asciiTheme="majorBidi" w:hAnsiTheme="majorBidi" w:cstheme="majorBidi"/>
          <w:sz w:val="20"/>
          <w:szCs w:val="20"/>
        </w:rPr>
        <w:t>, Department of Urbanism, Yazd U</w:t>
      </w:r>
      <w:r w:rsidR="00CD41F1">
        <w:rPr>
          <w:rFonts w:asciiTheme="majorBidi" w:hAnsiTheme="majorBidi" w:cstheme="majorBidi"/>
          <w:sz w:val="20"/>
          <w:szCs w:val="20"/>
        </w:rPr>
        <w:t>niversity,</w:t>
      </w:r>
      <w:r w:rsidR="00CD41F1" w:rsidRPr="00CD41F1">
        <w:rPr>
          <w:rFonts w:asciiTheme="majorBidi" w:hAnsiTheme="majorBidi" w:cstheme="majorBidi"/>
          <w:sz w:val="20"/>
          <w:szCs w:val="20"/>
        </w:rPr>
        <w:t xml:space="preserve"> </w:t>
      </w:r>
      <w:r w:rsidR="00CD41F1" w:rsidRPr="00A90805">
        <w:rPr>
          <w:rFonts w:asciiTheme="majorBidi" w:hAnsiTheme="majorBidi" w:cstheme="majorBidi"/>
          <w:sz w:val="20"/>
          <w:szCs w:val="20"/>
        </w:rPr>
        <w:t>Iran</w:t>
      </w:r>
      <w:r w:rsidR="00CD41F1">
        <w:rPr>
          <w:rFonts w:asciiTheme="majorBidi" w:hAnsiTheme="majorBidi" w:cstheme="majorBidi"/>
          <w:sz w:val="20"/>
          <w:szCs w:val="20"/>
        </w:rPr>
        <w:t>.</w:t>
      </w:r>
    </w:p>
    <w:p w14:paraId="785714C7" w14:textId="77777777" w:rsidR="002D3EC4" w:rsidRPr="00E33A90" w:rsidRDefault="002D3EC4" w:rsidP="00D31556">
      <w:pPr>
        <w:bidi w:val="0"/>
        <w:rPr>
          <w:rFonts w:asciiTheme="majorBidi" w:hAnsiTheme="majorBidi" w:cstheme="majorBidi"/>
          <w:sz w:val="18"/>
          <w:szCs w:val="18"/>
        </w:rPr>
      </w:pPr>
      <w:r w:rsidRPr="00A90805">
        <w:rPr>
          <w:rFonts w:asciiTheme="majorBidi" w:hAnsiTheme="majorBidi" w:cstheme="majorBidi"/>
          <w:sz w:val="20"/>
          <w:szCs w:val="20"/>
        </w:rPr>
        <w:t xml:space="preserve">4 </w:t>
      </w:r>
      <w:r w:rsidR="00A30EC5">
        <w:rPr>
          <w:rFonts w:asciiTheme="majorBidi" w:hAnsiTheme="majorBidi" w:cstheme="majorBidi"/>
          <w:sz w:val="20"/>
          <w:szCs w:val="20"/>
        </w:rPr>
        <w:t>Assistant Professor</w:t>
      </w:r>
      <w:r w:rsidRPr="00A90805">
        <w:rPr>
          <w:rFonts w:asciiTheme="majorBidi" w:hAnsiTheme="majorBidi" w:cstheme="majorBidi"/>
          <w:sz w:val="20"/>
          <w:szCs w:val="20"/>
        </w:rPr>
        <w:t xml:space="preserve">, Faculty of Art and Architecture, </w:t>
      </w:r>
      <w:proofErr w:type="spellStart"/>
      <w:r w:rsidR="00A30EC5">
        <w:rPr>
          <w:rFonts w:asciiTheme="majorBidi" w:hAnsiTheme="majorBidi" w:cstheme="majorBidi"/>
          <w:sz w:val="20"/>
          <w:szCs w:val="20"/>
        </w:rPr>
        <w:t>G</w:t>
      </w:r>
      <w:r w:rsidR="004A7F3E">
        <w:rPr>
          <w:rFonts w:asciiTheme="majorBidi" w:hAnsiTheme="majorBidi" w:cstheme="majorBidi"/>
          <w:sz w:val="20"/>
          <w:szCs w:val="20"/>
        </w:rPr>
        <w:t>u</w:t>
      </w:r>
      <w:r w:rsidR="00A30EC5">
        <w:rPr>
          <w:rFonts w:asciiTheme="majorBidi" w:hAnsiTheme="majorBidi" w:cstheme="majorBidi"/>
          <w:sz w:val="20"/>
          <w:szCs w:val="20"/>
        </w:rPr>
        <w:t>ilan</w:t>
      </w:r>
      <w:proofErr w:type="spellEnd"/>
      <w:r w:rsidR="00A30EC5">
        <w:rPr>
          <w:rFonts w:asciiTheme="majorBidi" w:hAnsiTheme="majorBidi" w:cstheme="majorBidi"/>
          <w:sz w:val="20"/>
          <w:szCs w:val="20"/>
        </w:rPr>
        <w:t xml:space="preserve"> University, Rasht</w:t>
      </w:r>
      <w:r w:rsidRPr="00A90805">
        <w:rPr>
          <w:rFonts w:asciiTheme="majorBidi" w:hAnsiTheme="majorBidi" w:cstheme="majorBidi"/>
          <w:sz w:val="20"/>
          <w:szCs w:val="20"/>
        </w:rPr>
        <w:t>, Iran</w:t>
      </w:r>
      <w:r w:rsidRPr="00E33A90">
        <w:rPr>
          <w:rFonts w:asciiTheme="majorBidi" w:hAnsiTheme="majorBidi" w:cstheme="majorBidi"/>
          <w:sz w:val="18"/>
          <w:szCs w:val="18"/>
        </w:rPr>
        <w:t>.</w:t>
      </w:r>
    </w:p>
    <w:p w14:paraId="3FC51E4A" w14:textId="77777777" w:rsidR="00643803" w:rsidRPr="002D3EC4" w:rsidRDefault="00643803" w:rsidP="002D3EC4">
      <w:pPr>
        <w:bidi w:val="0"/>
        <w:rPr>
          <w:rFonts w:asciiTheme="majorBidi" w:hAnsiTheme="majorBidi" w:cstheme="majorBidi"/>
          <w:sz w:val="18"/>
          <w:szCs w:val="18"/>
        </w:rPr>
      </w:pPr>
    </w:p>
    <w:p w14:paraId="0827CA70" w14:textId="77777777" w:rsidR="00643803" w:rsidRPr="00643803" w:rsidRDefault="00643803" w:rsidP="00643803">
      <w:pPr>
        <w:bidi w:val="0"/>
        <w:jc w:val="both"/>
        <w:rPr>
          <w:rFonts w:asciiTheme="majorBidi" w:hAnsiTheme="majorBidi" w:cstheme="majorBidi"/>
          <w:b/>
          <w:bCs/>
          <w:sz w:val="24"/>
          <w:szCs w:val="24"/>
        </w:rPr>
      </w:pPr>
      <w:r w:rsidRPr="00643803">
        <w:rPr>
          <w:rFonts w:asciiTheme="majorBidi" w:hAnsiTheme="majorBidi" w:cstheme="majorBidi"/>
          <w:b/>
          <w:bCs/>
          <w:sz w:val="24"/>
          <w:szCs w:val="24"/>
        </w:rPr>
        <w:t>Abstract</w:t>
      </w:r>
    </w:p>
    <w:p w14:paraId="798DDE16" w14:textId="4E0474F7" w:rsidR="00643803" w:rsidRDefault="00643803" w:rsidP="00CD400E">
      <w:pPr>
        <w:bidi w:val="0"/>
        <w:jc w:val="both"/>
        <w:rPr>
          <w:rFonts w:asciiTheme="majorBidi" w:hAnsiTheme="majorBidi" w:cstheme="majorBidi"/>
          <w:sz w:val="24"/>
          <w:szCs w:val="24"/>
        </w:rPr>
      </w:pPr>
      <w:r w:rsidRPr="00643803">
        <w:rPr>
          <w:rFonts w:asciiTheme="majorBidi" w:hAnsiTheme="majorBidi" w:cstheme="majorBidi"/>
          <w:sz w:val="24"/>
          <w:szCs w:val="24"/>
        </w:rPr>
        <w:t>Numerous ranking systems have been internationally used to rank cities in the world. However, the inappropriateness and inconformity of the conventional indices of city ranking systems to the value and cultural systems of different urban communities have made these indices inefficient in the evaluation and comparison of cities. In Iran's cultural context</w:t>
      </w:r>
      <w:r w:rsidR="00BC57DE">
        <w:rPr>
          <w:rFonts w:asciiTheme="majorBidi" w:hAnsiTheme="majorBidi" w:cstheme="majorBidi"/>
          <w:sz w:val="24"/>
          <w:szCs w:val="24"/>
        </w:rPr>
        <w:t xml:space="preserve"> that combined with Islamic approaches</w:t>
      </w:r>
      <w:r w:rsidRPr="00643803">
        <w:rPr>
          <w:rFonts w:asciiTheme="majorBidi" w:hAnsiTheme="majorBidi" w:cstheme="majorBidi"/>
          <w:sz w:val="24"/>
          <w:szCs w:val="24"/>
        </w:rPr>
        <w:t>, this problem makes it necessary to extract city ranking indices from an intellectual perspective based on the monotheistic worldview and Islamic teachings and valu</w:t>
      </w:r>
      <w:r w:rsidR="00CE2229">
        <w:rPr>
          <w:rFonts w:asciiTheme="majorBidi" w:hAnsiTheme="majorBidi" w:cstheme="majorBidi"/>
          <w:sz w:val="24"/>
          <w:szCs w:val="24"/>
        </w:rPr>
        <w:t xml:space="preserve">es. </w:t>
      </w:r>
      <w:r w:rsidR="00CD400E">
        <w:rPr>
          <w:rFonts w:asciiTheme="majorBidi" w:hAnsiTheme="majorBidi" w:cstheme="majorBidi"/>
          <w:sz w:val="24"/>
          <w:szCs w:val="24"/>
        </w:rPr>
        <w:t>This</w:t>
      </w:r>
      <w:r w:rsidR="00CE2229">
        <w:rPr>
          <w:rFonts w:asciiTheme="majorBidi" w:hAnsiTheme="majorBidi" w:cstheme="majorBidi"/>
          <w:sz w:val="24"/>
          <w:szCs w:val="24"/>
        </w:rPr>
        <w:t xml:space="preserve"> paper </w:t>
      </w:r>
      <w:r w:rsidRPr="00643803">
        <w:rPr>
          <w:rFonts w:asciiTheme="majorBidi" w:hAnsiTheme="majorBidi" w:cstheme="majorBidi"/>
          <w:sz w:val="24"/>
          <w:szCs w:val="24"/>
        </w:rPr>
        <w:t xml:space="preserve">aims to </w:t>
      </w:r>
      <w:r w:rsidR="00BC57DE">
        <w:rPr>
          <w:rFonts w:asciiTheme="majorBidi" w:hAnsiTheme="majorBidi" w:cstheme="majorBidi"/>
          <w:sz w:val="24"/>
          <w:szCs w:val="24"/>
        </w:rPr>
        <w:t>apply</w:t>
      </w:r>
      <w:r w:rsidRPr="00643803">
        <w:rPr>
          <w:rFonts w:asciiTheme="majorBidi" w:hAnsiTheme="majorBidi" w:cstheme="majorBidi"/>
          <w:sz w:val="24"/>
          <w:szCs w:val="24"/>
        </w:rPr>
        <w:t xml:space="preserve"> a theoretical model and an operational assessment framework for city ranking on a national scale with an Islamic approach in order to rank Iranian metropolises</w:t>
      </w:r>
      <w:r w:rsidR="00CE2229">
        <w:rPr>
          <w:rFonts w:asciiTheme="majorBidi" w:hAnsiTheme="majorBidi" w:cstheme="majorBidi"/>
          <w:sz w:val="24"/>
          <w:szCs w:val="24"/>
        </w:rPr>
        <w:t xml:space="preserve"> (</w:t>
      </w:r>
      <w:r w:rsidR="00CD400E">
        <w:rPr>
          <w:rFonts w:asciiTheme="majorBidi" w:hAnsiTheme="majorBidi" w:cstheme="majorBidi"/>
          <w:sz w:val="24"/>
          <w:szCs w:val="24"/>
        </w:rPr>
        <w:t xml:space="preserve">chosen based on the </w:t>
      </w:r>
      <w:r w:rsidR="00CE2229">
        <w:rPr>
          <w:rFonts w:asciiTheme="majorBidi" w:hAnsiTheme="majorBidi" w:cstheme="majorBidi"/>
          <w:sz w:val="24"/>
          <w:szCs w:val="24"/>
        </w:rPr>
        <w:t>official documents)</w:t>
      </w:r>
      <w:r w:rsidRPr="00643803">
        <w:rPr>
          <w:rFonts w:asciiTheme="majorBidi" w:hAnsiTheme="majorBidi" w:cstheme="majorBidi"/>
          <w:sz w:val="24"/>
          <w:szCs w:val="24"/>
        </w:rPr>
        <w:t xml:space="preserve">. For this purpose, </w:t>
      </w:r>
      <w:r w:rsidR="00CD400E">
        <w:rPr>
          <w:rFonts w:asciiTheme="majorBidi" w:hAnsiTheme="majorBidi" w:cstheme="majorBidi"/>
          <w:sz w:val="24"/>
          <w:szCs w:val="24"/>
        </w:rPr>
        <w:t>the</w:t>
      </w:r>
      <w:r w:rsidRPr="00643803">
        <w:rPr>
          <w:rFonts w:asciiTheme="majorBidi" w:hAnsiTheme="majorBidi" w:cstheme="majorBidi"/>
          <w:sz w:val="24"/>
          <w:szCs w:val="24"/>
        </w:rPr>
        <w:t xml:space="preserve"> </w:t>
      </w:r>
      <w:r w:rsidR="00BE4755">
        <w:rPr>
          <w:rFonts w:asciiTheme="majorBidi" w:hAnsiTheme="majorBidi" w:cstheme="majorBidi"/>
          <w:sz w:val="24"/>
          <w:szCs w:val="24"/>
        </w:rPr>
        <w:t>paper</w:t>
      </w:r>
      <w:r w:rsidRPr="00643803">
        <w:rPr>
          <w:rFonts w:asciiTheme="majorBidi" w:hAnsiTheme="majorBidi" w:cstheme="majorBidi"/>
          <w:sz w:val="24"/>
          <w:szCs w:val="24"/>
        </w:rPr>
        <w:t xml:space="preserve"> was carried out in two steps</w:t>
      </w:r>
      <w:r w:rsidR="00CD400E">
        <w:rPr>
          <w:rFonts w:asciiTheme="majorBidi" w:hAnsiTheme="majorBidi" w:cstheme="majorBidi"/>
          <w:sz w:val="24"/>
          <w:szCs w:val="24"/>
        </w:rPr>
        <w:t>;</w:t>
      </w:r>
      <w:r w:rsidRPr="00643803">
        <w:rPr>
          <w:rFonts w:asciiTheme="majorBidi" w:hAnsiTheme="majorBidi" w:cstheme="majorBidi"/>
          <w:sz w:val="24"/>
          <w:szCs w:val="24"/>
        </w:rPr>
        <w:t xml:space="preserve"> </w:t>
      </w:r>
      <w:r w:rsidR="00CD400E">
        <w:rPr>
          <w:rFonts w:asciiTheme="majorBidi" w:hAnsiTheme="majorBidi" w:cstheme="majorBidi"/>
          <w:sz w:val="24"/>
          <w:szCs w:val="24"/>
        </w:rPr>
        <w:t xml:space="preserve">step </w:t>
      </w:r>
      <w:r w:rsidR="00CE2229">
        <w:rPr>
          <w:rFonts w:asciiTheme="majorBidi" w:hAnsiTheme="majorBidi" w:cstheme="majorBidi"/>
          <w:sz w:val="24"/>
          <w:szCs w:val="24"/>
        </w:rPr>
        <w:t>1:</w:t>
      </w:r>
      <w:r w:rsidRPr="00643803">
        <w:rPr>
          <w:rFonts w:asciiTheme="majorBidi" w:hAnsiTheme="majorBidi" w:cstheme="majorBidi"/>
          <w:sz w:val="24"/>
          <w:szCs w:val="24"/>
        </w:rPr>
        <w:t xml:space="preserve"> semi-structured interviews with experts and qualitative content analysis using MAXQDA software were used to extract indices, and in </w:t>
      </w:r>
      <w:r w:rsidR="00CD400E" w:rsidRPr="00643803">
        <w:rPr>
          <w:rFonts w:asciiTheme="majorBidi" w:hAnsiTheme="majorBidi" w:cstheme="majorBidi"/>
          <w:sz w:val="24"/>
          <w:szCs w:val="24"/>
        </w:rPr>
        <w:t xml:space="preserve">step </w:t>
      </w:r>
      <w:r w:rsidRPr="00643803">
        <w:rPr>
          <w:rFonts w:asciiTheme="majorBidi" w:hAnsiTheme="majorBidi" w:cstheme="majorBidi"/>
          <w:sz w:val="24"/>
          <w:szCs w:val="24"/>
        </w:rPr>
        <w:t xml:space="preserve">2, </w:t>
      </w:r>
      <w:r w:rsidR="00740D16" w:rsidRPr="00643803">
        <w:rPr>
          <w:rFonts w:asciiTheme="majorBidi" w:hAnsiTheme="majorBidi" w:cstheme="majorBidi"/>
          <w:sz w:val="24"/>
          <w:szCs w:val="24"/>
        </w:rPr>
        <w:t xml:space="preserve">eleven </w:t>
      </w:r>
      <w:r w:rsidRPr="00643803">
        <w:rPr>
          <w:rFonts w:asciiTheme="majorBidi" w:hAnsiTheme="majorBidi" w:cstheme="majorBidi"/>
          <w:sz w:val="24"/>
          <w:szCs w:val="24"/>
        </w:rPr>
        <w:t>Iranian metr</w:t>
      </w:r>
      <w:r w:rsidR="00A30EC5">
        <w:rPr>
          <w:rFonts w:asciiTheme="majorBidi" w:hAnsiTheme="majorBidi" w:cstheme="majorBidi"/>
          <w:sz w:val="24"/>
          <w:szCs w:val="24"/>
        </w:rPr>
        <w:t xml:space="preserve">opolises were ranked using the </w:t>
      </w:r>
      <w:r w:rsidRPr="00643803">
        <w:rPr>
          <w:rFonts w:asciiTheme="majorBidi" w:hAnsiTheme="majorBidi" w:cstheme="majorBidi"/>
          <w:sz w:val="24"/>
          <w:szCs w:val="24"/>
        </w:rPr>
        <w:t xml:space="preserve">TOPSIS technique. </w:t>
      </w:r>
      <w:r w:rsidR="00BE4755" w:rsidRPr="00643803">
        <w:rPr>
          <w:rFonts w:asciiTheme="majorBidi" w:hAnsiTheme="majorBidi" w:cstheme="majorBidi"/>
          <w:sz w:val="24"/>
          <w:szCs w:val="24"/>
        </w:rPr>
        <w:t xml:space="preserve">Findings </w:t>
      </w:r>
      <w:r w:rsidRPr="00643803">
        <w:rPr>
          <w:rFonts w:asciiTheme="majorBidi" w:hAnsiTheme="majorBidi" w:cstheme="majorBidi"/>
          <w:sz w:val="24"/>
          <w:szCs w:val="24"/>
        </w:rPr>
        <w:t>indicate that the five fundamental pillars of city ranking based on the Iranian-Islamic approach include 1</w:t>
      </w:r>
      <w:r w:rsidR="00BE4755">
        <w:rPr>
          <w:rFonts w:asciiTheme="majorBidi" w:hAnsiTheme="majorBidi" w:cstheme="majorBidi"/>
          <w:sz w:val="24"/>
          <w:szCs w:val="24"/>
        </w:rPr>
        <w:t>)</w:t>
      </w:r>
      <w:r w:rsidRPr="00643803">
        <w:rPr>
          <w:rFonts w:asciiTheme="majorBidi" w:hAnsiTheme="majorBidi" w:cstheme="majorBidi"/>
          <w:sz w:val="24"/>
          <w:szCs w:val="24"/>
        </w:rPr>
        <w:t xml:space="preserve"> the intellectual-ideological aspect of Muslim Iranian citizens, 2</w:t>
      </w:r>
      <w:r w:rsidR="00BE4755">
        <w:rPr>
          <w:rFonts w:asciiTheme="majorBidi" w:hAnsiTheme="majorBidi" w:cstheme="majorBidi"/>
          <w:sz w:val="24"/>
          <w:szCs w:val="24"/>
        </w:rPr>
        <w:t>)</w:t>
      </w:r>
      <w:r w:rsidRPr="00643803">
        <w:rPr>
          <w:rFonts w:asciiTheme="majorBidi" w:hAnsiTheme="majorBidi" w:cstheme="majorBidi"/>
          <w:sz w:val="24"/>
          <w:szCs w:val="24"/>
        </w:rPr>
        <w:t xml:space="preserve"> the livelihood of Muslim Iranian citizens, 3</w:t>
      </w:r>
      <w:r w:rsidR="00BE4755">
        <w:rPr>
          <w:rFonts w:asciiTheme="majorBidi" w:hAnsiTheme="majorBidi" w:cstheme="majorBidi"/>
          <w:sz w:val="24"/>
          <w:szCs w:val="24"/>
        </w:rPr>
        <w:t>)</w:t>
      </w:r>
      <w:r w:rsidRPr="00643803">
        <w:rPr>
          <w:rFonts w:asciiTheme="majorBidi" w:hAnsiTheme="majorBidi" w:cstheme="majorBidi"/>
          <w:sz w:val="24"/>
          <w:szCs w:val="24"/>
        </w:rPr>
        <w:t xml:space="preserve"> the interactions between citizens, 4</w:t>
      </w:r>
      <w:r w:rsidR="00BE4755">
        <w:rPr>
          <w:rFonts w:asciiTheme="majorBidi" w:hAnsiTheme="majorBidi" w:cstheme="majorBidi"/>
          <w:sz w:val="24"/>
          <w:szCs w:val="24"/>
        </w:rPr>
        <w:t>)</w:t>
      </w:r>
      <w:r w:rsidRPr="00643803">
        <w:rPr>
          <w:rFonts w:asciiTheme="majorBidi" w:hAnsiTheme="majorBidi" w:cstheme="majorBidi"/>
          <w:sz w:val="24"/>
          <w:szCs w:val="24"/>
        </w:rPr>
        <w:t xml:space="preserve"> the interactions of the city, and 5</w:t>
      </w:r>
      <w:r w:rsidR="00BE4755">
        <w:rPr>
          <w:rFonts w:asciiTheme="majorBidi" w:hAnsiTheme="majorBidi" w:cstheme="majorBidi"/>
          <w:sz w:val="24"/>
          <w:szCs w:val="24"/>
        </w:rPr>
        <w:t>)</w:t>
      </w:r>
      <w:r w:rsidRPr="00643803">
        <w:rPr>
          <w:rFonts w:asciiTheme="majorBidi" w:hAnsiTheme="majorBidi" w:cstheme="majorBidi"/>
          <w:sz w:val="24"/>
          <w:szCs w:val="24"/>
        </w:rPr>
        <w:t xml:space="preserve"> the city context. Also, the results of ranking cities based on the Iranian-Islamic approach and the extracted indices indicate that Yazd obtained the first rank (score=0.499), followed by Mashhad (score=0.37</w:t>
      </w:r>
      <w:r>
        <w:rPr>
          <w:rFonts w:asciiTheme="majorBidi" w:hAnsiTheme="majorBidi" w:cstheme="majorBidi"/>
          <w:sz w:val="24"/>
          <w:szCs w:val="24"/>
        </w:rPr>
        <w:t>6</w:t>
      </w:r>
      <w:r w:rsidRPr="00643803">
        <w:rPr>
          <w:rFonts w:asciiTheme="majorBidi" w:hAnsiTheme="majorBidi" w:cstheme="majorBidi"/>
          <w:sz w:val="24"/>
          <w:szCs w:val="24"/>
        </w:rPr>
        <w:t xml:space="preserve">), and Rasht (score=0.375). Finally, some suggestions are presented in the form of a promotion document for the improvement of the </w:t>
      </w:r>
      <w:r w:rsidR="00CD400E">
        <w:rPr>
          <w:rFonts w:asciiTheme="majorBidi" w:hAnsiTheme="majorBidi" w:cstheme="majorBidi"/>
          <w:sz w:val="24"/>
          <w:szCs w:val="24"/>
        </w:rPr>
        <w:t>case studies</w:t>
      </w:r>
      <w:r w:rsidRPr="00643803">
        <w:rPr>
          <w:rFonts w:asciiTheme="majorBidi" w:hAnsiTheme="majorBidi" w:cstheme="majorBidi"/>
          <w:sz w:val="24"/>
          <w:szCs w:val="24"/>
          <w:rtl/>
        </w:rPr>
        <w:t>.</w:t>
      </w:r>
      <w:r w:rsidR="00CD400E">
        <w:rPr>
          <w:rFonts w:asciiTheme="majorBidi" w:hAnsiTheme="majorBidi" w:cstheme="majorBidi"/>
          <w:sz w:val="24"/>
          <w:szCs w:val="24"/>
        </w:rPr>
        <w:t xml:space="preserve"> </w:t>
      </w:r>
    </w:p>
    <w:p w14:paraId="528DE30F" w14:textId="77777777" w:rsidR="00740D16" w:rsidRPr="00643803" w:rsidRDefault="00740D16" w:rsidP="00740D16">
      <w:pPr>
        <w:bidi w:val="0"/>
        <w:jc w:val="both"/>
        <w:rPr>
          <w:rFonts w:asciiTheme="majorBidi" w:hAnsiTheme="majorBidi" w:cstheme="majorBidi"/>
          <w:sz w:val="24"/>
          <w:szCs w:val="24"/>
        </w:rPr>
      </w:pPr>
    </w:p>
    <w:p w14:paraId="284C9409" w14:textId="77777777" w:rsidR="00643803" w:rsidRDefault="00643803" w:rsidP="00643803">
      <w:pPr>
        <w:bidi w:val="0"/>
        <w:jc w:val="both"/>
        <w:rPr>
          <w:rFonts w:asciiTheme="majorBidi" w:hAnsiTheme="majorBidi" w:cstheme="majorBidi"/>
          <w:sz w:val="24"/>
          <w:szCs w:val="24"/>
        </w:rPr>
      </w:pPr>
      <w:r w:rsidRPr="004A7F3E">
        <w:rPr>
          <w:rFonts w:asciiTheme="majorBidi" w:hAnsiTheme="majorBidi" w:cstheme="majorBidi"/>
          <w:b/>
          <w:bCs/>
          <w:sz w:val="24"/>
          <w:szCs w:val="24"/>
        </w:rPr>
        <w:t>Keywords</w:t>
      </w:r>
      <w:r w:rsidRPr="00643803">
        <w:rPr>
          <w:rFonts w:asciiTheme="majorBidi" w:hAnsiTheme="majorBidi" w:cstheme="majorBidi"/>
          <w:sz w:val="24"/>
          <w:szCs w:val="24"/>
        </w:rPr>
        <w:t xml:space="preserve">: City </w:t>
      </w:r>
      <w:r w:rsidR="00740D16" w:rsidRPr="00643803">
        <w:rPr>
          <w:rFonts w:asciiTheme="majorBidi" w:hAnsiTheme="majorBidi" w:cstheme="majorBidi"/>
          <w:sz w:val="24"/>
          <w:szCs w:val="24"/>
        </w:rPr>
        <w:t>Ranking</w:t>
      </w:r>
      <w:r w:rsidRPr="00643803">
        <w:rPr>
          <w:rFonts w:asciiTheme="majorBidi" w:hAnsiTheme="majorBidi" w:cstheme="majorBidi"/>
          <w:sz w:val="24"/>
          <w:szCs w:val="24"/>
        </w:rPr>
        <w:t xml:space="preserve">, Islamic </w:t>
      </w:r>
      <w:r w:rsidR="00740D16" w:rsidRPr="00643803">
        <w:rPr>
          <w:rFonts w:asciiTheme="majorBidi" w:hAnsiTheme="majorBidi" w:cstheme="majorBidi"/>
          <w:sz w:val="24"/>
          <w:szCs w:val="24"/>
        </w:rPr>
        <w:t>Urban Planning</w:t>
      </w:r>
      <w:r w:rsidRPr="00643803">
        <w:rPr>
          <w:rFonts w:asciiTheme="majorBidi" w:hAnsiTheme="majorBidi" w:cstheme="majorBidi"/>
          <w:sz w:val="24"/>
          <w:szCs w:val="24"/>
        </w:rPr>
        <w:t xml:space="preserve">, Iranian </w:t>
      </w:r>
      <w:r w:rsidR="00740D16" w:rsidRPr="00643803">
        <w:rPr>
          <w:rFonts w:asciiTheme="majorBidi" w:hAnsiTheme="majorBidi" w:cstheme="majorBidi"/>
          <w:sz w:val="24"/>
          <w:szCs w:val="24"/>
        </w:rPr>
        <w:t>Metropolises</w:t>
      </w:r>
      <w:r w:rsidRPr="00643803">
        <w:rPr>
          <w:rFonts w:asciiTheme="majorBidi" w:hAnsiTheme="majorBidi" w:cstheme="majorBidi"/>
          <w:sz w:val="24"/>
          <w:szCs w:val="24"/>
        </w:rPr>
        <w:t xml:space="preserve">, MAXQDA, Islamic </w:t>
      </w:r>
      <w:r w:rsidR="00740D16" w:rsidRPr="00643803">
        <w:rPr>
          <w:rFonts w:asciiTheme="majorBidi" w:hAnsiTheme="majorBidi" w:cstheme="majorBidi"/>
          <w:sz w:val="24"/>
          <w:szCs w:val="24"/>
        </w:rPr>
        <w:t>Indices</w:t>
      </w:r>
      <w:r w:rsidRPr="00643803">
        <w:rPr>
          <w:rFonts w:asciiTheme="majorBidi" w:hAnsiTheme="majorBidi" w:cstheme="majorBidi"/>
          <w:sz w:val="24"/>
          <w:szCs w:val="24"/>
          <w:rtl/>
        </w:rPr>
        <w:t>.</w:t>
      </w:r>
    </w:p>
    <w:p w14:paraId="1CD7F217" w14:textId="77777777" w:rsidR="00394884" w:rsidRDefault="00394884" w:rsidP="00643803">
      <w:pPr>
        <w:bidi w:val="0"/>
        <w:jc w:val="both"/>
        <w:rPr>
          <w:rFonts w:asciiTheme="majorBidi" w:hAnsiTheme="majorBidi" w:cstheme="majorBidi"/>
          <w:sz w:val="24"/>
          <w:szCs w:val="24"/>
        </w:rPr>
      </w:pPr>
    </w:p>
    <w:p w14:paraId="236F2783" w14:textId="77777777" w:rsidR="00394884" w:rsidRDefault="00394884">
      <w:pPr>
        <w:bidi w:val="0"/>
        <w:rPr>
          <w:rFonts w:asciiTheme="majorBidi" w:hAnsiTheme="majorBidi" w:cstheme="majorBidi"/>
          <w:sz w:val="24"/>
          <w:szCs w:val="24"/>
        </w:rPr>
      </w:pPr>
      <w:r>
        <w:rPr>
          <w:rFonts w:asciiTheme="majorBidi" w:hAnsiTheme="majorBidi" w:cstheme="majorBidi"/>
          <w:sz w:val="24"/>
          <w:szCs w:val="24"/>
        </w:rPr>
        <w:br w:type="page"/>
      </w:r>
    </w:p>
    <w:p w14:paraId="7C1C0F37" w14:textId="77777777" w:rsidR="00643803" w:rsidRPr="0051782C" w:rsidRDefault="00DC5761" w:rsidP="00DC5761">
      <w:pPr>
        <w:bidi w:val="0"/>
        <w:jc w:val="both"/>
        <w:rPr>
          <w:rFonts w:asciiTheme="majorBidi" w:hAnsiTheme="majorBidi" w:cstheme="majorBidi"/>
          <w:b/>
          <w:bCs/>
          <w:sz w:val="24"/>
          <w:szCs w:val="24"/>
        </w:rPr>
      </w:pPr>
      <w:r w:rsidRPr="0051782C">
        <w:rPr>
          <w:rFonts w:asciiTheme="majorBidi" w:hAnsiTheme="majorBidi" w:cstheme="majorBidi"/>
          <w:b/>
          <w:bCs/>
          <w:sz w:val="24"/>
          <w:szCs w:val="24"/>
        </w:rPr>
        <w:lastRenderedPageBreak/>
        <w:t xml:space="preserve">1. </w:t>
      </w:r>
      <w:r w:rsidR="00643803" w:rsidRPr="0051782C">
        <w:rPr>
          <w:rFonts w:asciiTheme="majorBidi" w:hAnsiTheme="majorBidi" w:cstheme="majorBidi"/>
          <w:b/>
          <w:bCs/>
          <w:sz w:val="24"/>
          <w:szCs w:val="24"/>
        </w:rPr>
        <w:t>Introduction</w:t>
      </w:r>
    </w:p>
    <w:p w14:paraId="5B80BBAC" w14:textId="77777777" w:rsidR="00643803" w:rsidRPr="00643803" w:rsidRDefault="00643803" w:rsidP="00331B18">
      <w:pPr>
        <w:bidi w:val="0"/>
        <w:jc w:val="both"/>
        <w:rPr>
          <w:rFonts w:asciiTheme="majorBidi" w:hAnsiTheme="majorBidi" w:cstheme="majorBidi"/>
          <w:sz w:val="24"/>
          <w:szCs w:val="24"/>
        </w:rPr>
      </w:pPr>
      <w:r w:rsidRPr="00643803">
        <w:rPr>
          <w:rFonts w:asciiTheme="majorBidi" w:hAnsiTheme="majorBidi" w:cstheme="majorBidi"/>
          <w:sz w:val="24"/>
          <w:szCs w:val="24"/>
        </w:rPr>
        <w:t>The permanent and integrated assessment of cities' performance and their progress is inevitable in urban management and planning, and cities require this to progress and transcend each other. Today, standardizing and ranking cities are known as a tool for assessing the performance of cities and comparing them (</w:t>
      </w:r>
      <w:proofErr w:type="spellStart"/>
      <w:r w:rsidRPr="00643803">
        <w:rPr>
          <w:rFonts w:asciiTheme="majorBidi" w:hAnsiTheme="majorBidi" w:cstheme="majorBidi"/>
          <w:sz w:val="24"/>
          <w:szCs w:val="24"/>
        </w:rPr>
        <w:t>Acuto</w:t>
      </w:r>
      <w:proofErr w:type="spellEnd"/>
      <w:r w:rsidRPr="00643803">
        <w:rPr>
          <w:rFonts w:asciiTheme="majorBidi" w:hAnsiTheme="majorBidi" w:cstheme="majorBidi"/>
          <w:sz w:val="24"/>
          <w:szCs w:val="24"/>
        </w:rPr>
        <w:t xml:space="preserve"> et al., 2021: 364). Rankings are attractive to communities because they provide an appearance of technocratic objectivity and satisfy the need for political expediency (</w:t>
      </w:r>
      <w:proofErr w:type="spellStart"/>
      <w:r w:rsidRPr="00643803">
        <w:rPr>
          <w:rFonts w:asciiTheme="majorBidi" w:hAnsiTheme="majorBidi" w:cstheme="majorBidi"/>
          <w:sz w:val="24"/>
          <w:szCs w:val="24"/>
        </w:rPr>
        <w:t>Kitchin</w:t>
      </w:r>
      <w:proofErr w:type="spellEnd"/>
      <w:r w:rsidRPr="00643803">
        <w:rPr>
          <w:rFonts w:asciiTheme="majorBidi" w:hAnsiTheme="majorBidi" w:cstheme="majorBidi"/>
          <w:sz w:val="24"/>
          <w:szCs w:val="24"/>
        </w:rPr>
        <w:t xml:space="preserve"> et al., 2015). That is why ranking is also considered a regulatory tool in management and planning as well as a valuable criterion by city governments (Conger 2015; McArthu</w:t>
      </w:r>
      <w:r w:rsidR="00B04864">
        <w:rPr>
          <w:rFonts w:asciiTheme="majorBidi" w:hAnsiTheme="majorBidi" w:cstheme="majorBidi"/>
          <w:sz w:val="24"/>
          <w:szCs w:val="24"/>
        </w:rPr>
        <w:t>r and Robin 2019</w:t>
      </w:r>
      <w:r w:rsidRPr="00643803">
        <w:rPr>
          <w:rFonts w:asciiTheme="majorBidi" w:hAnsiTheme="majorBidi" w:cstheme="majorBidi"/>
          <w:sz w:val="24"/>
          <w:szCs w:val="24"/>
        </w:rPr>
        <w:t>), that can enhance urban "competitiveness" (</w:t>
      </w:r>
      <w:proofErr w:type="spellStart"/>
      <w:r w:rsidRPr="00643803">
        <w:rPr>
          <w:rFonts w:asciiTheme="majorBidi" w:hAnsiTheme="majorBidi" w:cstheme="majorBidi"/>
          <w:sz w:val="24"/>
          <w:szCs w:val="24"/>
        </w:rPr>
        <w:t>Giffinger</w:t>
      </w:r>
      <w:proofErr w:type="spellEnd"/>
      <w:r w:rsidRPr="00643803">
        <w:rPr>
          <w:rFonts w:asciiTheme="majorBidi" w:hAnsiTheme="majorBidi" w:cstheme="majorBidi"/>
          <w:sz w:val="24"/>
          <w:szCs w:val="24"/>
        </w:rPr>
        <w:t xml:space="preserve"> et al. 2010). So, ranking is one of the methods that, along with scientific and up-to-date plans and programs and a good urban management structure, contribute to the progress of metropolises (</w:t>
      </w:r>
      <w:proofErr w:type="spellStart"/>
      <w:r w:rsidRPr="00643803">
        <w:rPr>
          <w:rFonts w:asciiTheme="majorBidi" w:hAnsiTheme="majorBidi" w:cstheme="majorBidi"/>
          <w:sz w:val="24"/>
          <w:szCs w:val="24"/>
        </w:rPr>
        <w:t>Greenbaum</w:t>
      </w:r>
      <w:proofErr w:type="spellEnd"/>
      <w:r w:rsidRPr="00643803">
        <w:rPr>
          <w:rFonts w:asciiTheme="majorBidi" w:hAnsiTheme="majorBidi" w:cstheme="majorBidi"/>
          <w:sz w:val="24"/>
          <w:szCs w:val="24"/>
        </w:rPr>
        <w:t>, 2020). Therefore, ranking and relevant measures are informational policy bodies that can prescribe and form urban perspectives and be used for policy making (</w:t>
      </w:r>
      <w:proofErr w:type="spellStart"/>
      <w:r w:rsidRPr="00643803">
        <w:rPr>
          <w:rFonts w:asciiTheme="majorBidi" w:hAnsiTheme="majorBidi" w:cstheme="majorBidi"/>
          <w:sz w:val="24"/>
          <w:szCs w:val="24"/>
        </w:rPr>
        <w:t>Kornberger</w:t>
      </w:r>
      <w:proofErr w:type="spellEnd"/>
      <w:r w:rsidRPr="00643803">
        <w:rPr>
          <w:rFonts w:asciiTheme="majorBidi" w:hAnsiTheme="majorBidi" w:cstheme="majorBidi"/>
          <w:sz w:val="24"/>
          <w:szCs w:val="24"/>
        </w:rPr>
        <w:t xml:space="preserve"> &amp; Carter, 2010, </w:t>
      </w:r>
      <w:proofErr w:type="spellStart"/>
      <w:r w:rsidRPr="00643803">
        <w:rPr>
          <w:rFonts w:asciiTheme="majorBidi" w:hAnsiTheme="majorBidi" w:cstheme="majorBidi"/>
          <w:sz w:val="24"/>
          <w:szCs w:val="24"/>
        </w:rPr>
        <w:t>Elgert</w:t>
      </w:r>
      <w:proofErr w:type="spellEnd"/>
      <w:r w:rsidRPr="00643803">
        <w:rPr>
          <w:rFonts w:asciiTheme="majorBidi" w:hAnsiTheme="majorBidi" w:cstheme="majorBidi"/>
          <w:sz w:val="24"/>
          <w:szCs w:val="24"/>
        </w:rPr>
        <w:t>, 2018). However, it should be noted that the progress of cities through their rankings is realized only if the indices used in the ranking systems conform to the value and cultural systems in the society assessed (</w:t>
      </w:r>
      <w:proofErr w:type="spellStart"/>
      <w:r w:rsidRPr="00643803">
        <w:rPr>
          <w:rFonts w:asciiTheme="majorBidi" w:hAnsiTheme="majorBidi" w:cstheme="majorBidi"/>
          <w:sz w:val="24"/>
          <w:szCs w:val="24"/>
        </w:rPr>
        <w:t>Pinheiro</w:t>
      </w:r>
      <w:proofErr w:type="spellEnd"/>
      <w:r w:rsidRPr="00643803">
        <w:rPr>
          <w:rFonts w:asciiTheme="majorBidi" w:hAnsiTheme="majorBidi" w:cstheme="majorBidi"/>
          <w:sz w:val="24"/>
          <w:szCs w:val="24"/>
        </w:rPr>
        <w:t xml:space="preserve"> et al., 2018, </w:t>
      </w:r>
      <w:proofErr w:type="spellStart"/>
      <w:r w:rsidRPr="00643803">
        <w:rPr>
          <w:rFonts w:asciiTheme="majorBidi" w:hAnsiTheme="majorBidi" w:cstheme="majorBidi"/>
          <w:sz w:val="24"/>
          <w:szCs w:val="24"/>
        </w:rPr>
        <w:t>Rashtbar</w:t>
      </w:r>
      <w:proofErr w:type="spellEnd"/>
      <w:r w:rsidRPr="00643803">
        <w:rPr>
          <w:rFonts w:asciiTheme="majorBidi" w:hAnsiTheme="majorBidi" w:cstheme="majorBidi"/>
          <w:sz w:val="24"/>
          <w:szCs w:val="24"/>
        </w:rPr>
        <w:t xml:space="preserve"> et al., 2019, Al-</w:t>
      </w:r>
      <w:proofErr w:type="spellStart"/>
      <w:r w:rsidRPr="00643803">
        <w:rPr>
          <w:rFonts w:asciiTheme="majorBidi" w:hAnsiTheme="majorBidi" w:cstheme="majorBidi"/>
          <w:sz w:val="24"/>
          <w:szCs w:val="24"/>
        </w:rPr>
        <w:t>Khraif</w:t>
      </w:r>
      <w:proofErr w:type="spellEnd"/>
      <w:r w:rsidRPr="00643803">
        <w:rPr>
          <w:rFonts w:asciiTheme="majorBidi" w:hAnsiTheme="majorBidi" w:cstheme="majorBidi"/>
          <w:sz w:val="24"/>
          <w:szCs w:val="24"/>
        </w:rPr>
        <w:t xml:space="preserve"> et al., 2022). So, helping to modify such rankings based on the different value and cultural systems included in them (</w:t>
      </w:r>
      <w:proofErr w:type="spellStart"/>
      <w:r w:rsidRPr="00643803">
        <w:rPr>
          <w:rFonts w:asciiTheme="majorBidi" w:hAnsiTheme="majorBidi" w:cstheme="majorBidi"/>
          <w:sz w:val="24"/>
          <w:szCs w:val="24"/>
        </w:rPr>
        <w:t>Capitanio</w:t>
      </w:r>
      <w:proofErr w:type="spellEnd"/>
      <w:r w:rsidRPr="00643803">
        <w:rPr>
          <w:rFonts w:asciiTheme="majorBidi" w:hAnsiTheme="majorBidi" w:cstheme="majorBidi"/>
          <w:sz w:val="24"/>
          <w:szCs w:val="24"/>
        </w:rPr>
        <w:t xml:space="preserve"> 2017) can improve city ranking results and help policymakers decide what issues to focus on (Taylor 2011)</w:t>
      </w:r>
      <w:r w:rsidRPr="00643803">
        <w:rPr>
          <w:rFonts w:asciiTheme="majorBidi" w:hAnsiTheme="majorBidi" w:cstheme="majorBidi"/>
          <w:sz w:val="24"/>
          <w:szCs w:val="24"/>
          <w:rtl/>
        </w:rPr>
        <w:t xml:space="preserve">. </w:t>
      </w:r>
    </w:p>
    <w:p w14:paraId="74AC97B6" w14:textId="77777777" w:rsidR="00643803" w:rsidRPr="00643803" w:rsidRDefault="00643803" w:rsidP="00BE4755">
      <w:pPr>
        <w:bidi w:val="0"/>
        <w:jc w:val="both"/>
        <w:rPr>
          <w:rFonts w:asciiTheme="majorBidi" w:hAnsiTheme="majorBidi" w:cstheme="majorBidi"/>
          <w:sz w:val="24"/>
          <w:szCs w:val="24"/>
        </w:rPr>
      </w:pPr>
      <w:r w:rsidRPr="00643803">
        <w:rPr>
          <w:rFonts w:asciiTheme="majorBidi" w:hAnsiTheme="majorBidi" w:cstheme="majorBidi"/>
          <w:sz w:val="24"/>
          <w:szCs w:val="24"/>
        </w:rPr>
        <w:t>Numerous ranking systems have been internationally used to rank cities in the world so far. Rankings are mainly influenced by specific thought systems, macro thought frameworks, and paradigms. Nowadays, ranking is carried out based on various theories and approaches (</w:t>
      </w:r>
      <w:proofErr w:type="spellStart"/>
      <w:r w:rsidRPr="00643803">
        <w:rPr>
          <w:rFonts w:asciiTheme="majorBidi" w:hAnsiTheme="majorBidi" w:cstheme="majorBidi"/>
          <w:sz w:val="24"/>
          <w:szCs w:val="24"/>
        </w:rPr>
        <w:t>Kaklauskas</w:t>
      </w:r>
      <w:proofErr w:type="spellEnd"/>
      <w:r w:rsidRPr="00643803">
        <w:rPr>
          <w:rFonts w:asciiTheme="majorBidi" w:hAnsiTheme="majorBidi" w:cstheme="majorBidi"/>
          <w:sz w:val="24"/>
          <w:szCs w:val="24"/>
        </w:rPr>
        <w:t xml:space="preserve"> et al. 2018, </w:t>
      </w:r>
      <w:proofErr w:type="spellStart"/>
      <w:r w:rsidRPr="00643803">
        <w:rPr>
          <w:rFonts w:asciiTheme="majorBidi" w:hAnsiTheme="majorBidi" w:cstheme="majorBidi"/>
          <w:sz w:val="24"/>
          <w:szCs w:val="24"/>
        </w:rPr>
        <w:t>Ringel</w:t>
      </w:r>
      <w:proofErr w:type="spellEnd"/>
      <w:r w:rsidRPr="00643803">
        <w:rPr>
          <w:rFonts w:asciiTheme="majorBidi" w:hAnsiTheme="majorBidi" w:cstheme="majorBidi"/>
          <w:sz w:val="24"/>
          <w:szCs w:val="24"/>
        </w:rPr>
        <w:t xml:space="preserve"> et al., 2020). Here, the problem is that there is no ranking developed based on Islamic thought. Iranian cities need to determine their position among other cities to grow to become a model for the cities of the Islamic world (</w:t>
      </w:r>
      <w:proofErr w:type="spellStart"/>
      <w:r w:rsidRPr="00643803">
        <w:rPr>
          <w:rFonts w:asciiTheme="majorBidi" w:hAnsiTheme="majorBidi" w:cstheme="majorBidi"/>
          <w:sz w:val="24"/>
          <w:szCs w:val="24"/>
        </w:rPr>
        <w:t>Ghasemi</w:t>
      </w:r>
      <w:proofErr w:type="spellEnd"/>
      <w:r w:rsidRPr="00643803">
        <w:rPr>
          <w:rFonts w:asciiTheme="majorBidi" w:hAnsiTheme="majorBidi" w:cstheme="majorBidi"/>
          <w:sz w:val="24"/>
          <w:szCs w:val="24"/>
        </w:rPr>
        <w:t xml:space="preserve"> et al., 2019, </w:t>
      </w:r>
      <w:proofErr w:type="spellStart"/>
      <w:r w:rsidRPr="00643803">
        <w:rPr>
          <w:rFonts w:asciiTheme="majorBidi" w:hAnsiTheme="majorBidi" w:cstheme="majorBidi"/>
          <w:sz w:val="24"/>
          <w:szCs w:val="24"/>
        </w:rPr>
        <w:t>Assari</w:t>
      </w:r>
      <w:proofErr w:type="spellEnd"/>
      <w:r w:rsidRPr="00643803">
        <w:rPr>
          <w:rFonts w:asciiTheme="majorBidi" w:hAnsiTheme="majorBidi" w:cstheme="majorBidi"/>
          <w:sz w:val="24"/>
          <w:szCs w:val="24"/>
        </w:rPr>
        <w:t xml:space="preserve"> et al., 2017), and this can only be reached by assessing them according to the indices developed with an Islamic approach. Extracting indices based on a conceptual model derived from Islamic thoughts is the basis for examining the current and future developments of cities and assessing and comparing the performance of Iranian cities with that of other cities (</w:t>
      </w:r>
      <w:proofErr w:type="spellStart"/>
      <w:r w:rsidRPr="00643803">
        <w:rPr>
          <w:rFonts w:asciiTheme="majorBidi" w:hAnsiTheme="majorBidi" w:cstheme="majorBidi"/>
          <w:sz w:val="24"/>
          <w:szCs w:val="24"/>
        </w:rPr>
        <w:t>Dalir</w:t>
      </w:r>
      <w:proofErr w:type="spellEnd"/>
      <w:r w:rsidRPr="00643803">
        <w:rPr>
          <w:rFonts w:asciiTheme="majorBidi" w:hAnsiTheme="majorBidi" w:cstheme="majorBidi"/>
          <w:sz w:val="24"/>
          <w:szCs w:val="24"/>
        </w:rPr>
        <w:t xml:space="preserve"> et al., 2022, </w:t>
      </w:r>
      <w:proofErr w:type="spellStart"/>
      <w:r w:rsidRPr="00643803">
        <w:rPr>
          <w:rFonts w:asciiTheme="majorBidi" w:hAnsiTheme="majorBidi" w:cstheme="majorBidi"/>
          <w:sz w:val="24"/>
          <w:szCs w:val="24"/>
        </w:rPr>
        <w:t>Noori</w:t>
      </w:r>
      <w:proofErr w:type="spellEnd"/>
      <w:r w:rsidRPr="00643803">
        <w:rPr>
          <w:rFonts w:asciiTheme="majorBidi" w:hAnsiTheme="majorBidi" w:cstheme="majorBidi"/>
          <w:sz w:val="24"/>
          <w:szCs w:val="24"/>
        </w:rPr>
        <w:t xml:space="preserve"> et al., 2020, </w:t>
      </w:r>
      <w:proofErr w:type="spellStart"/>
      <w:r w:rsidRPr="00643803">
        <w:rPr>
          <w:rFonts w:asciiTheme="majorBidi" w:hAnsiTheme="majorBidi" w:cstheme="majorBidi"/>
          <w:sz w:val="24"/>
          <w:szCs w:val="24"/>
        </w:rPr>
        <w:t>Assari</w:t>
      </w:r>
      <w:proofErr w:type="spellEnd"/>
      <w:r w:rsidRPr="00643803">
        <w:rPr>
          <w:rFonts w:asciiTheme="majorBidi" w:hAnsiTheme="majorBidi" w:cstheme="majorBidi"/>
          <w:sz w:val="24"/>
          <w:szCs w:val="24"/>
        </w:rPr>
        <w:t xml:space="preserve"> et al., 2017). Considering all the previous measures, the present study aims to develop a theoretical model and an operational framework with an Islamic approach to compare and rank Iranian metropolises using the indices of the Islamic Iranian city. What distinguishes this </w:t>
      </w:r>
      <w:r w:rsidR="00BE4755">
        <w:rPr>
          <w:rFonts w:asciiTheme="majorBidi" w:hAnsiTheme="majorBidi" w:cstheme="majorBidi"/>
          <w:sz w:val="24"/>
          <w:szCs w:val="24"/>
        </w:rPr>
        <w:t>paper</w:t>
      </w:r>
      <w:r w:rsidRPr="00643803">
        <w:rPr>
          <w:rFonts w:asciiTheme="majorBidi" w:hAnsiTheme="majorBidi" w:cstheme="majorBidi"/>
          <w:sz w:val="24"/>
          <w:szCs w:val="24"/>
        </w:rPr>
        <w:t xml:space="preserve"> from previous ones is that it considers the context of the case study (i.e. Iran) itself and suggests an assessment framework based on the real capabilities of Islamic cities and the sublime ideas derived from Islamic thoughts</w:t>
      </w:r>
      <w:r w:rsidRPr="00643803">
        <w:rPr>
          <w:rFonts w:asciiTheme="majorBidi" w:hAnsiTheme="majorBidi" w:cstheme="majorBidi"/>
          <w:sz w:val="24"/>
          <w:szCs w:val="24"/>
          <w:rtl/>
        </w:rPr>
        <w:t>.</w:t>
      </w:r>
    </w:p>
    <w:p w14:paraId="1C452658" w14:textId="77777777" w:rsidR="00643803" w:rsidRDefault="00643803" w:rsidP="00643803">
      <w:pPr>
        <w:bidi w:val="0"/>
        <w:jc w:val="both"/>
        <w:rPr>
          <w:rFonts w:asciiTheme="majorBidi" w:hAnsiTheme="majorBidi" w:cstheme="majorBidi"/>
          <w:sz w:val="24"/>
          <w:szCs w:val="24"/>
        </w:rPr>
      </w:pPr>
      <w:r w:rsidRPr="00643803">
        <w:rPr>
          <w:rFonts w:asciiTheme="majorBidi" w:hAnsiTheme="majorBidi" w:cstheme="majorBidi"/>
          <w:sz w:val="24"/>
          <w:szCs w:val="24"/>
        </w:rPr>
        <w:t>Therefore, the research goal is to rank Iranian metropolises with an Iranian-Islamic perspective, for which it is required to develop a theoretical model and an operational assessment framework for city ranking on a national scale with an Islamic approach. Thus, the research process includes two steps. In Step 1 (indexing process), a conceptual model is developed with an Iranian-Islamic perspective to extract dimensions, components, and criteria of city ranking. In Step 2, selected Iranian metropolises are compared and ranked according to the extracted indices and their operational definitions</w:t>
      </w:r>
      <w:r w:rsidRPr="00643803">
        <w:rPr>
          <w:rFonts w:asciiTheme="majorBidi" w:hAnsiTheme="majorBidi" w:cstheme="majorBidi"/>
          <w:sz w:val="24"/>
          <w:szCs w:val="24"/>
          <w:rtl/>
        </w:rPr>
        <w:t>.</w:t>
      </w:r>
    </w:p>
    <w:p w14:paraId="23DCAFF3" w14:textId="77777777" w:rsidR="00E33A90" w:rsidRPr="00643803" w:rsidRDefault="00E33A90" w:rsidP="00E33A90">
      <w:pPr>
        <w:bidi w:val="0"/>
        <w:jc w:val="both"/>
        <w:rPr>
          <w:rFonts w:asciiTheme="majorBidi" w:hAnsiTheme="majorBidi" w:cstheme="majorBidi"/>
          <w:sz w:val="24"/>
          <w:szCs w:val="24"/>
        </w:rPr>
      </w:pPr>
    </w:p>
    <w:p w14:paraId="6456B6AC" w14:textId="77777777" w:rsidR="00643803" w:rsidRPr="00E33A90" w:rsidRDefault="00DC5761" w:rsidP="00643803">
      <w:pPr>
        <w:bidi w:val="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 </w:t>
      </w:r>
      <w:r w:rsidR="00643803" w:rsidRPr="00E33A90">
        <w:rPr>
          <w:rFonts w:asciiTheme="majorBidi" w:hAnsiTheme="majorBidi" w:cstheme="majorBidi"/>
          <w:b/>
          <w:bCs/>
          <w:sz w:val="24"/>
          <w:szCs w:val="24"/>
        </w:rPr>
        <w:t xml:space="preserve">Theoretical </w:t>
      </w:r>
      <w:r w:rsidR="00C94042" w:rsidRPr="00E33A90">
        <w:rPr>
          <w:rFonts w:asciiTheme="majorBidi" w:hAnsiTheme="majorBidi" w:cstheme="majorBidi"/>
          <w:b/>
          <w:bCs/>
          <w:sz w:val="24"/>
          <w:szCs w:val="24"/>
        </w:rPr>
        <w:t>Foundations</w:t>
      </w:r>
      <w:r w:rsidR="00643803" w:rsidRPr="00E33A90">
        <w:rPr>
          <w:rFonts w:asciiTheme="majorBidi" w:hAnsiTheme="majorBidi" w:cstheme="majorBidi"/>
          <w:b/>
          <w:bCs/>
          <w:sz w:val="24"/>
          <w:szCs w:val="24"/>
          <w:rtl/>
        </w:rPr>
        <w:t xml:space="preserve"> </w:t>
      </w:r>
    </w:p>
    <w:p w14:paraId="6DAAC391" w14:textId="77777777" w:rsidR="00E33A90" w:rsidRPr="006B752A" w:rsidRDefault="00DC5761" w:rsidP="00E33A90">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2.1- </w:t>
      </w:r>
      <w:r w:rsidR="00E33A90" w:rsidRPr="006B752A">
        <w:rPr>
          <w:rFonts w:asciiTheme="majorBidi" w:hAnsiTheme="majorBidi" w:cstheme="majorBidi"/>
          <w:b/>
          <w:bCs/>
          <w:sz w:val="24"/>
          <w:szCs w:val="24"/>
        </w:rPr>
        <w:t xml:space="preserve">City </w:t>
      </w:r>
      <w:r w:rsidR="00C94042" w:rsidRPr="006B752A">
        <w:rPr>
          <w:rFonts w:asciiTheme="majorBidi" w:hAnsiTheme="majorBidi" w:cstheme="majorBidi"/>
          <w:b/>
          <w:bCs/>
          <w:sz w:val="24"/>
          <w:szCs w:val="24"/>
        </w:rPr>
        <w:t xml:space="preserve">Ranking </w:t>
      </w:r>
      <w:r w:rsidR="00E33A90" w:rsidRPr="006B752A">
        <w:rPr>
          <w:rFonts w:asciiTheme="majorBidi" w:hAnsiTheme="majorBidi" w:cstheme="majorBidi"/>
          <w:b/>
          <w:bCs/>
          <w:sz w:val="24"/>
          <w:szCs w:val="24"/>
        </w:rPr>
        <w:t xml:space="preserve">and </w:t>
      </w:r>
      <w:r w:rsidR="00C94042" w:rsidRPr="006B752A">
        <w:rPr>
          <w:rFonts w:asciiTheme="majorBidi" w:hAnsiTheme="majorBidi" w:cstheme="majorBidi"/>
          <w:b/>
          <w:bCs/>
          <w:sz w:val="24"/>
          <w:szCs w:val="24"/>
        </w:rPr>
        <w:t>Its Importance</w:t>
      </w:r>
    </w:p>
    <w:p w14:paraId="45953763" w14:textId="61C5A0FB" w:rsidR="00CF6C7D" w:rsidRPr="00CF6C7D" w:rsidRDefault="00E33A90" w:rsidP="00F1094B">
      <w:pPr>
        <w:bidi w:val="0"/>
        <w:jc w:val="lowKashida"/>
        <w:rPr>
          <w:rFonts w:asciiTheme="majorBidi" w:hAnsiTheme="majorBidi" w:cs="B Mitra"/>
          <w:sz w:val="24"/>
          <w:szCs w:val="24"/>
        </w:rPr>
      </w:pPr>
      <w:r w:rsidRPr="006B752A">
        <w:rPr>
          <w:rFonts w:asciiTheme="majorBidi" w:hAnsiTheme="majorBidi" w:cstheme="majorBidi"/>
          <w:sz w:val="24"/>
          <w:szCs w:val="24"/>
        </w:rPr>
        <w:t>Cities have always been competing with each other throughout the history of urbanization. In the era of globalization, the placement of a city in this competitive environment becomes increasingly important. One of the popular tools representing this competition is city ranking. Such city rankings aim to assess and evaluate prominent economic characteristics, the degree of urban and regional development, cultural drivers and forces, the quality of well-being, the quality of happiness, the degree of participation, transparency, governance, and sustainability (</w:t>
      </w:r>
      <w:proofErr w:type="spellStart"/>
      <w:r w:rsidRPr="006B752A">
        <w:rPr>
          <w:rFonts w:asciiTheme="majorBidi" w:hAnsiTheme="majorBidi" w:cstheme="majorBidi"/>
          <w:sz w:val="24"/>
          <w:szCs w:val="24"/>
        </w:rPr>
        <w:t>Kitchin</w:t>
      </w:r>
      <w:proofErr w:type="spellEnd"/>
      <w:r w:rsidR="00396BAF">
        <w:rPr>
          <w:rFonts w:asciiTheme="majorBidi" w:hAnsiTheme="majorBidi" w:cstheme="majorBidi"/>
          <w:sz w:val="24"/>
          <w:szCs w:val="24"/>
        </w:rPr>
        <w:t xml:space="preserve"> et al</w:t>
      </w:r>
      <w:r w:rsidRPr="006B752A">
        <w:rPr>
          <w:rFonts w:asciiTheme="majorBidi" w:hAnsiTheme="majorBidi" w:cstheme="majorBidi"/>
          <w:sz w:val="24"/>
          <w:szCs w:val="24"/>
        </w:rPr>
        <w:t>, 201</w:t>
      </w:r>
      <w:r w:rsidR="00396BAF">
        <w:rPr>
          <w:rFonts w:asciiTheme="majorBidi" w:hAnsiTheme="majorBidi" w:cstheme="majorBidi"/>
          <w:sz w:val="24"/>
          <w:szCs w:val="24"/>
        </w:rPr>
        <w:t>5</w:t>
      </w:r>
      <w:r w:rsidRPr="006B752A">
        <w:rPr>
          <w:rFonts w:asciiTheme="majorBidi" w:hAnsiTheme="majorBidi" w:cstheme="majorBidi"/>
          <w:sz w:val="24"/>
          <w:szCs w:val="24"/>
        </w:rPr>
        <w:t>, McArthur and Robin 2019). Previous studies didn't provide a definition of ranking (</w:t>
      </w:r>
      <w:proofErr w:type="spellStart"/>
      <w:r w:rsidRPr="006B752A">
        <w:rPr>
          <w:rFonts w:asciiTheme="majorBidi" w:hAnsiTheme="majorBidi" w:cstheme="majorBidi"/>
          <w:sz w:val="24"/>
          <w:szCs w:val="24"/>
        </w:rPr>
        <w:t>Meijering</w:t>
      </w:r>
      <w:proofErr w:type="spellEnd"/>
      <w:r w:rsidRPr="006B752A">
        <w:rPr>
          <w:rFonts w:asciiTheme="majorBidi" w:hAnsiTheme="majorBidi" w:cstheme="majorBidi"/>
          <w:sz w:val="24"/>
          <w:szCs w:val="24"/>
        </w:rPr>
        <w:t xml:space="preserve"> et al., 2014). However, in general, it can be said that city ranking refers to within-group and between-group comparison of cities in terms of urban indices to determine the performance of a region or a city compared to other cities (</w:t>
      </w:r>
      <w:proofErr w:type="spellStart"/>
      <w:r w:rsidRPr="006B752A">
        <w:rPr>
          <w:rFonts w:asciiTheme="majorBidi" w:hAnsiTheme="majorBidi" w:cstheme="majorBidi"/>
          <w:sz w:val="24"/>
          <w:szCs w:val="24"/>
        </w:rPr>
        <w:t>Acuto</w:t>
      </w:r>
      <w:proofErr w:type="spellEnd"/>
      <w:r w:rsidRPr="006B752A">
        <w:rPr>
          <w:rFonts w:asciiTheme="majorBidi" w:hAnsiTheme="majorBidi" w:cstheme="majorBidi"/>
          <w:sz w:val="24"/>
          <w:szCs w:val="24"/>
        </w:rPr>
        <w:t xml:space="preserve"> and </w:t>
      </w:r>
      <w:proofErr w:type="spellStart"/>
      <w:r w:rsidRPr="006B752A">
        <w:rPr>
          <w:rFonts w:asciiTheme="majorBidi" w:hAnsiTheme="majorBidi" w:cstheme="majorBidi"/>
          <w:sz w:val="24"/>
          <w:szCs w:val="24"/>
        </w:rPr>
        <w:t>Pejic</w:t>
      </w:r>
      <w:proofErr w:type="spellEnd"/>
      <w:r w:rsidRPr="006B752A">
        <w:rPr>
          <w:rFonts w:asciiTheme="majorBidi" w:hAnsiTheme="majorBidi" w:cstheme="majorBidi"/>
          <w:sz w:val="24"/>
          <w:szCs w:val="24"/>
        </w:rPr>
        <w:t xml:space="preserve">, 2021: 2). However, the results of rankings can provide suggestions or valuable tips for the promotion and development of the city (Dang et al., 2020; </w:t>
      </w:r>
      <w:proofErr w:type="spellStart"/>
      <w:r w:rsidRPr="006B752A">
        <w:rPr>
          <w:rFonts w:asciiTheme="majorBidi" w:hAnsiTheme="majorBidi" w:cstheme="majorBidi"/>
          <w:sz w:val="24"/>
          <w:szCs w:val="24"/>
        </w:rPr>
        <w:t>Meijering</w:t>
      </w:r>
      <w:proofErr w:type="spellEnd"/>
      <w:r w:rsidRPr="006B752A">
        <w:rPr>
          <w:rFonts w:asciiTheme="majorBidi" w:hAnsiTheme="majorBidi" w:cstheme="majorBidi"/>
          <w:sz w:val="24"/>
          <w:szCs w:val="24"/>
        </w:rPr>
        <w:t xml:space="preserve"> et al., 2018, </w:t>
      </w:r>
      <w:proofErr w:type="spellStart"/>
      <w:r w:rsidRPr="006B752A">
        <w:rPr>
          <w:rFonts w:asciiTheme="majorBidi" w:hAnsiTheme="majorBidi" w:cstheme="majorBidi"/>
          <w:sz w:val="24"/>
          <w:szCs w:val="24"/>
        </w:rPr>
        <w:t>Akande</w:t>
      </w:r>
      <w:proofErr w:type="spellEnd"/>
      <w:r w:rsidRPr="006B752A">
        <w:rPr>
          <w:rFonts w:asciiTheme="majorBidi" w:hAnsiTheme="majorBidi" w:cstheme="majorBidi"/>
          <w:sz w:val="24"/>
          <w:szCs w:val="24"/>
        </w:rPr>
        <w:t xml:space="preserve"> et al, 201</w:t>
      </w:r>
      <w:r w:rsidR="00396BAF">
        <w:rPr>
          <w:rFonts w:asciiTheme="majorBidi" w:hAnsiTheme="majorBidi" w:cstheme="majorBidi"/>
          <w:sz w:val="24"/>
          <w:szCs w:val="24"/>
        </w:rPr>
        <w:t>9</w:t>
      </w:r>
      <w:r w:rsidRPr="006B752A">
        <w:rPr>
          <w:rFonts w:asciiTheme="majorBidi" w:hAnsiTheme="majorBidi" w:cstheme="majorBidi"/>
          <w:sz w:val="24"/>
          <w:szCs w:val="24"/>
        </w:rPr>
        <w:t xml:space="preserve">). The history of city ranking dates back to 1985. The first city ranking was published by The Economist in 1985 (The Economist, 2016) and the first indices of Latin American cities were published in 2000 by the magazine </w:t>
      </w:r>
      <w:proofErr w:type="spellStart"/>
      <w:r w:rsidRPr="006B752A">
        <w:rPr>
          <w:rFonts w:asciiTheme="majorBidi" w:hAnsiTheme="majorBidi" w:cstheme="majorBidi"/>
          <w:sz w:val="24"/>
          <w:szCs w:val="24"/>
        </w:rPr>
        <w:t>AméricaEconomía</w:t>
      </w:r>
      <w:proofErr w:type="spellEnd"/>
      <w:r w:rsidRPr="006B752A">
        <w:rPr>
          <w:rFonts w:asciiTheme="majorBidi" w:hAnsiTheme="majorBidi" w:cstheme="majorBidi"/>
          <w:sz w:val="24"/>
          <w:szCs w:val="24"/>
        </w:rPr>
        <w:t xml:space="preserve"> (Portugal et al., 2019). However, the completely different objectives of the different published rankings and different data analysis methods applied by them can produce completely different rankings of the same cities. In general, it can be said that the increasing significance of </w:t>
      </w:r>
      <w:r w:rsidRPr="00237D82">
        <w:rPr>
          <w:rFonts w:asciiTheme="majorBidi" w:hAnsiTheme="majorBidi" w:cstheme="majorBidi"/>
          <w:sz w:val="24"/>
          <w:szCs w:val="24"/>
        </w:rPr>
        <w:t>monitoring and evaluating cities enhances the role of city ranking in determining the future development course of cities (</w:t>
      </w:r>
      <w:proofErr w:type="spellStart"/>
      <w:r w:rsidRPr="00237D82">
        <w:rPr>
          <w:rFonts w:asciiTheme="majorBidi" w:hAnsiTheme="majorBidi" w:cstheme="majorBidi"/>
          <w:sz w:val="24"/>
          <w:szCs w:val="24"/>
        </w:rPr>
        <w:t>Sáez</w:t>
      </w:r>
      <w:proofErr w:type="spellEnd"/>
      <w:r w:rsidRPr="00237D82">
        <w:rPr>
          <w:rFonts w:asciiTheme="majorBidi" w:hAnsiTheme="majorBidi" w:cstheme="majorBidi"/>
          <w:sz w:val="24"/>
          <w:szCs w:val="24"/>
        </w:rPr>
        <w:t xml:space="preserve"> et al., 2020, Escolar et al., 2019, </w:t>
      </w:r>
      <w:proofErr w:type="spellStart"/>
      <w:r w:rsidRPr="00237D82">
        <w:rPr>
          <w:rFonts w:asciiTheme="majorBidi" w:hAnsiTheme="majorBidi" w:cstheme="majorBidi"/>
          <w:sz w:val="24"/>
          <w:szCs w:val="24"/>
        </w:rPr>
        <w:t>Meijering</w:t>
      </w:r>
      <w:proofErr w:type="spellEnd"/>
      <w:r w:rsidRPr="00237D82">
        <w:rPr>
          <w:rFonts w:asciiTheme="majorBidi" w:hAnsiTheme="majorBidi" w:cstheme="majorBidi"/>
          <w:sz w:val="24"/>
          <w:szCs w:val="24"/>
        </w:rPr>
        <w:t xml:space="preserve"> et al., 2014).</w:t>
      </w:r>
      <w:r w:rsidR="00F1094B" w:rsidRPr="00237D82">
        <w:rPr>
          <w:rFonts w:asciiTheme="majorBidi" w:hAnsiTheme="majorBidi" w:cstheme="majorBidi"/>
          <w:sz w:val="24"/>
          <w:szCs w:val="24"/>
        </w:rPr>
        <w:t xml:space="preserve"> The necessities of ranking are clear, by the way this paper aims to direct Islamic countries to their context values.</w:t>
      </w:r>
      <w:r w:rsidR="00F1094B" w:rsidRPr="00CF6C7D">
        <w:rPr>
          <w:rFonts w:asciiTheme="majorBidi" w:hAnsiTheme="majorBidi" w:cs="B Mitra"/>
          <w:sz w:val="24"/>
          <w:szCs w:val="24"/>
        </w:rPr>
        <w:t xml:space="preserve"> </w:t>
      </w:r>
    </w:p>
    <w:p w14:paraId="087AB96B" w14:textId="77777777" w:rsidR="00C94042" w:rsidRPr="006B752A" w:rsidRDefault="00C94042" w:rsidP="00C94042">
      <w:pPr>
        <w:bidi w:val="0"/>
        <w:jc w:val="lowKashida"/>
        <w:rPr>
          <w:rFonts w:asciiTheme="majorBidi" w:hAnsiTheme="majorBidi" w:cstheme="majorBidi"/>
          <w:sz w:val="24"/>
          <w:szCs w:val="24"/>
        </w:rPr>
      </w:pPr>
    </w:p>
    <w:p w14:paraId="6727F94A" w14:textId="77777777" w:rsidR="00E33A90" w:rsidRPr="006B752A" w:rsidRDefault="00DC5761" w:rsidP="00E33A90">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2.2- </w:t>
      </w:r>
      <w:r w:rsidR="00E33A90" w:rsidRPr="006B752A">
        <w:rPr>
          <w:rFonts w:asciiTheme="majorBidi" w:hAnsiTheme="majorBidi" w:cstheme="majorBidi"/>
          <w:b/>
          <w:bCs/>
          <w:sz w:val="24"/>
          <w:szCs w:val="24"/>
        </w:rPr>
        <w:t xml:space="preserve">The </w:t>
      </w:r>
      <w:r w:rsidR="00C94042" w:rsidRPr="006B752A">
        <w:rPr>
          <w:rFonts w:asciiTheme="majorBidi" w:hAnsiTheme="majorBidi" w:cstheme="majorBidi"/>
          <w:b/>
          <w:bCs/>
          <w:sz w:val="24"/>
          <w:szCs w:val="24"/>
        </w:rPr>
        <w:t xml:space="preserve">Pillars </w:t>
      </w:r>
      <w:r w:rsidR="00E33A90" w:rsidRPr="006B752A">
        <w:rPr>
          <w:rFonts w:asciiTheme="majorBidi" w:hAnsiTheme="majorBidi" w:cstheme="majorBidi"/>
          <w:b/>
          <w:bCs/>
          <w:sz w:val="24"/>
          <w:szCs w:val="24"/>
        </w:rPr>
        <w:t xml:space="preserve">of the Islamic </w:t>
      </w:r>
      <w:r w:rsidR="00C94042" w:rsidRPr="006B752A">
        <w:rPr>
          <w:rFonts w:asciiTheme="majorBidi" w:hAnsiTheme="majorBidi" w:cstheme="majorBidi"/>
          <w:b/>
          <w:bCs/>
          <w:sz w:val="24"/>
          <w:szCs w:val="24"/>
        </w:rPr>
        <w:t xml:space="preserve">City </w:t>
      </w:r>
      <w:r w:rsidR="00E33A90" w:rsidRPr="006B752A">
        <w:rPr>
          <w:rFonts w:asciiTheme="majorBidi" w:hAnsiTheme="majorBidi" w:cstheme="majorBidi"/>
          <w:b/>
          <w:bCs/>
          <w:sz w:val="24"/>
          <w:szCs w:val="24"/>
        </w:rPr>
        <w:t xml:space="preserve">and the </w:t>
      </w:r>
      <w:r w:rsidR="00C94042" w:rsidRPr="006B752A">
        <w:rPr>
          <w:rFonts w:asciiTheme="majorBidi" w:hAnsiTheme="majorBidi" w:cstheme="majorBidi"/>
          <w:b/>
          <w:bCs/>
          <w:sz w:val="24"/>
          <w:szCs w:val="24"/>
        </w:rPr>
        <w:t xml:space="preserve">Position </w:t>
      </w:r>
      <w:r w:rsidR="00E33A90" w:rsidRPr="006B752A">
        <w:rPr>
          <w:rFonts w:asciiTheme="majorBidi" w:hAnsiTheme="majorBidi" w:cstheme="majorBidi"/>
          <w:b/>
          <w:bCs/>
          <w:sz w:val="24"/>
          <w:szCs w:val="24"/>
        </w:rPr>
        <w:t xml:space="preserve">of </w:t>
      </w:r>
      <w:r w:rsidR="00C94042" w:rsidRPr="006B752A">
        <w:rPr>
          <w:rFonts w:asciiTheme="majorBidi" w:hAnsiTheme="majorBidi" w:cstheme="majorBidi"/>
          <w:b/>
          <w:bCs/>
          <w:sz w:val="24"/>
          <w:szCs w:val="24"/>
        </w:rPr>
        <w:t xml:space="preserve">Ranking </w:t>
      </w:r>
      <w:r w:rsidR="00E33A90" w:rsidRPr="006B752A">
        <w:rPr>
          <w:rFonts w:asciiTheme="majorBidi" w:hAnsiTheme="majorBidi" w:cstheme="majorBidi"/>
          <w:b/>
          <w:bCs/>
          <w:sz w:val="24"/>
          <w:szCs w:val="24"/>
        </w:rPr>
        <w:t xml:space="preserve">in Islamic </w:t>
      </w:r>
      <w:r w:rsidR="00C94042" w:rsidRPr="006B752A">
        <w:rPr>
          <w:rFonts w:asciiTheme="majorBidi" w:hAnsiTheme="majorBidi" w:cstheme="majorBidi"/>
          <w:b/>
          <w:bCs/>
          <w:sz w:val="24"/>
          <w:szCs w:val="24"/>
        </w:rPr>
        <w:t>Thought</w:t>
      </w:r>
    </w:p>
    <w:p w14:paraId="0393674D" w14:textId="77777777" w:rsidR="00E33A90" w:rsidRPr="006B752A" w:rsidRDefault="00E33A90" w:rsidP="00396BAF">
      <w:pPr>
        <w:bidi w:val="0"/>
        <w:jc w:val="lowKashida"/>
        <w:rPr>
          <w:rFonts w:asciiTheme="majorBidi" w:hAnsiTheme="majorBidi" w:cstheme="majorBidi"/>
          <w:sz w:val="24"/>
          <w:szCs w:val="24"/>
        </w:rPr>
      </w:pPr>
      <w:r w:rsidRPr="006B752A">
        <w:rPr>
          <w:rFonts w:asciiTheme="majorBidi" w:hAnsiTheme="majorBidi" w:cstheme="majorBidi"/>
          <w:sz w:val="24"/>
          <w:szCs w:val="24"/>
        </w:rPr>
        <w:t>The prevailing contemporary Western theories and Islamic ones are different in terms of worldview, philosophy, and paradigm. For example, Western theories respond to the purely material and maximally psychological aspects of humans, include worldly propositions, and rely on the epistemological sources of sense, reason, and creativity, which are rational and of human knowledge (</w:t>
      </w:r>
      <w:proofErr w:type="spellStart"/>
      <w:r w:rsidRPr="006B752A">
        <w:rPr>
          <w:rFonts w:asciiTheme="majorBidi" w:hAnsiTheme="majorBidi" w:cstheme="majorBidi"/>
          <w:sz w:val="24"/>
          <w:szCs w:val="24"/>
        </w:rPr>
        <w:t>Amril</w:t>
      </w:r>
      <w:proofErr w:type="spellEnd"/>
      <w:r w:rsidRPr="006B752A">
        <w:rPr>
          <w:rFonts w:asciiTheme="majorBidi" w:hAnsiTheme="majorBidi" w:cstheme="majorBidi"/>
          <w:sz w:val="24"/>
          <w:szCs w:val="24"/>
        </w:rPr>
        <w:t xml:space="preserve"> et al., 2022, </w:t>
      </w:r>
      <w:proofErr w:type="spellStart"/>
      <w:r w:rsidRPr="006B752A">
        <w:rPr>
          <w:rFonts w:asciiTheme="majorBidi" w:hAnsiTheme="majorBidi" w:cstheme="majorBidi"/>
          <w:sz w:val="24"/>
          <w:szCs w:val="24"/>
        </w:rPr>
        <w:t>Atmaja</w:t>
      </w:r>
      <w:proofErr w:type="spellEnd"/>
      <w:r w:rsidRPr="006B752A">
        <w:rPr>
          <w:rFonts w:asciiTheme="majorBidi" w:hAnsiTheme="majorBidi" w:cstheme="majorBidi"/>
          <w:sz w:val="24"/>
          <w:szCs w:val="24"/>
        </w:rPr>
        <w:t xml:space="preserve"> et al., 2020) while Islamic theories have minimum errors due to following Islamic worldview, philosophy, and paradigm, and respond to the spiritual aspect, along with the material aspect, include spiritualistic propositions, rely on the epistemological sources of reason, sense, intuition, and revelation, and have creativity and rationality in line with divine will (Ashrafi and </w:t>
      </w:r>
      <w:proofErr w:type="spellStart"/>
      <w:r w:rsidRPr="006B752A">
        <w:rPr>
          <w:rFonts w:asciiTheme="majorBidi" w:hAnsiTheme="majorBidi" w:cstheme="majorBidi"/>
          <w:sz w:val="24"/>
          <w:szCs w:val="24"/>
        </w:rPr>
        <w:t>Naghizadeh</w:t>
      </w:r>
      <w:proofErr w:type="spellEnd"/>
      <w:r w:rsidRPr="006B752A">
        <w:rPr>
          <w:rFonts w:asciiTheme="majorBidi" w:hAnsiTheme="majorBidi" w:cstheme="majorBidi"/>
          <w:sz w:val="24"/>
          <w:szCs w:val="24"/>
        </w:rPr>
        <w:t>, 201</w:t>
      </w:r>
      <w:r w:rsidR="00396BAF">
        <w:rPr>
          <w:rFonts w:asciiTheme="majorBidi" w:hAnsiTheme="majorBidi" w:cstheme="majorBidi"/>
          <w:sz w:val="24"/>
          <w:szCs w:val="24"/>
        </w:rPr>
        <w:t>6</w:t>
      </w:r>
      <w:r w:rsidRPr="006B752A">
        <w:rPr>
          <w:rFonts w:asciiTheme="majorBidi" w:hAnsiTheme="majorBidi" w:cstheme="majorBidi"/>
          <w:sz w:val="24"/>
          <w:szCs w:val="24"/>
        </w:rPr>
        <w:t>).</w:t>
      </w:r>
    </w:p>
    <w:p w14:paraId="48EE992A" w14:textId="77777777" w:rsidR="00E33A90" w:rsidRPr="006B752A" w:rsidRDefault="00E33A90" w:rsidP="00396BAF">
      <w:pPr>
        <w:bidi w:val="0"/>
        <w:jc w:val="lowKashida"/>
        <w:rPr>
          <w:rFonts w:asciiTheme="majorBidi" w:hAnsiTheme="majorBidi" w:cstheme="majorBidi"/>
          <w:sz w:val="24"/>
          <w:szCs w:val="24"/>
        </w:rPr>
      </w:pPr>
      <w:r w:rsidRPr="006B752A">
        <w:rPr>
          <w:rFonts w:asciiTheme="majorBidi" w:hAnsiTheme="majorBidi" w:cstheme="majorBidi"/>
          <w:sz w:val="24"/>
          <w:szCs w:val="24"/>
        </w:rPr>
        <w:t>According to the Islamic worldview and paradigm, there are five main pillars for the city, including the intellectual-ideological dimension of man, the livelihood dimension of man, interactions between citizens, the interactions of the city, and the city context, which form the phenomenon of the city with the mutual relationships between themselves (</w:t>
      </w:r>
      <w:proofErr w:type="spellStart"/>
      <w:r w:rsidRPr="006B752A">
        <w:rPr>
          <w:rFonts w:asciiTheme="majorBidi" w:hAnsiTheme="majorBidi" w:cstheme="majorBidi"/>
          <w:sz w:val="24"/>
          <w:szCs w:val="24"/>
        </w:rPr>
        <w:t>Naghizadeh</w:t>
      </w:r>
      <w:proofErr w:type="spellEnd"/>
      <w:r w:rsidRPr="006B752A">
        <w:rPr>
          <w:rFonts w:asciiTheme="majorBidi" w:hAnsiTheme="majorBidi" w:cstheme="majorBidi"/>
          <w:sz w:val="24"/>
          <w:szCs w:val="24"/>
        </w:rPr>
        <w:t>, 201</w:t>
      </w:r>
      <w:r w:rsidR="00396BAF">
        <w:rPr>
          <w:rFonts w:asciiTheme="majorBidi" w:hAnsiTheme="majorBidi" w:cstheme="majorBidi"/>
          <w:sz w:val="24"/>
          <w:szCs w:val="24"/>
        </w:rPr>
        <w:t>4</w:t>
      </w:r>
      <w:r w:rsidRPr="006B752A">
        <w:rPr>
          <w:rFonts w:asciiTheme="majorBidi" w:hAnsiTheme="majorBidi" w:cstheme="majorBidi"/>
          <w:sz w:val="24"/>
          <w:szCs w:val="24"/>
        </w:rPr>
        <w:t xml:space="preserve">, </w:t>
      </w:r>
      <w:proofErr w:type="spellStart"/>
      <w:r w:rsidRPr="006B752A">
        <w:rPr>
          <w:rFonts w:asciiTheme="majorBidi" w:hAnsiTheme="majorBidi" w:cstheme="majorBidi"/>
          <w:sz w:val="24"/>
          <w:szCs w:val="24"/>
        </w:rPr>
        <w:t>Rafieian</w:t>
      </w:r>
      <w:proofErr w:type="spellEnd"/>
      <w:r w:rsidRPr="006B752A">
        <w:rPr>
          <w:rFonts w:asciiTheme="majorBidi" w:hAnsiTheme="majorBidi" w:cstheme="majorBidi"/>
          <w:sz w:val="24"/>
          <w:szCs w:val="24"/>
        </w:rPr>
        <w:t xml:space="preserve"> et al., 2023). The main element is a human being or a believer. Of course, the most important category related to him is his "intellectual dimension" or his "faith". In this way, the "faith" of the people of a city can be considered the most important element forming and </w:t>
      </w:r>
      <w:r w:rsidRPr="006B752A">
        <w:rPr>
          <w:rFonts w:asciiTheme="majorBidi" w:hAnsiTheme="majorBidi" w:cstheme="majorBidi"/>
          <w:sz w:val="24"/>
          <w:szCs w:val="24"/>
        </w:rPr>
        <w:lastRenderedPageBreak/>
        <w:t>defining the "Islamic city" (</w:t>
      </w:r>
      <w:proofErr w:type="spellStart"/>
      <w:r w:rsidRPr="006B752A">
        <w:rPr>
          <w:rFonts w:asciiTheme="majorBidi" w:hAnsiTheme="majorBidi" w:cstheme="majorBidi"/>
          <w:sz w:val="24"/>
          <w:szCs w:val="24"/>
        </w:rPr>
        <w:t>Correia</w:t>
      </w:r>
      <w:proofErr w:type="spellEnd"/>
      <w:r w:rsidRPr="006B752A">
        <w:rPr>
          <w:rFonts w:asciiTheme="majorBidi" w:hAnsiTheme="majorBidi" w:cstheme="majorBidi"/>
          <w:sz w:val="24"/>
          <w:szCs w:val="24"/>
        </w:rPr>
        <w:t xml:space="preserve"> et al., 2015, Farhan et al., 2021). Therefore, the main factors or pillars forming the Islamic city can be classified into five groups, and maintaining a balance between them logically will lead to the appearance of an "authentic Islamic city". With man (intellectual space) and his Islamic behavior (Islamic action and ethics), this city provides an environment that helps man to live as a Muslim (Omer et al., 2012, </w:t>
      </w:r>
      <w:proofErr w:type="spellStart"/>
      <w:r w:rsidRPr="006B752A">
        <w:rPr>
          <w:rFonts w:asciiTheme="majorBidi" w:hAnsiTheme="majorBidi" w:cstheme="majorBidi"/>
          <w:sz w:val="24"/>
          <w:szCs w:val="24"/>
        </w:rPr>
        <w:t>Subri</w:t>
      </w:r>
      <w:proofErr w:type="spellEnd"/>
      <w:r w:rsidRPr="006B752A">
        <w:rPr>
          <w:rFonts w:asciiTheme="majorBidi" w:hAnsiTheme="majorBidi" w:cstheme="majorBidi"/>
          <w:sz w:val="24"/>
          <w:szCs w:val="24"/>
        </w:rPr>
        <w:t xml:space="preserve">, 2019, </w:t>
      </w:r>
      <w:proofErr w:type="spellStart"/>
      <w:r w:rsidRPr="006B752A">
        <w:rPr>
          <w:rFonts w:asciiTheme="majorBidi" w:hAnsiTheme="majorBidi" w:cstheme="majorBidi"/>
          <w:sz w:val="24"/>
          <w:szCs w:val="24"/>
        </w:rPr>
        <w:t>Sattari</w:t>
      </w:r>
      <w:proofErr w:type="spellEnd"/>
      <w:r w:rsidRPr="006B752A">
        <w:rPr>
          <w:rFonts w:asciiTheme="majorBidi" w:hAnsiTheme="majorBidi" w:cstheme="majorBidi"/>
          <w:sz w:val="24"/>
          <w:szCs w:val="24"/>
        </w:rPr>
        <w:t xml:space="preserve"> </w:t>
      </w:r>
      <w:proofErr w:type="spellStart"/>
      <w:r w:rsidRPr="006B752A">
        <w:rPr>
          <w:rFonts w:asciiTheme="majorBidi" w:hAnsiTheme="majorBidi" w:cstheme="majorBidi"/>
          <w:sz w:val="24"/>
          <w:szCs w:val="24"/>
        </w:rPr>
        <w:t>Sarbangholi</w:t>
      </w:r>
      <w:proofErr w:type="spellEnd"/>
      <w:r w:rsidRPr="006B752A">
        <w:rPr>
          <w:rFonts w:asciiTheme="majorBidi" w:hAnsiTheme="majorBidi" w:cstheme="majorBidi"/>
          <w:sz w:val="24"/>
          <w:szCs w:val="24"/>
        </w:rPr>
        <w:t>, 2020).</w:t>
      </w:r>
    </w:p>
    <w:p w14:paraId="0476AFD6"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In the Iranian-Islamic thought body, one can identify two categories of factors in developing the conceptual model of city ranking. These two categories include horizontal and vertical factors. The former includes factors that create the biological and spatial qualities of people in any context and are used as conventional ranking indices. These types of factors have general, universal, explicit, and instant content, and are derived from indices applied in conventional ranking systems. The latter includes factors that have secondary, valuable, and implicit content and include ranking indices in accordance with Iranian-Islamic thought (</w:t>
      </w:r>
      <w:proofErr w:type="spellStart"/>
      <w:r w:rsidRPr="006B752A">
        <w:rPr>
          <w:rFonts w:asciiTheme="majorBidi" w:hAnsiTheme="majorBidi" w:cstheme="majorBidi"/>
          <w:sz w:val="24"/>
          <w:szCs w:val="24"/>
        </w:rPr>
        <w:t>Rafieian</w:t>
      </w:r>
      <w:proofErr w:type="spellEnd"/>
      <w:r w:rsidRPr="006B752A">
        <w:rPr>
          <w:rFonts w:asciiTheme="majorBidi" w:hAnsiTheme="majorBidi" w:cstheme="majorBidi"/>
          <w:sz w:val="24"/>
          <w:szCs w:val="24"/>
        </w:rPr>
        <w:t xml:space="preserve"> et al., 2023). An inference model composed of horizontal and vertical factors can be the conceptual model of city ranking. Vertical factors include the five pillars abovementioned: Iranian Muslim citizen (intellectual-ideological and livelihood dimensions), interactions between citizens, interactions of the city, and city context (</w:t>
      </w:r>
      <w:proofErr w:type="spellStart"/>
      <w:r w:rsidRPr="006B752A">
        <w:rPr>
          <w:rFonts w:asciiTheme="majorBidi" w:hAnsiTheme="majorBidi" w:cstheme="majorBidi"/>
          <w:sz w:val="24"/>
          <w:szCs w:val="24"/>
        </w:rPr>
        <w:t>Rafiian</w:t>
      </w:r>
      <w:proofErr w:type="spellEnd"/>
      <w:r w:rsidRPr="006B752A">
        <w:rPr>
          <w:rFonts w:asciiTheme="majorBidi" w:hAnsiTheme="majorBidi" w:cstheme="majorBidi"/>
          <w:sz w:val="24"/>
          <w:szCs w:val="24"/>
        </w:rPr>
        <w:t xml:space="preserve"> et al., 1402).</w:t>
      </w:r>
    </w:p>
    <w:p w14:paraId="58445478" w14:textId="77777777" w:rsidR="00E33A90"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In this way, from the theoretical foundations, one can conclude that the intellectual and theoretical framework governing city rankings is of great importance because the components are the same in all different intellectual frameworks, and what governs the indices shared by different intellectual frameworks and somehow creates a different and new prioritization and ranking is the intellectual body. According to the authors, in this research, which is within the Iranian-Islamic intellectual framework, the following five main pillars must be considered in city ranking: </w:t>
      </w:r>
      <w:proofErr w:type="gramStart"/>
      <w:r w:rsidRPr="006B752A">
        <w:rPr>
          <w:rFonts w:asciiTheme="majorBidi" w:hAnsiTheme="majorBidi" w:cstheme="majorBidi"/>
          <w:sz w:val="24"/>
          <w:szCs w:val="24"/>
        </w:rPr>
        <w:t>the</w:t>
      </w:r>
      <w:proofErr w:type="gramEnd"/>
      <w:r w:rsidRPr="006B752A">
        <w:rPr>
          <w:rFonts w:asciiTheme="majorBidi" w:hAnsiTheme="majorBidi" w:cstheme="majorBidi"/>
          <w:sz w:val="24"/>
          <w:szCs w:val="24"/>
        </w:rPr>
        <w:t xml:space="preserve"> Muslim Iranian citizen (intellectual-ideological aspect and livelihood), interactions between citizens, interactions of the city, and the city context, which are considered the tent poles. </w:t>
      </w:r>
    </w:p>
    <w:p w14:paraId="5069747B" w14:textId="77777777" w:rsidR="00C94042" w:rsidRPr="006B752A" w:rsidRDefault="00C94042" w:rsidP="00C94042">
      <w:pPr>
        <w:bidi w:val="0"/>
        <w:jc w:val="lowKashida"/>
        <w:rPr>
          <w:rFonts w:asciiTheme="majorBidi" w:hAnsiTheme="majorBidi" w:cstheme="majorBidi"/>
          <w:sz w:val="24"/>
          <w:szCs w:val="24"/>
        </w:rPr>
      </w:pPr>
    </w:p>
    <w:p w14:paraId="78A67A4E" w14:textId="77777777" w:rsidR="00E33A90" w:rsidRPr="006B752A" w:rsidRDefault="00DC5761" w:rsidP="00E33A90">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3. </w:t>
      </w:r>
      <w:r w:rsidR="00E33A90" w:rsidRPr="006B752A">
        <w:rPr>
          <w:rFonts w:asciiTheme="majorBidi" w:hAnsiTheme="majorBidi" w:cstheme="majorBidi"/>
          <w:b/>
          <w:bCs/>
          <w:sz w:val="24"/>
          <w:szCs w:val="24"/>
        </w:rPr>
        <w:t xml:space="preserve">Research </w:t>
      </w:r>
      <w:r w:rsidR="00C94042" w:rsidRPr="006B752A">
        <w:rPr>
          <w:rFonts w:asciiTheme="majorBidi" w:hAnsiTheme="majorBidi" w:cstheme="majorBidi"/>
          <w:b/>
          <w:bCs/>
          <w:sz w:val="24"/>
          <w:szCs w:val="24"/>
        </w:rPr>
        <w:t xml:space="preserve">Scope </w:t>
      </w:r>
      <w:r w:rsidR="00E33A90" w:rsidRPr="006B752A">
        <w:rPr>
          <w:rFonts w:asciiTheme="majorBidi" w:hAnsiTheme="majorBidi" w:cstheme="majorBidi"/>
          <w:b/>
          <w:bCs/>
          <w:sz w:val="24"/>
          <w:szCs w:val="24"/>
        </w:rPr>
        <w:t xml:space="preserve">and </w:t>
      </w:r>
      <w:r w:rsidR="00C94042" w:rsidRPr="006B752A">
        <w:rPr>
          <w:rFonts w:asciiTheme="majorBidi" w:hAnsiTheme="majorBidi" w:cstheme="majorBidi"/>
          <w:b/>
          <w:bCs/>
          <w:sz w:val="24"/>
          <w:szCs w:val="24"/>
        </w:rPr>
        <w:t xml:space="preserve">Method </w:t>
      </w:r>
    </w:p>
    <w:p w14:paraId="25AF0A8F"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The present study is applied mixed-method research. The research process includes two steps. In Step 1, after presenting the initial conceptual research model, some in-depth structured interviews were conducted to modify and scrutinize the initial conceptual model, and then, the modified pillars, categories, and components were introduced after the content analysis of the interviews using an inductive method in MAXQDA software. The samples were selected from city managers, academic professors, and experienced and active experts in the field of Islamic urban planning and city ranking using the snowball sampling technique, and then, they were interviewed to scrutinize and modify the conceptual model of city ranking with an Iranian-Islam approach. </w:t>
      </w:r>
    </w:p>
    <w:p w14:paraId="4734CC1E"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The in-depth interviews were conducted </w:t>
      </w:r>
      <w:r w:rsidR="00037659" w:rsidRPr="006B752A">
        <w:rPr>
          <w:rFonts w:asciiTheme="majorBidi" w:hAnsiTheme="majorBidi" w:cstheme="majorBidi"/>
          <w:sz w:val="24"/>
          <w:szCs w:val="24"/>
        </w:rPr>
        <w:t>structurally</w:t>
      </w:r>
      <w:r w:rsidRPr="006B752A">
        <w:rPr>
          <w:rFonts w:asciiTheme="majorBidi" w:hAnsiTheme="majorBidi" w:cstheme="majorBidi"/>
          <w:sz w:val="24"/>
          <w:szCs w:val="24"/>
        </w:rPr>
        <w:t xml:space="preserve"> and with predetermined questions. Each interview lasted about 120 minutes. The interviews were conducted in person or through a phone call. Also, part of the research population included researchers and experts active in the fields of urban management and planning and Islamic urban planning in the geographical area </w:t>
      </w:r>
      <w:r w:rsidRPr="006B752A">
        <w:rPr>
          <w:rFonts w:asciiTheme="majorBidi" w:hAnsiTheme="majorBidi" w:cstheme="majorBidi"/>
          <w:sz w:val="24"/>
          <w:szCs w:val="24"/>
        </w:rPr>
        <w:lastRenderedPageBreak/>
        <w:t>of Iran. After analyzing each interview to identify the ambiguous points or weaknesses of the model and categories, the next person was introduced by the interviewees considering the required expertise. This sampling technique is known as the snowball sampling technique. Therefore, the data collection was continued until the theoretical saturation was reached, i.e. until no difference was observed between the recently collected data and the previously collected ones and they were the same. The interviews were coded in parallel with the interviews, meaning that the data of an interview were coded immediately after conducting that interview to categorize and interpret them. By coding the first few interviews, the initial mental framework was created, and by conducting subsequent interviews, the mental framework was developed using the new codes obtained. This process continued until theoretical saturation was reached and the interviews ended. The data were categorized by identifying initial codes and repeatedly reviewing and merging similar codes to produce main codes. The steps of coding included open coding, axial coding, and selective coding. The author also used note-taking in data collection and analysis as follows. If new ideas or relationships came to the author's mind during data collection and analysis, they were noted down separately. These notes form the basic foundation of the conceptual framework for city ranking.</w:t>
      </w:r>
    </w:p>
    <w:p w14:paraId="204D8C41" w14:textId="73D838C0" w:rsidR="00027DAD" w:rsidRDefault="00E33A90" w:rsidP="00805B36">
      <w:pPr>
        <w:bidi w:val="0"/>
        <w:jc w:val="lowKashida"/>
        <w:rPr>
          <w:rFonts w:asciiTheme="majorBidi" w:hAnsiTheme="majorBidi" w:cstheme="majorBidi"/>
          <w:sz w:val="24"/>
          <w:szCs w:val="24"/>
          <w:rtl/>
        </w:rPr>
      </w:pPr>
      <w:r w:rsidRPr="006B752A">
        <w:rPr>
          <w:rFonts w:asciiTheme="majorBidi" w:hAnsiTheme="majorBidi" w:cstheme="majorBidi"/>
          <w:sz w:val="24"/>
          <w:szCs w:val="24"/>
        </w:rPr>
        <w:t>In Step 2</w:t>
      </w:r>
      <w:r w:rsidR="004A7F3E" w:rsidRPr="006B752A">
        <w:rPr>
          <w:rFonts w:asciiTheme="majorBidi" w:hAnsiTheme="majorBidi" w:cstheme="majorBidi"/>
          <w:sz w:val="24"/>
          <w:szCs w:val="24"/>
        </w:rPr>
        <w:t>, after</w:t>
      </w:r>
      <w:r w:rsidRPr="006B752A">
        <w:rPr>
          <w:rFonts w:asciiTheme="majorBidi" w:hAnsiTheme="majorBidi" w:cstheme="majorBidi"/>
          <w:sz w:val="24"/>
          <w:szCs w:val="24"/>
        </w:rPr>
        <w:t xml:space="preserve"> extracting the lists of pillars, categories, and components of city ranking with an Iranian-Islamic approach and presenting the operational definition of each indicator, an operational framework for the ranking of Iranian metropolises using the TOPSIS technique was developed considering the categories and components. The TOPSIS technique was applied to </w:t>
      </w:r>
      <w:r w:rsidR="004A7F3E" w:rsidRPr="006B752A">
        <w:rPr>
          <w:rFonts w:asciiTheme="majorBidi" w:hAnsiTheme="majorBidi" w:cstheme="majorBidi"/>
          <w:sz w:val="24"/>
          <w:szCs w:val="24"/>
        </w:rPr>
        <w:t>11 metropolises</w:t>
      </w:r>
      <w:r w:rsidRPr="006B752A">
        <w:rPr>
          <w:rFonts w:asciiTheme="majorBidi" w:hAnsiTheme="majorBidi" w:cstheme="majorBidi"/>
          <w:sz w:val="24"/>
          <w:szCs w:val="24"/>
        </w:rPr>
        <w:t xml:space="preserve"> and big cities in Iran, as case studies, with the indicators related to the pillars of ranking with an Iranian-Islamic approach. Since the city ranking process cannot be applied for samples different in the performance scale, in the present research, case studies were divided into three clusters, knowing that the ranking will be meaningful and logical only i</w:t>
      </w:r>
      <w:r w:rsidR="00F1094B">
        <w:rPr>
          <w:rFonts w:asciiTheme="majorBidi" w:hAnsiTheme="majorBidi" w:cstheme="majorBidi"/>
          <w:sz w:val="24"/>
          <w:szCs w:val="24"/>
        </w:rPr>
        <w:t xml:space="preserve">f the clusters are homogeneous. </w:t>
      </w:r>
      <w:r w:rsidRPr="006B752A">
        <w:rPr>
          <w:rFonts w:asciiTheme="majorBidi" w:hAnsiTheme="majorBidi" w:cstheme="majorBidi"/>
          <w:sz w:val="24"/>
          <w:szCs w:val="24"/>
        </w:rPr>
        <w:t>The cluster</w:t>
      </w:r>
      <w:r w:rsidR="00037659">
        <w:rPr>
          <w:rFonts w:asciiTheme="majorBidi" w:hAnsiTheme="majorBidi" w:cstheme="majorBidi"/>
          <w:sz w:val="24"/>
          <w:szCs w:val="24"/>
        </w:rPr>
        <w:t xml:space="preserve">s included </w:t>
      </w:r>
      <w:r w:rsidR="00805B36" w:rsidRPr="00805B36">
        <w:rPr>
          <w:rFonts w:asciiTheme="majorBidi" w:hAnsiTheme="majorBidi" w:cstheme="majorBidi"/>
          <w:color w:val="000000" w:themeColor="text1"/>
          <w:sz w:val="24"/>
          <w:szCs w:val="24"/>
        </w:rPr>
        <w:t xml:space="preserve">metropolises: </w:t>
      </w:r>
      <w:r w:rsidRPr="00805B36">
        <w:rPr>
          <w:rFonts w:asciiTheme="majorBidi" w:hAnsiTheme="majorBidi" w:cstheme="majorBidi"/>
          <w:color w:val="000000" w:themeColor="text1"/>
          <w:sz w:val="24"/>
          <w:szCs w:val="24"/>
        </w:rPr>
        <w:t>Tehran, Mashhad, Tabriz, Shiraz, Isfahan, and Karaj, Qom and Ahvaz Kermanshah,</w:t>
      </w:r>
      <w:r w:rsidR="00805B36" w:rsidRPr="00805B36">
        <w:rPr>
          <w:rFonts w:asciiTheme="majorBidi" w:hAnsiTheme="majorBidi" w:cstheme="majorBidi"/>
          <w:color w:val="000000" w:themeColor="text1"/>
          <w:sz w:val="24"/>
          <w:szCs w:val="24"/>
        </w:rPr>
        <w:t xml:space="preserve"> Yazd</w:t>
      </w:r>
      <w:r w:rsidR="00027DAD" w:rsidRPr="00805B36">
        <w:rPr>
          <w:rFonts w:asciiTheme="majorBidi" w:hAnsiTheme="majorBidi" w:cstheme="majorBidi"/>
          <w:color w:val="000000" w:themeColor="text1"/>
          <w:sz w:val="24"/>
          <w:szCs w:val="24"/>
        </w:rPr>
        <w:t xml:space="preserve"> and Rasht. </w:t>
      </w:r>
      <w:r w:rsidRPr="006B752A">
        <w:rPr>
          <w:rFonts w:asciiTheme="majorBidi" w:hAnsiTheme="majorBidi" w:cstheme="majorBidi"/>
          <w:sz w:val="24"/>
          <w:szCs w:val="24"/>
        </w:rPr>
        <w:t>The studied metropolises were selected based on their population and from different geographical regions of Iran. Moreover, the role and performance of the city on the national and global scales (the cities of Yazd and Rasht) and the macro vision determined for that city, in addition to the criteria of population and geographic distribution, were paid attention. Also, clustering them in the three levels abovementioned was based on the mentality of the public, experts, city officials, and the media towards these metropolises. Figure (1) shows the studied area.</w:t>
      </w:r>
      <w:r w:rsidR="00027DAD">
        <w:rPr>
          <w:rFonts w:asciiTheme="majorBidi" w:hAnsiTheme="majorBidi" w:cstheme="majorBidi"/>
          <w:sz w:val="24"/>
          <w:szCs w:val="24"/>
        </w:rPr>
        <w:t xml:space="preserve"> </w:t>
      </w:r>
    </w:p>
    <w:p w14:paraId="5A0A4C7D" w14:textId="77777777" w:rsidR="00C81F0F" w:rsidRPr="006B752A" w:rsidRDefault="00C81F0F" w:rsidP="00C81F0F">
      <w:pPr>
        <w:bidi w:val="0"/>
        <w:jc w:val="lowKashida"/>
        <w:rPr>
          <w:rFonts w:asciiTheme="majorBidi" w:hAnsiTheme="majorBidi" w:cstheme="majorBidi"/>
          <w:sz w:val="24"/>
          <w:szCs w:val="24"/>
        </w:rPr>
      </w:pPr>
      <w:commentRangeStart w:id="0"/>
      <w:r>
        <w:rPr>
          <w:rFonts w:asciiTheme="majorBidi" w:hAnsiTheme="majorBidi" w:cstheme="majorBidi"/>
          <w:noProof/>
          <w:sz w:val="24"/>
          <w:szCs w:val="24"/>
          <w:lang w:bidi="ar-SA"/>
        </w:rPr>
        <w:drawing>
          <wp:inline distT="0" distB="0" distL="0" distR="0" wp14:anchorId="0D1889F4" wp14:editId="01710B5E">
            <wp:extent cx="6040527" cy="189791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038" cy="1911267"/>
                    </a:xfrm>
                    <a:prstGeom prst="rect">
                      <a:avLst/>
                    </a:prstGeom>
                    <a:noFill/>
                  </pic:spPr>
                </pic:pic>
              </a:graphicData>
            </a:graphic>
          </wp:inline>
        </w:drawing>
      </w:r>
      <w:commentRangeEnd w:id="0"/>
      <w:r w:rsidR="00027DAD">
        <w:rPr>
          <w:rStyle w:val="CommentReference"/>
        </w:rPr>
        <w:commentReference w:id="0"/>
      </w:r>
    </w:p>
    <w:p w14:paraId="58253E10" w14:textId="77777777" w:rsidR="00E33A90" w:rsidRPr="00A90805" w:rsidRDefault="00E33A90" w:rsidP="00A90805">
      <w:pPr>
        <w:bidi w:val="0"/>
        <w:jc w:val="center"/>
        <w:rPr>
          <w:rFonts w:asciiTheme="majorBidi" w:hAnsiTheme="majorBidi" w:cstheme="majorBidi"/>
          <w:sz w:val="18"/>
          <w:szCs w:val="18"/>
        </w:rPr>
      </w:pPr>
      <w:r w:rsidRPr="00171091">
        <w:rPr>
          <w:rFonts w:asciiTheme="majorBidi" w:hAnsiTheme="majorBidi" w:cstheme="majorBidi"/>
          <w:sz w:val="18"/>
          <w:szCs w:val="18"/>
          <w:highlight w:val="yellow"/>
        </w:rPr>
        <w:t>Figure (1). The studied area</w:t>
      </w:r>
    </w:p>
    <w:p w14:paraId="27CABFCF" w14:textId="69C1E5DB" w:rsidR="00E33A90"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lastRenderedPageBreak/>
        <w:t>The data required for city ranking were collected from statistical yearbooks, electronic portals, and government-affiliated statistical centers. Finally, to use the TOPSIS technique to rank and choose the best option from available options, the steps shown in Figure (2) were followed in order</w:t>
      </w:r>
      <w:r w:rsidR="00805B36">
        <w:rPr>
          <w:rFonts w:asciiTheme="majorBidi" w:hAnsiTheme="majorBidi" w:cstheme="majorBidi"/>
          <w:sz w:val="24"/>
          <w:szCs w:val="24"/>
        </w:rPr>
        <w:t xml:space="preserve"> (</w:t>
      </w:r>
      <w:r w:rsidR="00805B36" w:rsidRPr="00805B36">
        <w:rPr>
          <w:rFonts w:asciiTheme="majorBidi" w:hAnsiTheme="majorBidi" w:cstheme="majorBidi"/>
          <w:sz w:val="24"/>
          <w:szCs w:val="24"/>
          <w:highlight w:val="yellow"/>
        </w:rPr>
        <w:t>for more detail</w:t>
      </w:r>
      <w:r w:rsidR="00886A83">
        <w:rPr>
          <w:rFonts w:asciiTheme="majorBidi" w:hAnsiTheme="majorBidi" w:cstheme="majorBidi"/>
          <w:sz w:val="24"/>
          <w:szCs w:val="24"/>
          <w:highlight w:val="yellow"/>
        </w:rPr>
        <w:t>s</w:t>
      </w:r>
      <w:r w:rsidR="00805B36" w:rsidRPr="00805B36">
        <w:rPr>
          <w:rFonts w:asciiTheme="majorBidi" w:hAnsiTheme="majorBidi" w:cstheme="majorBidi"/>
          <w:sz w:val="24"/>
          <w:szCs w:val="24"/>
          <w:highlight w:val="yellow"/>
        </w:rPr>
        <w:t xml:space="preserve"> refer to </w:t>
      </w:r>
      <w:proofErr w:type="spellStart"/>
      <w:r w:rsidR="00805B36" w:rsidRPr="00805B36">
        <w:rPr>
          <w:rFonts w:asciiTheme="majorBidi" w:hAnsiTheme="majorBidi" w:cstheme="majorBidi"/>
          <w:sz w:val="24"/>
          <w:szCs w:val="24"/>
          <w:highlight w:val="yellow"/>
        </w:rPr>
        <w:t>Rafieian</w:t>
      </w:r>
      <w:proofErr w:type="spellEnd"/>
      <w:r w:rsidR="00805B36" w:rsidRPr="00805B36">
        <w:rPr>
          <w:rFonts w:asciiTheme="majorBidi" w:hAnsiTheme="majorBidi" w:cstheme="majorBidi"/>
          <w:sz w:val="24"/>
          <w:szCs w:val="24"/>
          <w:highlight w:val="yellow"/>
        </w:rPr>
        <w:t xml:space="preserve"> et.al 2023</w:t>
      </w:r>
      <w:r w:rsidR="00805B36">
        <w:rPr>
          <w:rFonts w:asciiTheme="majorBidi" w:hAnsiTheme="majorBidi" w:cstheme="majorBidi"/>
          <w:sz w:val="24"/>
          <w:szCs w:val="24"/>
        </w:rPr>
        <w:t>)</w:t>
      </w:r>
      <w:r w:rsidRPr="006B752A">
        <w:rPr>
          <w:rFonts w:asciiTheme="majorBidi" w:hAnsiTheme="majorBidi" w:cstheme="majorBidi"/>
          <w:sz w:val="24"/>
          <w:szCs w:val="24"/>
        </w:rPr>
        <w:t>.</w:t>
      </w:r>
    </w:p>
    <w:p w14:paraId="691AC485" w14:textId="77777777" w:rsidR="00E33A90" w:rsidRPr="006B752A" w:rsidRDefault="00171091" w:rsidP="00E33A90">
      <w:pPr>
        <w:bidi w:val="0"/>
        <w:jc w:val="lowKashida"/>
        <w:rPr>
          <w:rFonts w:asciiTheme="majorBidi" w:hAnsiTheme="majorBidi" w:cstheme="majorBidi"/>
          <w:sz w:val="24"/>
          <w:szCs w:val="24"/>
        </w:rPr>
      </w:pPr>
      <w:r>
        <w:rPr>
          <w:rFonts w:asciiTheme="majorBidi" w:hAnsiTheme="majorBidi" w:cstheme="majorBidi"/>
          <w:noProof/>
          <w:sz w:val="24"/>
          <w:szCs w:val="24"/>
          <w:lang w:bidi="ar-SA"/>
        </w:rPr>
        <w:drawing>
          <wp:inline distT="0" distB="0" distL="0" distR="0" wp14:anchorId="422A2C69" wp14:editId="66F68C96">
            <wp:extent cx="5723223" cy="1603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578" cy="1621152"/>
                    </a:xfrm>
                    <a:prstGeom prst="rect">
                      <a:avLst/>
                    </a:prstGeom>
                    <a:noFill/>
                  </pic:spPr>
                </pic:pic>
              </a:graphicData>
            </a:graphic>
          </wp:inline>
        </w:drawing>
      </w:r>
    </w:p>
    <w:p w14:paraId="42F2200C" w14:textId="77777777" w:rsidR="00E33A90" w:rsidRDefault="00E33A90" w:rsidP="00A90805">
      <w:pPr>
        <w:bidi w:val="0"/>
        <w:jc w:val="center"/>
        <w:rPr>
          <w:rFonts w:asciiTheme="majorBidi" w:hAnsiTheme="majorBidi" w:cstheme="majorBidi"/>
          <w:sz w:val="18"/>
          <w:szCs w:val="18"/>
        </w:rPr>
      </w:pPr>
      <w:commentRangeStart w:id="1"/>
      <w:r w:rsidRPr="00EC49E4">
        <w:rPr>
          <w:rFonts w:asciiTheme="majorBidi" w:hAnsiTheme="majorBidi" w:cstheme="majorBidi"/>
          <w:sz w:val="18"/>
          <w:szCs w:val="18"/>
          <w:highlight w:val="yellow"/>
        </w:rPr>
        <w:t>Figure (2). The steps of the TOPSIS technique</w:t>
      </w:r>
      <w:commentRangeEnd w:id="1"/>
      <w:r w:rsidR="00027DAD">
        <w:rPr>
          <w:rStyle w:val="CommentReference"/>
        </w:rPr>
        <w:commentReference w:id="1"/>
      </w:r>
    </w:p>
    <w:p w14:paraId="5DC43E41" w14:textId="77777777" w:rsidR="00C94042" w:rsidRPr="00A90805" w:rsidRDefault="00C94042" w:rsidP="00C94042">
      <w:pPr>
        <w:bidi w:val="0"/>
        <w:jc w:val="center"/>
        <w:rPr>
          <w:rFonts w:asciiTheme="majorBidi" w:hAnsiTheme="majorBidi" w:cstheme="majorBidi"/>
          <w:sz w:val="18"/>
          <w:szCs w:val="18"/>
        </w:rPr>
      </w:pPr>
    </w:p>
    <w:p w14:paraId="4C9531E8" w14:textId="77777777" w:rsidR="00E33A90" w:rsidRPr="006B752A" w:rsidRDefault="00DC5761" w:rsidP="00E33A90">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 </w:t>
      </w:r>
      <w:r w:rsidR="00E33A90" w:rsidRPr="006B752A">
        <w:rPr>
          <w:rFonts w:asciiTheme="majorBidi" w:hAnsiTheme="majorBidi" w:cstheme="majorBidi"/>
          <w:b/>
          <w:bCs/>
          <w:sz w:val="24"/>
          <w:szCs w:val="24"/>
        </w:rPr>
        <w:t xml:space="preserve">Findings </w:t>
      </w:r>
    </w:p>
    <w:p w14:paraId="12A87982" w14:textId="77777777" w:rsidR="00E33A90" w:rsidRPr="006B752A" w:rsidRDefault="00DC5761" w:rsidP="00E33A90">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4.1- </w:t>
      </w:r>
      <w:r w:rsidR="00E33A90" w:rsidRPr="006B752A">
        <w:rPr>
          <w:rFonts w:asciiTheme="majorBidi" w:hAnsiTheme="majorBidi" w:cstheme="majorBidi"/>
          <w:b/>
          <w:bCs/>
          <w:sz w:val="24"/>
          <w:szCs w:val="24"/>
        </w:rPr>
        <w:t xml:space="preserve">Research </w:t>
      </w:r>
      <w:r w:rsidR="00C94042" w:rsidRPr="006B752A">
        <w:rPr>
          <w:rFonts w:asciiTheme="majorBidi" w:hAnsiTheme="majorBidi" w:cstheme="majorBidi"/>
          <w:b/>
          <w:bCs/>
          <w:sz w:val="24"/>
          <w:szCs w:val="24"/>
        </w:rPr>
        <w:t>Process</w:t>
      </w:r>
      <w:r w:rsidR="00E33A90" w:rsidRPr="006B752A">
        <w:rPr>
          <w:rFonts w:asciiTheme="majorBidi" w:hAnsiTheme="majorBidi" w:cstheme="majorBidi"/>
          <w:b/>
          <w:bCs/>
          <w:sz w:val="24"/>
          <w:szCs w:val="24"/>
        </w:rPr>
        <w:t>: Step 1</w:t>
      </w:r>
    </w:p>
    <w:p w14:paraId="644A3D1A"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The content analysis of the interviews was carried out to modify the conceptual research model through coding in the form of keywords and key phrases in the MAXQDA software, the result of which includes the codes and sub-codes listed as components and sub-components in Table (1).</w:t>
      </w:r>
    </w:p>
    <w:p w14:paraId="0F16F639" w14:textId="77777777" w:rsidR="00E33A90" w:rsidRPr="00A90805" w:rsidRDefault="00E33A90" w:rsidP="00A90805">
      <w:pPr>
        <w:bidi w:val="0"/>
        <w:jc w:val="center"/>
        <w:rPr>
          <w:rFonts w:asciiTheme="majorBidi" w:hAnsiTheme="majorBidi" w:cstheme="majorBidi"/>
          <w:sz w:val="18"/>
          <w:szCs w:val="18"/>
        </w:rPr>
      </w:pPr>
      <w:r w:rsidRPr="00A90805">
        <w:rPr>
          <w:rFonts w:asciiTheme="majorBidi" w:hAnsiTheme="majorBidi" w:cstheme="majorBidi"/>
          <w:sz w:val="18"/>
          <w:szCs w:val="18"/>
        </w:rPr>
        <w:t xml:space="preserve">Table (1). The codes and </w:t>
      </w:r>
      <w:proofErr w:type="spellStart"/>
      <w:r w:rsidRPr="00A90805">
        <w:rPr>
          <w:rFonts w:asciiTheme="majorBidi" w:hAnsiTheme="majorBidi" w:cstheme="majorBidi"/>
          <w:sz w:val="18"/>
          <w:szCs w:val="18"/>
        </w:rPr>
        <w:t>subcodes</w:t>
      </w:r>
      <w:proofErr w:type="spellEnd"/>
      <w:r w:rsidRPr="00A90805">
        <w:rPr>
          <w:rFonts w:asciiTheme="majorBidi" w:hAnsiTheme="majorBidi" w:cstheme="majorBidi"/>
          <w:sz w:val="18"/>
          <w:szCs w:val="18"/>
        </w:rPr>
        <w:t xml:space="preserve"> extracted from the qualitative content analysis of the interviews</w:t>
      </w:r>
    </w:p>
    <w:tbl>
      <w:tblPr>
        <w:tblStyle w:val="TableGrid"/>
        <w:tblW w:w="5000" w:type="pct"/>
        <w:tblLook w:val="04A0" w:firstRow="1" w:lastRow="0" w:firstColumn="1" w:lastColumn="0" w:noHBand="0" w:noVBand="1"/>
      </w:tblPr>
      <w:tblGrid>
        <w:gridCol w:w="481"/>
        <w:gridCol w:w="4044"/>
        <w:gridCol w:w="4535"/>
      </w:tblGrid>
      <w:tr w:rsidR="00E33A90" w:rsidRPr="006B752A" w14:paraId="7FFCABDF" w14:textId="77777777" w:rsidTr="00A90805">
        <w:tc>
          <w:tcPr>
            <w:tcW w:w="265" w:type="pct"/>
            <w:vAlign w:val="center"/>
          </w:tcPr>
          <w:p w14:paraId="7EF0B222" w14:textId="77777777" w:rsidR="00E33A90" w:rsidRPr="0051782C" w:rsidRDefault="00E33A90" w:rsidP="00A90805">
            <w:pPr>
              <w:bidi w:val="0"/>
              <w:jc w:val="center"/>
              <w:rPr>
                <w:rFonts w:asciiTheme="majorBidi" w:hAnsiTheme="majorBidi" w:cstheme="majorBidi"/>
                <w:b/>
                <w:bCs/>
                <w:color w:val="auto"/>
                <w:sz w:val="18"/>
                <w:szCs w:val="18"/>
                <w:rtl/>
              </w:rPr>
            </w:pPr>
            <w:r w:rsidRPr="0051782C">
              <w:rPr>
                <w:rFonts w:asciiTheme="majorBidi" w:hAnsiTheme="majorBidi" w:cstheme="majorBidi"/>
                <w:b/>
                <w:bCs/>
                <w:color w:val="auto"/>
                <w:sz w:val="18"/>
                <w:szCs w:val="18"/>
              </w:rPr>
              <w:t>No.</w:t>
            </w:r>
          </w:p>
        </w:tc>
        <w:tc>
          <w:tcPr>
            <w:tcW w:w="2232" w:type="pct"/>
            <w:vAlign w:val="center"/>
          </w:tcPr>
          <w:p w14:paraId="72EEC2DA" w14:textId="77777777" w:rsidR="00E33A90" w:rsidRPr="0051782C" w:rsidRDefault="00E33A90" w:rsidP="00A90805">
            <w:pPr>
              <w:bidi w:val="0"/>
              <w:jc w:val="center"/>
              <w:rPr>
                <w:rFonts w:asciiTheme="majorBidi" w:hAnsiTheme="majorBidi" w:cstheme="majorBidi"/>
                <w:b/>
                <w:bCs/>
                <w:color w:val="auto"/>
                <w:sz w:val="18"/>
                <w:szCs w:val="18"/>
              </w:rPr>
            </w:pPr>
            <w:r w:rsidRPr="0051782C">
              <w:rPr>
                <w:rFonts w:asciiTheme="majorBidi" w:hAnsiTheme="majorBidi" w:cstheme="majorBidi"/>
                <w:b/>
                <w:bCs/>
                <w:color w:val="auto"/>
                <w:sz w:val="18"/>
                <w:szCs w:val="18"/>
              </w:rPr>
              <w:t>Categories obtained from the coding of interviews</w:t>
            </w:r>
          </w:p>
        </w:tc>
        <w:tc>
          <w:tcPr>
            <w:tcW w:w="2503" w:type="pct"/>
            <w:vAlign w:val="center"/>
          </w:tcPr>
          <w:p w14:paraId="4CB612D1" w14:textId="77777777" w:rsidR="00E33A90" w:rsidRPr="0051782C" w:rsidRDefault="00E33A90" w:rsidP="00A90805">
            <w:pPr>
              <w:bidi w:val="0"/>
              <w:jc w:val="center"/>
              <w:rPr>
                <w:rFonts w:asciiTheme="majorBidi" w:hAnsiTheme="majorBidi" w:cstheme="majorBidi"/>
                <w:b/>
                <w:bCs/>
                <w:color w:val="auto"/>
                <w:sz w:val="18"/>
                <w:szCs w:val="18"/>
                <w:rtl/>
                <w:lang w:bidi="fa-IR"/>
              </w:rPr>
            </w:pPr>
            <w:r w:rsidRPr="0051782C">
              <w:rPr>
                <w:rFonts w:asciiTheme="majorBidi" w:hAnsiTheme="majorBidi" w:cstheme="majorBidi"/>
                <w:b/>
                <w:bCs/>
                <w:color w:val="auto"/>
                <w:sz w:val="18"/>
                <w:szCs w:val="18"/>
              </w:rPr>
              <w:t>Sub-categories obtained from the coding of interviews</w:t>
            </w:r>
          </w:p>
        </w:tc>
      </w:tr>
      <w:tr w:rsidR="00E33A90" w:rsidRPr="006B752A" w14:paraId="36E456F0" w14:textId="77777777" w:rsidTr="00A90805">
        <w:tc>
          <w:tcPr>
            <w:tcW w:w="265" w:type="pct"/>
            <w:vMerge w:val="restart"/>
            <w:vAlign w:val="center"/>
          </w:tcPr>
          <w:p w14:paraId="1B5A82F3" w14:textId="77777777" w:rsidR="00E33A90" w:rsidRPr="0051782C" w:rsidRDefault="00E33A90" w:rsidP="00A90805">
            <w:pPr>
              <w:bidi w:val="0"/>
              <w:jc w:val="center"/>
              <w:rPr>
                <w:rFonts w:asciiTheme="majorBidi" w:hAnsiTheme="majorBidi" w:cstheme="majorBidi"/>
                <w:b/>
                <w:bCs/>
                <w:color w:val="auto"/>
                <w:sz w:val="18"/>
                <w:szCs w:val="18"/>
                <w:rtl/>
                <w:lang w:bidi="fa-IR"/>
              </w:rPr>
            </w:pPr>
            <w:r w:rsidRPr="0051782C">
              <w:rPr>
                <w:rFonts w:asciiTheme="majorBidi" w:hAnsiTheme="majorBidi" w:cstheme="majorBidi"/>
                <w:b/>
                <w:bCs/>
                <w:color w:val="auto"/>
                <w:sz w:val="18"/>
                <w:szCs w:val="18"/>
              </w:rPr>
              <w:t>1</w:t>
            </w:r>
          </w:p>
        </w:tc>
        <w:tc>
          <w:tcPr>
            <w:tcW w:w="2232" w:type="pct"/>
            <w:vMerge w:val="restart"/>
            <w:vAlign w:val="center"/>
          </w:tcPr>
          <w:p w14:paraId="7A5E5E58" w14:textId="77777777" w:rsidR="00E33A90" w:rsidRPr="0051782C" w:rsidRDefault="00E33A90" w:rsidP="00A90805">
            <w:pPr>
              <w:bidi w:val="0"/>
              <w:jc w:val="center"/>
              <w:rPr>
                <w:rFonts w:asciiTheme="majorBidi" w:hAnsiTheme="majorBidi" w:cstheme="majorBidi"/>
                <w:b/>
                <w:bCs/>
                <w:color w:val="auto"/>
                <w:sz w:val="18"/>
                <w:szCs w:val="18"/>
              </w:rPr>
            </w:pPr>
            <w:r w:rsidRPr="0051782C">
              <w:rPr>
                <w:rFonts w:asciiTheme="majorBidi" w:hAnsiTheme="majorBidi" w:cstheme="majorBidi"/>
                <w:b/>
                <w:bCs/>
                <w:color w:val="auto"/>
                <w:sz w:val="18"/>
                <w:szCs w:val="18"/>
              </w:rPr>
              <w:t>More emphasis on the Islamic-Iranian approach in components and sub-components</w:t>
            </w:r>
          </w:p>
        </w:tc>
        <w:tc>
          <w:tcPr>
            <w:tcW w:w="2503" w:type="pct"/>
            <w:vAlign w:val="center"/>
          </w:tcPr>
          <w:p w14:paraId="11564D68"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More attention to indicators with a normative aspect.</w:t>
            </w:r>
          </w:p>
        </w:tc>
      </w:tr>
      <w:tr w:rsidR="00E33A90" w:rsidRPr="006B752A" w14:paraId="0602064C" w14:textId="77777777" w:rsidTr="00A90805">
        <w:tc>
          <w:tcPr>
            <w:tcW w:w="265" w:type="pct"/>
            <w:vMerge/>
            <w:vAlign w:val="center"/>
          </w:tcPr>
          <w:p w14:paraId="70E80BF4"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232" w:type="pct"/>
            <w:vMerge/>
            <w:vAlign w:val="center"/>
          </w:tcPr>
          <w:p w14:paraId="111F7685"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503" w:type="pct"/>
            <w:vAlign w:val="center"/>
          </w:tcPr>
          <w:p w14:paraId="7F128EED"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Removing the sub-components for which there is a specific custodian.</w:t>
            </w:r>
          </w:p>
        </w:tc>
      </w:tr>
      <w:tr w:rsidR="00E33A90" w:rsidRPr="006B752A" w14:paraId="1F00230B" w14:textId="77777777" w:rsidTr="00A90805">
        <w:tc>
          <w:tcPr>
            <w:tcW w:w="265" w:type="pct"/>
            <w:vMerge/>
            <w:vAlign w:val="center"/>
          </w:tcPr>
          <w:p w14:paraId="16B8502D"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232" w:type="pct"/>
            <w:vMerge/>
            <w:vAlign w:val="center"/>
          </w:tcPr>
          <w:p w14:paraId="37E89B86"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503" w:type="pct"/>
            <w:vAlign w:val="center"/>
          </w:tcPr>
          <w:p w14:paraId="71A340F6"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Removing general sub-components</w:t>
            </w:r>
          </w:p>
        </w:tc>
      </w:tr>
      <w:tr w:rsidR="00E33A90" w:rsidRPr="006B752A" w14:paraId="0A6F9AD5" w14:textId="77777777" w:rsidTr="00A90805">
        <w:tc>
          <w:tcPr>
            <w:tcW w:w="265" w:type="pct"/>
            <w:vMerge/>
            <w:vAlign w:val="center"/>
          </w:tcPr>
          <w:p w14:paraId="634D1245"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232" w:type="pct"/>
            <w:vMerge/>
            <w:vAlign w:val="center"/>
          </w:tcPr>
          <w:p w14:paraId="1EC2C087"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503" w:type="pct"/>
            <w:vAlign w:val="center"/>
          </w:tcPr>
          <w:p w14:paraId="3060BE41" w14:textId="77777777" w:rsidR="00E33A90" w:rsidRPr="006B752A" w:rsidRDefault="00E33A90" w:rsidP="00A90805">
            <w:pPr>
              <w:bidi w:val="0"/>
              <w:jc w:val="center"/>
              <w:rPr>
                <w:rFonts w:asciiTheme="majorBidi" w:hAnsiTheme="majorBidi" w:cstheme="majorBidi"/>
                <w:color w:val="auto"/>
                <w:sz w:val="18"/>
                <w:szCs w:val="18"/>
                <w:rtl/>
              </w:rPr>
            </w:pPr>
            <w:r w:rsidRPr="006B752A">
              <w:rPr>
                <w:rFonts w:asciiTheme="majorBidi" w:eastAsia="Calibri" w:hAnsiTheme="majorBidi" w:cstheme="majorBidi"/>
                <w:color w:val="auto"/>
                <w:sz w:val="18"/>
                <w:szCs w:val="18"/>
              </w:rPr>
              <w:t>Merge subcomponents overlapping.</w:t>
            </w:r>
          </w:p>
        </w:tc>
      </w:tr>
      <w:tr w:rsidR="00E33A90" w:rsidRPr="006B752A" w14:paraId="6E55D43A" w14:textId="77777777" w:rsidTr="00A90805">
        <w:tc>
          <w:tcPr>
            <w:tcW w:w="265" w:type="pct"/>
            <w:vMerge w:val="restart"/>
            <w:vAlign w:val="center"/>
          </w:tcPr>
          <w:p w14:paraId="7693A156" w14:textId="77777777" w:rsidR="00E33A90" w:rsidRPr="0051782C" w:rsidRDefault="00E33A90" w:rsidP="00A90805">
            <w:pPr>
              <w:bidi w:val="0"/>
              <w:jc w:val="center"/>
              <w:rPr>
                <w:rFonts w:asciiTheme="majorBidi" w:hAnsiTheme="majorBidi" w:cstheme="majorBidi"/>
                <w:b/>
                <w:bCs/>
                <w:color w:val="auto"/>
                <w:sz w:val="18"/>
                <w:szCs w:val="18"/>
                <w:rtl/>
              </w:rPr>
            </w:pPr>
            <w:r w:rsidRPr="0051782C">
              <w:rPr>
                <w:rFonts w:asciiTheme="majorBidi" w:hAnsiTheme="majorBidi" w:cstheme="majorBidi"/>
                <w:b/>
                <w:bCs/>
                <w:color w:val="auto"/>
                <w:sz w:val="18"/>
                <w:szCs w:val="18"/>
              </w:rPr>
              <w:t>2</w:t>
            </w:r>
          </w:p>
        </w:tc>
        <w:tc>
          <w:tcPr>
            <w:tcW w:w="2232" w:type="pct"/>
            <w:vMerge w:val="restart"/>
            <w:vAlign w:val="center"/>
          </w:tcPr>
          <w:p w14:paraId="18A156C8" w14:textId="77777777" w:rsidR="00E33A90" w:rsidRPr="0051782C" w:rsidRDefault="00E33A90" w:rsidP="00A90805">
            <w:pPr>
              <w:bidi w:val="0"/>
              <w:jc w:val="center"/>
              <w:rPr>
                <w:rFonts w:asciiTheme="majorBidi" w:hAnsiTheme="majorBidi" w:cstheme="majorBidi"/>
                <w:b/>
                <w:bCs/>
                <w:color w:val="auto"/>
                <w:sz w:val="18"/>
                <w:szCs w:val="18"/>
                <w:rtl/>
              </w:rPr>
            </w:pPr>
            <w:r w:rsidRPr="0051782C">
              <w:rPr>
                <w:rFonts w:asciiTheme="majorBidi" w:hAnsiTheme="majorBidi" w:cstheme="majorBidi"/>
                <w:b/>
                <w:bCs/>
                <w:color w:val="auto"/>
                <w:sz w:val="18"/>
                <w:szCs w:val="18"/>
              </w:rPr>
              <w:t>Attention to the universalization of the pillars</w:t>
            </w:r>
          </w:p>
        </w:tc>
        <w:tc>
          <w:tcPr>
            <w:tcW w:w="2503" w:type="pct"/>
            <w:vAlign w:val="center"/>
          </w:tcPr>
          <w:p w14:paraId="008AF7EC" w14:textId="77777777" w:rsidR="00E33A90" w:rsidRPr="006B752A" w:rsidRDefault="00E33A90" w:rsidP="00A90805">
            <w:pPr>
              <w:bidi w:val="0"/>
              <w:ind w:left="360"/>
              <w:jc w:val="center"/>
              <w:rPr>
                <w:rFonts w:asciiTheme="majorBidi" w:eastAsia="Calibri" w:hAnsiTheme="majorBidi" w:cstheme="majorBidi"/>
                <w:color w:val="auto"/>
                <w:sz w:val="18"/>
                <w:szCs w:val="18"/>
              </w:rPr>
            </w:pPr>
            <w:r w:rsidRPr="006B752A">
              <w:rPr>
                <w:rFonts w:asciiTheme="majorBidi" w:eastAsia="Calibri" w:hAnsiTheme="majorBidi" w:cstheme="majorBidi"/>
                <w:color w:val="auto"/>
                <w:sz w:val="18"/>
                <w:szCs w:val="18"/>
              </w:rPr>
              <w:t>Separating the "city context" pillar into two substructure and infrastructure pillars</w:t>
            </w:r>
          </w:p>
        </w:tc>
      </w:tr>
      <w:tr w:rsidR="00E33A90" w:rsidRPr="006B752A" w14:paraId="7528C230" w14:textId="77777777" w:rsidTr="00A90805">
        <w:tc>
          <w:tcPr>
            <w:tcW w:w="265" w:type="pct"/>
            <w:vMerge/>
            <w:vAlign w:val="center"/>
          </w:tcPr>
          <w:p w14:paraId="6DBB9773"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232" w:type="pct"/>
            <w:vMerge/>
            <w:vAlign w:val="center"/>
          </w:tcPr>
          <w:p w14:paraId="50AE0F30"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503" w:type="pct"/>
            <w:vAlign w:val="center"/>
          </w:tcPr>
          <w:p w14:paraId="40897A61" w14:textId="77777777" w:rsidR="00E33A90" w:rsidRPr="006B752A" w:rsidRDefault="00E33A90" w:rsidP="00A90805">
            <w:pPr>
              <w:bidi w:val="0"/>
              <w:ind w:left="360"/>
              <w:jc w:val="center"/>
              <w:rPr>
                <w:rFonts w:asciiTheme="majorBidi" w:eastAsia="Calibri" w:hAnsiTheme="majorBidi" w:cstheme="majorBidi"/>
                <w:color w:val="auto"/>
                <w:sz w:val="18"/>
                <w:szCs w:val="18"/>
              </w:rPr>
            </w:pPr>
            <w:r w:rsidRPr="006B752A">
              <w:rPr>
                <w:rFonts w:asciiTheme="majorBidi" w:eastAsia="Calibri" w:hAnsiTheme="majorBidi" w:cstheme="majorBidi"/>
                <w:color w:val="auto"/>
                <w:sz w:val="18"/>
                <w:szCs w:val="18"/>
              </w:rPr>
              <w:t>Through a reciprocal process, from pillar to index and vice versa</w:t>
            </w:r>
          </w:p>
        </w:tc>
      </w:tr>
      <w:tr w:rsidR="00E33A90" w:rsidRPr="006B752A" w14:paraId="2A24D37E" w14:textId="77777777" w:rsidTr="00A90805">
        <w:tc>
          <w:tcPr>
            <w:tcW w:w="265" w:type="pct"/>
            <w:vMerge/>
            <w:vAlign w:val="center"/>
          </w:tcPr>
          <w:p w14:paraId="37AE9B4E"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232" w:type="pct"/>
            <w:vMerge/>
            <w:vAlign w:val="center"/>
          </w:tcPr>
          <w:p w14:paraId="4088E085" w14:textId="77777777" w:rsidR="00E33A90" w:rsidRPr="0051782C" w:rsidRDefault="00E33A90" w:rsidP="00A90805">
            <w:pPr>
              <w:bidi w:val="0"/>
              <w:jc w:val="center"/>
              <w:rPr>
                <w:rFonts w:asciiTheme="majorBidi" w:hAnsiTheme="majorBidi" w:cstheme="majorBidi"/>
                <w:b/>
                <w:bCs/>
                <w:color w:val="auto"/>
                <w:sz w:val="18"/>
                <w:szCs w:val="18"/>
                <w:rtl/>
              </w:rPr>
            </w:pPr>
          </w:p>
        </w:tc>
        <w:tc>
          <w:tcPr>
            <w:tcW w:w="2503" w:type="pct"/>
            <w:vAlign w:val="center"/>
          </w:tcPr>
          <w:p w14:paraId="5E1A1858" w14:textId="77777777" w:rsidR="00E33A90" w:rsidRPr="006B752A" w:rsidRDefault="00E33A90" w:rsidP="00A90805">
            <w:pPr>
              <w:bidi w:val="0"/>
              <w:jc w:val="center"/>
              <w:rPr>
                <w:rFonts w:asciiTheme="majorBidi" w:hAnsiTheme="majorBidi" w:cstheme="majorBidi"/>
                <w:color w:val="auto"/>
                <w:sz w:val="18"/>
                <w:szCs w:val="18"/>
                <w:rtl/>
              </w:rPr>
            </w:pPr>
            <w:r w:rsidRPr="006B752A">
              <w:rPr>
                <w:rFonts w:asciiTheme="majorBidi" w:eastAsia="Calibri" w:hAnsiTheme="majorBidi" w:cstheme="majorBidi"/>
                <w:color w:val="auto"/>
                <w:sz w:val="18"/>
                <w:szCs w:val="18"/>
              </w:rPr>
              <w:t>Referring to the" Second Phase of the Revolution" statement and national upstream documents</w:t>
            </w:r>
          </w:p>
        </w:tc>
      </w:tr>
      <w:tr w:rsidR="00E33A90" w:rsidRPr="006B752A" w14:paraId="77F75CC6" w14:textId="77777777" w:rsidTr="00A90805">
        <w:tc>
          <w:tcPr>
            <w:tcW w:w="265" w:type="pct"/>
            <w:vMerge w:val="restart"/>
            <w:vAlign w:val="center"/>
          </w:tcPr>
          <w:p w14:paraId="61D25559" w14:textId="77777777" w:rsidR="00E33A90" w:rsidRPr="0051782C" w:rsidRDefault="00E33A90" w:rsidP="00A90805">
            <w:pPr>
              <w:bidi w:val="0"/>
              <w:jc w:val="center"/>
              <w:rPr>
                <w:rFonts w:asciiTheme="majorBidi" w:hAnsiTheme="majorBidi" w:cstheme="majorBidi"/>
                <w:b/>
                <w:bCs/>
                <w:color w:val="auto"/>
                <w:sz w:val="18"/>
                <w:szCs w:val="18"/>
                <w:rtl/>
              </w:rPr>
            </w:pPr>
            <w:r w:rsidRPr="0051782C">
              <w:rPr>
                <w:rFonts w:asciiTheme="majorBidi" w:hAnsiTheme="majorBidi" w:cstheme="majorBidi"/>
                <w:b/>
                <w:bCs/>
                <w:color w:val="auto"/>
                <w:sz w:val="18"/>
                <w:szCs w:val="18"/>
              </w:rPr>
              <w:t>3</w:t>
            </w:r>
          </w:p>
        </w:tc>
        <w:tc>
          <w:tcPr>
            <w:tcW w:w="2232" w:type="pct"/>
            <w:vMerge w:val="restart"/>
            <w:vAlign w:val="center"/>
          </w:tcPr>
          <w:p w14:paraId="5D212999" w14:textId="77777777" w:rsidR="00E33A90" w:rsidRPr="0051782C" w:rsidRDefault="00E33A90" w:rsidP="00A90805">
            <w:pPr>
              <w:bidi w:val="0"/>
              <w:jc w:val="center"/>
              <w:rPr>
                <w:rFonts w:asciiTheme="majorBidi" w:hAnsiTheme="majorBidi" w:cstheme="majorBidi"/>
                <w:b/>
                <w:bCs/>
                <w:color w:val="auto"/>
                <w:sz w:val="18"/>
                <w:szCs w:val="18"/>
                <w:rtl/>
              </w:rPr>
            </w:pPr>
            <w:r w:rsidRPr="0051782C">
              <w:rPr>
                <w:rFonts w:asciiTheme="majorBidi" w:hAnsiTheme="majorBidi" w:cstheme="majorBidi"/>
                <w:b/>
                <w:bCs/>
                <w:color w:val="auto"/>
                <w:sz w:val="18"/>
                <w:szCs w:val="18"/>
              </w:rPr>
              <w:t>Attention to the possibility of scoring and indexing</w:t>
            </w:r>
          </w:p>
        </w:tc>
        <w:tc>
          <w:tcPr>
            <w:tcW w:w="2503" w:type="pct"/>
            <w:vAlign w:val="center"/>
          </w:tcPr>
          <w:p w14:paraId="5C45AC7F" w14:textId="77777777" w:rsidR="00E33A90" w:rsidRPr="006B752A" w:rsidRDefault="00E33A90" w:rsidP="00A90805">
            <w:pPr>
              <w:bidi w:val="0"/>
              <w:ind w:left="360"/>
              <w:jc w:val="center"/>
              <w:rPr>
                <w:rFonts w:asciiTheme="majorBidi" w:eastAsia="Calibri" w:hAnsiTheme="majorBidi" w:cstheme="majorBidi"/>
                <w:color w:val="auto"/>
                <w:sz w:val="18"/>
                <w:szCs w:val="18"/>
              </w:rPr>
            </w:pPr>
            <w:r w:rsidRPr="006B752A">
              <w:rPr>
                <w:rFonts w:asciiTheme="majorBidi" w:eastAsia="Calibri" w:hAnsiTheme="majorBidi" w:cstheme="majorBidi"/>
                <w:color w:val="auto"/>
                <w:sz w:val="18"/>
                <w:szCs w:val="18"/>
              </w:rPr>
              <w:t>Using words common in urban planning</w:t>
            </w:r>
          </w:p>
        </w:tc>
      </w:tr>
      <w:tr w:rsidR="00E33A90" w:rsidRPr="006B752A" w14:paraId="36D6FBAD" w14:textId="77777777" w:rsidTr="00A90805">
        <w:tc>
          <w:tcPr>
            <w:tcW w:w="265" w:type="pct"/>
            <w:vMerge/>
            <w:vAlign w:val="center"/>
          </w:tcPr>
          <w:p w14:paraId="67AF138F" w14:textId="77777777" w:rsidR="00E33A90" w:rsidRPr="006B752A" w:rsidRDefault="00E33A90" w:rsidP="00A90805">
            <w:pPr>
              <w:bidi w:val="0"/>
              <w:jc w:val="center"/>
              <w:rPr>
                <w:rFonts w:asciiTheme="majorBidi" w:hAnsiTheme="majorBidi" w:cstheme="majorBidi"/>
                <w:color w:val="auto"/>
                <w:sz w:val="18"/>
                <w:szCs w:val="18"/>
                <w:rtl/>
              </w:rPr>
            </w:pPr>
          </w:p>
        </w:tc>
        <w:tc>
          <w:tcPr>
            <w:tcW w:w="2232" w:type="pct"/>
            <w:vMerge/>
            <w:vAlign w:val="center"/>
          </w:tcPr>
          <w:p w14:paraId="428E4A10" w14:textId="77777777" w:rsidR="00E33A90" w:rsidRPr="006B752A" w:rsidRDefault="00E33A90" w:rsidP="00A90805">
            <w:pPr>
              <w:bidi w:val="0"/>
              <w:jc w:val="center"/>
              <w:rPr>
                <w:rFonts w:asciiTheme="majorBidi" w:hAnsiTheme="majorBidi" w:cstheme="majorBidi"/>
                <w:color w:val="auto"/>
                <w:sz w:val="18"/>
                <w:szCs w:val="18"/>
                <w:rtl/>
              </w:rPr>
            </w:pPr>
          </w:p>
        </w:tc>
        <w:tc>
          <w:tcPr>
            <w:tcW w:w="2503" w:type="pct"/>
            <w:vAlign w:val="center"/>
          </w:tcPr>
          <w:p w14:paraId="67BC1DFA"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Replacing Islamic components with those applied in urban planning literature</w:t>
            </w:r>
          </w:p>
        </w:tc>
      </w:tr>
      <w:tr w:rsidR="00E33A90" w:rsidRPr="006B752A" w14:paraId="7A2FD210" w14:textId="77777777" w:rsidTr="00A90805">
        <w:tc>
          <w:tcPr>
            <w:tcW w:w="265" w:type="pct"/>
            <w:vMerge/>
            <w:vAlign w:val="center"/>
          </w:tcPr>
          <w:p w14:paraId="7081FF5A" w14:textId="77777777" w:rsidR="00E33A90" w:rsidRPr="006B752A" w:rsidRDefault="00E33A90" w:rsidP="00A90805">
            <w:pPr>
              <w:bidi w:val="0"/>
              <w:jc w:val="center"/>
              <w:rPr>
                <w:rFonts w:asciiTheme="majorBidi" w:hAnsiTheme="majorBidi" w:cstheme="majorBidi"/>
                <w:color w:val="auto"/>
                <w:sz w:val="18"/>
                <w:szCs w:val="18"/>
                <w:rtl/>
              </w:rPr>
            </w:pPr>
          </w:p>
        </w:tc>
        <w:tc>
          <w:tcPr>
            <w:tcW w:w="2232" w:type="pct"/>
            <w:vMerge/>
            <w:vAlign w:val="center"/>
          </w:tcPr>
          <w:p w14:paraId="462E01ED" w14:textId="77777777" w:rsidR="00E33A90" w:rsidRPr="006B752A" w:rsidRDefault="00E33A90" w:rsidP="00A90805">
            <w:pPr>
              <w:bidi w:val="0"/>
              <w:jc w:val="center"/>
              <w:rPr>
                <w:rFonts w:asciiTheme="majorBidi" w:hAnsiTheme="majorBidi" w:cstheme="majorBidi"/>
                <w:color w:val="auto"/>
                <w:sz w:val="18"/>
                <w:szCs w:val="18"/>
                <w:rtl/>
              </w:rPr>
            </w:pPr>
          </w:p>
        </w:tc>
        <w:tc>
          <w:tcPr>
            <w:tcW w:w="2503" w:type="pct"/>
            <w:vAlign w:val="center"/>
          </w:tcPr>
          <w:p w14:paraId="6E0CC008"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Attention to the possibility of indexing categories</w:t>
            </w:r>
          </w:p>
        </w:tc>
      </w:tr>
      <w:tr w:rsidR="00E33A90" w:rsidRPr="006B752A" w14:paraId="47961520" w14:textId="77777777" w:rsidTr="00A90805">
        <w:tc>
          <w:tcPr>
            <w:tcW w:w="265" w:type="pct"/>
            <w:vMerge/>
            <w:vAlign w:val="center"/>
          </w:tcPr>
          <w:p w14:paraId="179AA407" w14:textId="77777777" w:rsidR="00E33A90" w:rsidRPr="006B752A" w:rsidRDefault="00E33A90" w:rsidP="00A90805">
            <w:pPr>
              <w:bidi w:val="0"/>
              <w:jc w:val="center"/>
              <w:rPr>
                <w:rFonts w:asciiTheme="majorBidi" w:hAnsiTheme="majorBidi" w:cstheme="majorBidi"/>
                <w:color w:val="auto"/>
                <w:sz w:val="18"/>
                <w:szCs w:val="18"/>
                <w:rtl/>
              </w:rPr>
            </w:pPr>
          </w:p>
        </w:tc>
        <w:tc>
          <w:tcPr>
            <w:tcW w:w="2232" w:type="pct"/>
            <w:vMerge/>
            <w:vAlign w:val="center"/>
          </w:tcPr>
          <w:p w14:paraId="22936FE5" w14:textId="77777777" w:rsidR="00E33A90" w:rsidRPr="006B752A" w:rsidRDefault="00E33A90" w:rsidP="00A90805">
            <w:pPr>
              <w:bidi w:val="0"/>
              <w:jc w:val="center"/>
              <w:rPr>
                <w:rFonts w:asciiTheme="majorBidi" w:hAnsiTheme="majorBidi" w:cstheme="majorBidi"/>
                <w:color w:val="auto"/>
                <w:sz w:val="18"/>
                <w:szCs w:val="18"/>
                <w:rtl/>
              </w:rPr>
            </w:pPr>
          </w:p>
        </w:tc>
        <w:tc>
          <w:tcPr>
            <w:tcW w:w="2503" w:type="pct"/>
            <w:vAlign w:val="center"/>
          </w:tcPr>
          <w:p w14:paraId="0D386562" w14:textId="77777777" w:rsidR="00E33A90" w:rsidRPr="006B752A" w:rsidRDefault="00E33A90" w:rsidP="00A90805">
            <w:pPr>
              <w:bidi w:val="0"/>
              <w:ind w:left="360"/>
              <w:jc w:val="center"/>
              <w:rPr>
                <w:rFonts w:asciiTheme="majorBidi" w:eastAsia="Calibri" w:hAnsiTheme="majorBidi" w:cstheme="majorBidi"/>
                <w:color w:val="auto"/>
                <w:sz w:val="18"/>
                <w:szCs w:val="18"/>
                <w:rtl/>
              </w:rPr>
            </w:pPr>
            <w:r w:rsidRPr="006B752A">
              <w:rPr>
                <w:rFonts w:asciiTheme="majorBidi" w:eastAsia="Calibri" w:hAnsiTheme="majorBidi" w:cstheme="majorBidi"/>
                <w:color w:val="auto"/>
                <w:sz w:val="18"/>
                <w:szCs w:val="18"/>
              </w:rPr>
              <w:t>Deciding on the effect of indices (direct or inverse)</w:t>
            </w:r>
          </w:p>
        </w:tc>
      </w:tr>
      <w:tr w:rsidR="00E33A90" w:rsidRPr="006B752A" w14:paraId="3D3A8631" w14:textId="77777777" w:rsidTr="00A90805">
        <w:tc>
          <w:tcPr>
            <w:tcW w:w="265" w:type="pct"/>
            <w:vMerge/>
            <w:vAlign w:val="center"/>
          </w:tcPr>
          <w:p w14:paraId="63B55320" w14:textId="77777777" w:rsidR="00E33A90" w:rsidRPr="006B752A" w:rsidRDefault="00E33A90" w:rsidP="00A90805">
            <w:pPr>
              <w:bidi w:val="0"/>
              <w:jc w:val="center"/>
              <w:rPr>
                <w:rFonts w:asciiTheme="majorBidi" w:hAnsiTheme="majorBidi" w:cstheme="majorBidi"/>
                <w:color w:val="auto"/>
                <w:sz w:val="18"/>
                <w:szCs w:val="18"/>
                <w:rtl/>
              </w:rPr>
            </w:pPr>
          </w:p>
        </w:tc>
        <w:tc>
          <w:tcPr>
            <w:tcW w:w="2232" w:type="pct"/>
            <w:vMerge/>
            <w:vAlign w:val="center"/>
          </w:tcPr>
          <w:p w14:paraId="3E42DF0C" w14:textId="77777777" w:rsidR="00E33A90" w:rsidRPr="006B752A" w:rsidRDefault="00E33A90" w:rsidP="00A90805">
            <w:pPr>
              <w:bidi w:val="0"/>
              <w:jc w:val="center"/>
              <w:rPr>
                <w:rFonts w:asciiTheme="majorBidi" w:hAnsiTheme="majorBidi" w:cstheme="majorBidi"/>
                <w:color w:val="auto"/>
                <w:sz w:val="18"/>
                <w:szCs w:val="18"/>
                <w:rtl/>
              </w:rPr>
            </w:pPr>
          </w:p>
        </w:tc>
        <w:tc>
          <w:tcPr>
            <w:tcW w:w="2503" w:type="pct"/>
            <w:vAlign w:val="center"/>
          </w:tcPr>
          <w:p w14:paraId="2673A2D5" w14:textId="77777777" w:rsidR="00E33A90" w:rsidRPr="006B752A" w:rsidRDefault="00E33A90" w:rsidP="00A90805">
            <w:pPr>
              <w:bidi w:val="0"/>
              <w:jc w:val="center"/>
              <w:rPr>
                <w:rFonts w:asciiTheme="majorBidi" w:hAnsiTheme="majorBidi" w:cstheme="majorBidi"/>
                <w:color w:val="auto"/>
                <w:sz w:val="18"/>
                <w:szCs w:val="18"/>
                <w:rtl/>
                <w:lang w:bidi="fa-IR"/>
              </w:rPr>
            </w:pPr>
            <w:r w:rsidRPr="006B752A">
              <w:rPr>
                <w:rFonts w:asciiTheme="majorBidi" w:eastAsia="Calibri" w:hAnsiTheme="majorBidi" w:cstheme="majorBidi"/>
                <w:color w:val="auto"/>
                <w:sz w:val="18"/>
                <w:szCs w:val="18"/>
              </w:rPr>
              <w:t>Discussing how to index</w:t>
            </w:r>
          </w:p>
        </w:tc>
      </w:tr>
    </w:tbl>
    <w:p w14:paraId="093AE437"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According to all in-depth interviews, the conceptual research model can be modified and redefined as follows. It should be noted that the tabernacle theory used in the initial conceptual model, and its main and macro components, as mentioned in the "theoretical foundations" </w:t>
      </w:r>
      <w:r w:rsidRPr="006B752A">
        <w:rPr>
          <w:rFonts w:asciiTheme="majorBidi" w:hAnsiTheme="majorBidi" w:cstheme="majorBidi"/>
          <w:sz w:val="24"/>
          <w:szCs w:val="24"/>
        </w:rPr>
        <w:lastRenderedPageBreak/>
        <w:t>Section, are still standing and most modifications were made in the categories and components. Some categories were moved, some that overlapped were merged, and some that could not be indexed and measured were replaced with similar ones, according to the opinions and suggestions of the interviewees. Figure (3) shows the completed and modified conceptual research model.</w:t>
      </w:r>
    </w:p>
    <w:p w14:paraId="3351C05D"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noProof/>
          <w:sz w:val="24"/>
          <w:szCs w:val="24"/>
          <w:lang w:bidi="ar-SA"/>
        </w:rPr>
        <w:drawing>
          <wp:inline distT="0" distB="0" distL="0" distR="0" wp14:anchorId="1B7C4B88" wp14:editId="0A6A6F9C">
            <wp:extent cx="5731510" cy="3479694"/>
            <wp:effectExtent l="0" t="0" r="2540" b="6985"/>
            <wp:docPr id="25" name="Picture 25" descr="C:\Users\Asu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79694"/>
                    </a:xfrm>
                    <a:prstGeom prst="rect">
                      <a:avLst/>
                    </a:prstGeom>
                    <a:noFill/>
                    <a:ln>
                      <a:noFill/>
                    </a:ln>
                  </pic:spPr>
                </pic:pic>
              </a:graphicData>
            </a:graphic>
          </wp:inline>
        </w:drawing>
      </w:r>
    </w:p>
    <w:p w14:paraId="624D73F8" w14:textId="77777777" w:rsidR="00E33A90" w:rsidRPr="00A90805" w:rsidRDefault="00E33A90" w:rsidP="00A90805">
      <w:pPr>
        <w:bidi w:val="0"/>
        <w:jc w:val="center"/>
        <w:rPr>
          <w:rFonts w:asciiTheme="majorBidi" w:hAnsiTheme="majorBidi" w:cstheme="majorBidi"/>
          <w:sz w:val="18"/>
          <w:szCs w:val="18"/>
        </w:rPr>
      </w:pPr>
      <w:r w:rsidRPr="00A90805">
        <w:rPr>
          <w:rFonts w:asciiTheme="majorBidi" w:hAnsiTheme="majorBidi" w:cstheme="majorBidi"/>
          <w:sz w:val="18"/>
          <w:szCs w:val="18"/>
        </w:rPr>
        <w:t>Figure (3). The conceptual model of city ranking with an Iranian-Islamic approach based on ranking pillars and categories</w:t>
      </w:r>
    </w:p>
    <w:p w14:paraId="5066D62C" w14:textId="77777777" w:rsidR="00A90805" w:rsidRDefault="00A90805" w:rsidP="00E33A90">
      <w:pPr>
        <w:bidi w:val="0"/>
        <w:jc w:val="lowKashida"/>
        <w:rPr>
          <w:rFonts w:asciiTheme="majorBidi" w:hAnsiTheme="majorBidi" w:cstheme="majorBidi"/>
          <w:sz w:val="24"/>
          <w:szCs w:val="24"/>
        </w:rPr>
      </w:pPr>
    </w:p>
    <w:p w14:paraId="1433311A" w14:textId="77777777" w:rsidR="00E33A90" w:rsidRPr="00DC5761" w:rsidRDefault="00DC5761" w:rsidP="00A90805">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4.2- </w:t>
      </w:r>
      <w:r w:rsidR="00E33A90" w:rsidRPr="00DC5761">
        <w:rPr>
          <w:rFonts w:asciiTheme="majorBidi" w:hAnsiTheme="majorBidi" w:cstheme="majorBidi"/>
          <w:b/>
          <w:bCs/>
          <w:sz w:val="24"/>
          <w:szCs w:val="24"/>
        </w:rPr>
        <w:t xml:space="preserve">Presenting the </w:t>
      </w:r>
      <w:r w:rsidR="00C94042" w:rsidRPr="00DC5761">
        <w:rPr>
          <w:rFonts w:asciiTheme="majorBidi" w:hAnsiTheme="majorBidi" w:cstheme="majorBidi"/>
          <w:b/>
          <w:bCs/>
          <w:sz w:val="24"/>
          <w:szCs w:val="24"/>
        </w:rPr>
        <w:t xml:space="preserve">Final List </w:t>
      </w:r>
      <w:r w:rsidR="00E33A90" w:rsidRPr="00DC5761">
        <w:rPr>
          <w:rFonts w:asciiTheme="majorBidi" w:hAnsiTheme="majorBidi" w:cstheme="majorBidi"/>
          <w:b/>
          <w:bCs/>
          <w:sz w:val="24"/>
          <w:szCs w:val="24"/>
        </w:rPr>
        <w:t xml:space="preserve">of scored </w:t>
      </w:r>
      <w:r w:rsidR="00C94042" w:rsidRPr="00DC5761">
        <w:rPr>
          <w:rFonts w:asciiTheme="majorBidi" w:hAnsiTheme="majorBidi" w:cstheme="majorBidi"/>
          <w:b/>
          <w:bCs/>
          <w:sz w:val="24"/>
          <w:szCs w:val="24"/>
        </w:rPr>
        <w:t xml:space="preserve">City Ranking Indices </w:t>
      </w:r>
      <w:r w:rsidR="00E33A90" w:rsidRPr="00DC5761">
        <w:rPr>
          <w:rFonts w:asciiTheme="majorBidi" w:hAnsiTheme="majorBidi" w:cstheme="majorBidi"/>
          <w:b/>
          <w:bCs/>
          <w:sz w:val="24"/>
          <w:szCs w:val="24"/>
        </w:rPr>
        <w:t xml:space="preserve">with an Iranian-Islamic </w:t>
      </w:r>
      <w:r w:rsidR="00C94042" w:rsidRPr="00DC5761">
        <w:rPr>
          <w:rFonts w:asciiTheme="majorBidi" w:hAnsiTheme="majorBidi" w:cstheme="majorBidi"/>
          <w:b/>
          <w:bCs/>
          <w:sz w:val="24"/>
          <w:szCs w:val="24"/>
        </w:rPr>
        <w:t>Approach</w:t>
      </w:r>
    </w:p>
    <w:p w14:paraId="0AEF6121"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In the next section, it was tried to present the operational definitions of the indicators introduced in the previous section. To this end, each indicator related to the five pillars abovementioned was described in the form of a phrase(s) according to the general research approach. Next, screening was done in three stages according to the opinions of the expert group, and the final indicators were extracted. To achieve the final indicators, first, all the indicators were provided to the group of academic experts and professors to be examined in terms of their structural and identity characteristics, such as generality, and being qualitative or quantitative. In addition, duplicate indicators and those that can be merged with other ones were removed. In Step 2 of this process, the remaining indicators from the previous step were provided to a group of religious experts familiar with urban management to be examined in terms of their relevance with the Islamic values mentioned in the research, and their degree of conformity with the thought system including faith, perfection, happiness, walking with God, invocation of God and worship, based on which ranking is performed. At this stage, those indicators that didn't conform to the features of the Islamic city from the research perspective were removed. Finally, in the last stage, the availability of the information of indicators as well as having or not having </w:t>
      </w:r>
      <w:r w:rsidRPr="006B752A">
        <w:rPr>
          <w:rFonts w:asciiTheme="majorBidi" w:hAnsiTheme="majorBidi" w:cstheme="majorBidi"/>
          <w:sz w:val="24"/>
          <w:szCs w:val="24"/>
        </w:rPr>
        <w:lastRenderedPageBreak/>
        <w:t>a special custodian were examined by the research experts. Some indicators have always been considered by various organizations and institutions, and specific organizations are responsible for improving them. Therefore, in this research, it was attempted to consider those indicators for which there was no specific custodian and that have been neglected by various bodies.</w:t>
      </w:r>
    </w:p>
    <w:p w14:paraId="1C6DE8B0" w14:textId="77777777" w:rsidR="00E33A90" w:rsidRPr="006B752A" w:rsidRDefault="00E33A90" w:rsidP="00E33A90">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Some indicators were removed in Step 1 of screening, due to reasons such as being general, being qualitative, being duplicated, or being merged with another one. In this section, according to the description of Step 2, the relevance of the indicators with Islamic subjects was examined, such as the degree of conformity of indicators with the definition of an Islamic city from the perspective studied and the degree of conformity of indicators with the thought system (faith, perfection, happiness, walking with God, invocation of God and worship), based on which ranking is performed. After the two steps abovementioned, the remaining indicators were investigated in terms of the availability of the information and having a special custodian by research experts, and the results are presented in the table below. In this way, Table </w:t>
      </w:r>
      <w:r w:rsidR="00CC1393">
        <w:rPr>
          <w:rFonts w:asciiTheme="majorBidi" w:hAnsiTheme="majorBidi" w:cstheme="majorBidi"/>
          <w:sz w:val="24"/>
          <w:szCs w:val="24"/>
        </w:rPr>
        <w:t>(</w:t>
      </w:r>
      <w:r w:rsidRPr="006B752A">
        <w:rPr>
          <w:rFonts w:asciiTheme="majorBidi" w:hAnsiTheme="majorBidi" w:cstheme="majorBidi"/>
          <w:sz w:val="24"/>
          <w:szCs w:val="24"/>
        </w:rPr>
        <w:t>2</w:t>
      </w:r>
      <w:r w:rsidR="00CC1393">
        <w:rPr>
          <w:rFonts w:asciiTheme="majorBidi" w:hAnsiTheme="majorBidi" w:cstheme="majorBidi"/>
          <w:sz w:val="24"/>
          <w:szCs w:val="24"/>
        </w:rPr>
        <w:t>)</w:t>
      </w:r>
      <w:r w:rsidRPr="006B752A">
        <w:rPr>
          <w:rFonts w:asciiTheme="majorBidi" w:hAnsiTheme="majorBidi" w:cstheme="majorBidi"/>
          <w:sz w:val="24"/>
          <w:szCs w:val="24"/>
        </w:rPr>
        <w:t xml:space="preserve"> presents the final list of pillars, categories, components, indicators, and indexes related to each of the components of city ranking with the Iranian-Islamic approach after the three steps abovementioned.</w:t>
      </w:r>
    </w:p>
    <w:p w14:paraId="3F84562B" w14:textId="77777777" w:rsidR="00E33A90" w:rsidRPr="00A90805" w:rsidRDefault="00E33A90" w:rsidP="00A90805">
      <w:pPr>
        <w:bidi w:val="0"/>
        <w:jc w:val="center"/>
        <w:rPr>
          <w:rFonts w:asciiTheme="majorBidi" w:hAnsiTheme="majorBidi" w:cstheme="majorBidi"/>
          <w:sz w:val="18"/>
          <w:szCs w:val="18"/>
        </w:rPr>
      </w:pPr>
      <w:r w:rsidRPr="00A90805">
        <w:rPr>
          <w:rFonts w:asciiTheme="majorBidi" w:hAnsiTheme="majorBidi" w:cstheme="majorBidi"/>
          <w:sz w:val="18"/>
          <w:szCs w:val="18"/>
        </w:rPr>
        <w:t>Table (2). Pillars, categories, components, indexes, and indicators related to each of the components of city ranking with the Iranian-Islamic approach and the operational definitions of indicators.</w:t>
      </w:r>
    </w:p>
    <w:tbl>
      <w:tblPr>
        <w:tblW w:w="8820" w:type="dxa"/>
        <w:jc w:val="center"/>
        <w:shd w:val="clear" w:color="auto" w:fill="FFFFFF"/>
        <w:tblLayout w:type="fixed"/>
        <w:tblLook w:val="04A0" w:firstRow="1" w:lastRow="0" w:firstColumn="1" w:lastColumn="0" w:noHBand="0" w:noVBand="1"/>
      </w:tblPr>
      <w:tblGrid>
        <w:gridCol w:w="495"/>
        <w:gridCol w:w="989"/>
        <w:gridCol w:w="964"/>
        <w:gridCol w:w="1139"/>
        <w:gridCol w:w="1227"/>
        <w:gridCol w:w="1227"/>
        <w:gridCol w:w="1840"/>
        <w:gridCol w:w="939"/>
      </w:tblGrid>
      <w:tr w:rsidR="00A90805" w:rsidRPr="000C5A65" w14:paraId="10F9FE28" w14:textId="77777777" w:rsidTr="000C5A65">
        <w:trPr>
          <w:trHeight w:val="369"/>
          <w:jc w:val="center"/>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A8C3B"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Pr>
            </w:pPr>
            <w:r w:rsidRPr="000C5A65">
              <w:rPr>
                <w:rFonts w:asciiTheme="majorBidi" w:eastAsia="Times New Roman" w:hAnsiTheme="majorBidi" w:cstheme="majorBidi"/>
                <w:b/>
                <w:bCs/>
                <w:sz w:val="16"/>
                <w:szCs w:val="16"/>
              </w:rPr>
              <w:t>Pillar</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A0C2"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Category</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DE67A"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Component</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FB267"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Index</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C22B0"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Indicator</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86B8AC9"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Source</w:t>
            </w:r>
          </w:p>
        </w:tc>
        <w:tc>
          <w:tcPr>
            <w:tcW w:w="1840" w:type="dxa"/>
            <w:tcBorders>
              <w:top w:val="single" w:sz="4" w:space="0" w:color="auto"/>
              <w:left w:val="single" w:sz="4" w:space="0" w:color="auto"/>
              <w:bottom w:val="single" w:sz="4" w:space="0" w:color="auto"/>
              <w:right w:val="single" w:sz="4" w:space="0" w:color="auto"/>
            </w:tcBorders>
            <w:vAlign w:val="center"/>
          </w:tcPr>
          <w:p w14:paraId="10B81A7D"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Operational definition</w:t>
            </w:r>
          </w:p>
        </w:tc>
        <w:tc>
          <w:tcPr>
            <w:tcW w:w="939" w:type="dxa"/>
            <w:tcBorders>
              <w:top w:val="single" w:sz="4" w:space="0" w:color="auto"/>
              <w:left w:val="single" w:sz="4" w:space="0" w:color="auto"/>
              <w:bottom w:val="single" w:sz="4" w:space="0" w:color="auto"/>
              <w:right w:val="single" w:sz="4" w:space="0" w:color="auto"/>
            </w:tcBorders>
            <w:vAlign w:val="center"/>
          </w:tcPr>
          <w:p w14:paraId="01DCDC3F"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Unit of indicator</w:t>
            </w:r>
          </w:p>
        </w:tc>
      </w:tr>
      <w:tr w:rsidR="00A90805" w:rsidRPr="000C5A65" w14:paraId="2170725D" w14:textId="77777777" w:rsidTr="000C5A65">
        <w:trPr>
          <w:trHeight w:val="827"/>
          <w:jc w:val="center"/>
        </w:trPr>
        <w:tc>
          <w:tcPr>
            <w:tcW w:w="495"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14:paraId="619810E2" w14:textId="77777777" w:rsidR="00A90805" w:rsidRPr="000C5A65" w:rsidRDefault="00A90805" w:rsidP="00AE3B8A">
            <w:pPr>
              <w:spacing w:after="0" w:line="240" w:lineRule="auto"/>
              <w:ind w:left="113" w:right="113"/>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The intellectual-ideological aspect of Iranian Muslim citizens</w:t>
            </w: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21CCA278"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Admonishing and awareness-raising, explanation jihad</w:t>
            </w: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42818C7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Social and political awareness of citizens</w:t>
            </w: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7EF5A36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Political-ideological-religious activities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8A131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active jihadist groups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3C0B123A" w14:textId="77777777" w:rsidR="00A90805" w:rsidRPr="000C5A65" w:rsidRDefault="00A90805" w:rsidP="00A90805">
            <w:pPr>
              <w:spacing w:line="240" w:lineRule="auto"/>
              <w:jc w:val="center"/>
              <w:rPr>
                <w:rFonts w:asciiTheme="majorBidi" w:eastAsia="Times New Roman" w:hAnsiTheme="majorBidi" w:cstheme="majorBidi"/>
                <w:sz w:val="16"/>
                <w:szCs w:val="16"/>
                <w:rtl/>
              </w:rPr>
            </w:pPr>
            <w:proofErr w:type="spellStart"/>
            <w:r w:rsidRPr="000C5A65">
              <w:rPr>
                <w:rStyle w:val="Emphasis"/>
                <w:rFonts w:asciiTheme="majorBidi" w:hAnsiTheme="majorBidi" w:cstheme="majorBidi"/>
                <w:sz w:val="16"/>
                <w:szCs w:val="16"/>
                <w:shd w:val="clear" w:color="auto" w:fill="FFFFFF"/>
              </w:rPr>
              <w:t>Basij</w:t>
            </w:r>
            <w:proofErr w:type="spellEnd"/>
            <w:r w:rsidRPr="000C5A65">
              <w:rPr>
                <w:rStyle w:val="Emphasis"/>
                <w:rFonts w:asciiTheme="majorBidi" w:hAnsiTheme="majorBidi" w:cstheme="majorBidi"/>
                <w:sz w:val="16"/>
                <w:szCs w:val="16"/>
                <w:shd w:val="clear" w:color="auto" w:fill="FFFFFF"/>
              </w:rPr>
              <w:t xml:space="preserve"> </w:t>
            </w:r>
            <w:proofErr w:type="spellStart"/>
            <w:r w:rsidRPr="000C5A65">
              <w:rPr>
                <w:rStyle w:val="Emphasis"/>
                <w:rFonts w:asciiTheme="majorBidi" w:hAnsiTheme="majorBidi" w:cstheme="majorBidi"/>
                <w:sz w:val="16"/>
                <w:szCs w:val="16"/>
                <w:shd w:val="clear" w:color="auto" w:fill="FFFFFF"/>
              </w:rPr>
              <w:t>Sazandegi</w:t>
            </w:r>
            <w:proofErr w:type="spellEnd"/>
            <w:r w:rsidRPr="000C5A65">
              <w:rPr>
                <w:rStyle w:val="Emphasis"/>
                <w:rFonts w:asciiTheme="majorBidi" w:hAnsiTheme="majorBidi" w:cstheme="majorBidi"/>
                <w:sz w:val="16"/>
                <w:szCs w:val="16"/>
                <w:shd w:val="clear" w:color="auto" w:fill="FFFFFF"/>
              </w:rPr>
              <w:t xml:space="preserve">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FC70FBE"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active jihadist groups</w:t>
            </w:r>
            <w:r w:rsidRPr="000C5A65">
              <w:rPr>
                <w:rFonts w:asciiTheme="majorBidi" w:hAnsiTheme="majorBidi" w:cstheme="majorBidi"/>
                <w:sz w:val="16"/>
                <w:szCs w:val="16"/>
              </w:rPr>
              <w:t xml:space="preserve"> in the city 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62B3A93D"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 people</w:t>
            </w:r>
          </w:p>
        </w:tc>
      </w:tr>
      <w:tr w:rsidR="00A90805" w:rsidRPr="000C5A65" w14:paraId="6AF2E997"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71E00E2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3B8C137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07D3645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53BC581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8C039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public endowments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45733351" w14:textId="77777777" w:rsidR="00A90805" w:rsidRPr="000C5A65" w:rsidRDefault="00A90805" w:rsidP="00A90805">
            <w:pPr>
              <w:spacing w:line="240" w:lineRule="auto"/>
              <w:contextualSpacing/>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General Directorate of Endowments and Charity Affairs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F847461"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public endowments</w:t>
            </w:r>
            <w:r w:rsidRPr="000C5A65">
              <w:rPr>
                <w:rFonts w:asciiTheme="majorBidi" w:hAnsiTheme="majorBidi" w:cstheme="majorBidi"/>
                <w:sz w:val="16"/>
                <w:szCs w:val="16"/>
              </w:rPr>
              <w:t xml:space="preserve"> 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77191CB"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 people</w:t>
            </w:r>
          </w:p>
        </w:tc>
      </w:tr>
      <w:tr w:rsidR="00A90805" w:rsidRPr="000C5A65" w14:paraId="30D71875" w14:textId="77777777" w:rsidTr="000C5A65">
        <w:trPr>
          <w:trHeight w:val="624"/>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03F845B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66961FE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28534FF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1F2E94A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9F58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 xml:space="preserve">Number of </w:t>
            </w:r>
            <w:r w:rsidRPr="000C5A65">
              <w:rPr>
                <w:rFonts w:asciiTheme="majorBidi" w:hAnsiTheme="majorBidi" w:cstheme="majorBidi"/>
                <w:sz w:val="16"/>
                <w:szCs w:val="16"/>
                <w:shd w:val="clear" w:color="auto" w:fill="FFFFFF"/>
              </w:rPr>
              <w:t>confraternities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E1C3518" w14:textId="77777777" w:rsidR="00A90805" w:rsidRPr="000C5A65" w:rsidRDefault="00AE3B8A" w:rsidP="00A90805">
            <w:pPr>
              <w:spacing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 xml:space="preserve">Database of </w:t>
            </w:r>
            <w:proofErr w:type="spellStart"/>
            <w:r w:rsidRPr="000C5A65">
              <w:rPr>
                <w:rFonts w:asciiTheme="majorBidi" w:eastAsia="Times New Roman" w:hAnsiTheme="majorBidi" w:cstheme="majorBidi"/>
                <w:sz w:val="16"/>
                <w:szCs w:val="16"/>
              </w:rPr>
              <w:t>confraternitie</w:t>
            </w:r>
            <w:proofErr w:type="spellEnd"/>
            <w:r w:rsidR="00A90805" w:rsidRPr="000C5A65">
              <w:rPr>
                <w:rFonts w:asciiTheme="majorBidi" w:eastAsia="Times New Roman" w:hAnsiTheme="majorBidi" w:cstheme="majorBidi"/>
                <w:sz w:val="16"/>
                <w:szCs w:val="16"/>
              </w:rPr>
              <w:t>, Islamic Development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B2DD4C0"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 xml:space="preserve">Number of </w:t>
            </w:r>
            <w:r w:rsidRPr="000C5A65">
              <w:rPr>
                <w:rFonts w:asciiTheme="majorBidi" w:hAnsiTheme="majorBidi" w:cstheme="majorBidi"/>
                <w:sz w:val="16"/>
                <w:szCs w:val="16"/>
                <w:shd w:val="clear" w:color="auto" w:fill="FFFFFF"/>
              </w:rPr>
              <w:t xml:space="preserve">confraternities </w:t>
            </w:r>
            <w:r w:rsidRPr="000C5A65">
              <w:rPr>
                <w:rFonts w:asciiTheme="majorBidi" w:hAnsiTheme="majorBidi" w:cstheme="majorBidi"/>
                <w:sz w:val="16"/>
                <w:szCs w:val="16"/>
              </w:rPr>
              <w:t>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847AD7B"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 people</w:t>
            </w:r>
          </w:p>
        </w:tc>
      </w:tr>
      <w:tr w:rsidR="00A90805" w:rsidRPr="000C5A65" w14:paraId="3EBBEDDC"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46D2130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42FC05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36F1AAA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702DCB7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E2C66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mosques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41E15BB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 xml:space="preserve">Isla mic Development Organization, </w:t>
            </w:r>
            <w:proofErr w:type="spellStart"/>
            <w:r w:rsidRPr="000C5A65">
              <w:rPr>
                <w:rFonts w:asciiTheme="majorBidi" w:eastAsia="Times New Roman" w:hAnsiTheme="majorBidi" w:cstheme="majorBidi"/>
                <w:sz w:val="16"/>
                <w:szCs w:val="16"/>
              </w:rPr>
              <w:t>Setad</w:t>
            </w:r>
            <w:proofErr w:type="spellEnd"/>
            <w:r w:rsidRPr="000C5A65">
              <w:rPr>
                <w:rFonts w:asciiTheme="majorBidi" w:eastAsia="Times New Roman" w:hAnsiTheme="majorBidi" w:cstheme="majorBidi"/>
                <w:sz w:val="16"/>
                <w:szCs w:val="16"/>
              </w:rPr>
              <w:t xml:space="preserve"> </w:t>
            </w:r>
            <w:proofErr w:type="spellStart"/>
            <w:r w:rsidRPr="000C5A65">
              <w:rPr>
                <w:rFonts w:asciiTheme="majorBidi" w:eastAsia="Times New Roman" w:hAnsiTheme="majorBidi" w:cstheme="majorBidi"/>
                <w:sz w:val="16"/>
                <w:szCs w:val="16"/>
              </w:rPr>
              <w:t>Eghame</w:t>
            </w:r>
            <w:proofErr w:type="spellEnd"/>
            <w:r w:rsidRPr="000C5A65">
              <w:rPr>
                <w:rFonts w:asciiTheme="majorBidi" w:eastAsia="Times New Roman" w:hAnsiTheme="majorBidi" w:cstheme="majorBidi"/>
                <w:sz w:val="16"/>
                <w:szCs w:val="16"/>
              </w:rPr>
              <w:t xml:space="preserve"> </w:t>
            </w:r>
            <w:proofErr w:type="spellStart"/>
            <w:r w:rsidRPr="000C5A65">
              <w:rPr>
                <w:rFonts w:asciiTheme="majorBidi" w:eastAsia="Times New Roman" w:hAnsiTheme="majorBidi" w:cstheme="majorBidi"/>
                <w:sz w:val="16"/>
                <w:szCs w:val="16"/>
              </w:rPr>
              <w:t>Namaz</w:t>
            </w:r>
            <w:proofErr w:type="spellEnd"/>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D886B92"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mosques</w:t>
            </w:r>
            <w:r w:rsidRPr="000C5A65">
              <w:rPr>
                <w:rFonts w:asciiTheme="majorBidi" w:hAnsiTheme="majorBidi" w:cstheme="majorBidi"/>
                <w:sz w:val="16"/>
                <w:szCs w:val="16"/>
              </w:rPr>
              <w:t xml:space="preserve"> 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593B60C"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 people</w:t>
            </w:r>
          </w:p>
        </w:tc>
      </w:tr>
      <w:tr w:rsidR="00A90805" w:rsidRPr="000C5A65" w14:paraId="357967B5"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4AA0E25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9191B0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732D833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341012B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Education and activities of Muslim citizens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A339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facilitation</w:t>
            </w:r>
            <w:r w:rsidRPr="000C5A65">
              <w:rPr>
                <w:rFonts w:asciiTheme="majorBidi" w:eastAsia="Times New Roman" w:hAnsiTheme="majorBidi" w:cstheme="majorBidi"/>
                <w:sz w:val="16"/>
                <w:szCs w:val="16"/>
                <w:rtl/>
              </w:rPr>
              <w:t xml:space="preserve"> </w:t>
            </w:r>
            <w:r w:rsidRPr="000C5A65">
              <w:rPr>
                <w:rFonts w:asciiTheme="majorBidi" w:eastAsia="Times New Roman" w:hAnsiTheme="majorBidi" w:cstheme="majorBidi"/>
                <w:sz w:val="16"/>
                <w:szCs w:val="16"/>
              </w:rPr>
              <w:t>centers in all neighborhoods of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7893A0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 of the city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68353FE"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facilitation</w:t>
            </w:r>
            <w:r w:rsidRPr="000C5A65">
              <w:rPr>
                <w:rFonts w:asciiTheme="majorBidi" w:eastAsia="Times New Roman" w:hAnsiTheme="majorBidi" w:cstheme="majorBidi"/>
                <w:sz w:val="16"/>
                <w:szCs w:val="16"/>
                <w:rtl/>
              </w:rPr>
              <w:t xml:space="preserve"> </w:t>
            </w:r>
            <w:r w:rsidRPr="000C5A65">
              <w:rPr>
                <w:rFonts w:asciiTheme="majorBidi" w:eastAsia="Times New Roman" w:hAnsiTheme="majorBidi" w:cstheme="majorBidi"/>
                <w:sz w:val="16"/>
                <w:szCs w:val="16"/>
              </w:rPr>
              <w:t>centers</w:t>
            </w:r>
            <w:r w:rsidRPr="000C5A65">
              <w:rPr>
                <w:rFonts w:asciiTheme="majorBidi" w:hAnsiTheme="majorBidi" w:cstheme="majorBidi"/>
                <w:sz w:val="16"/>
                <w:szCs w:val="16"/>
              </w:rPr>
              <w:t xml:space="preserve"> 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6739F50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 people</w:t>
            </w:r>
          </w:p>
        </w:tc>
      </w:tr>
      <w:tr w:rsidR="00A90805" w:rsidRPr="000C5A65" w14:paraId="50572CAB"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0D8C48A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59CBBD2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782376F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039916F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Religious cultural activities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1CA3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number of libraries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7C88197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Culture and Islamic Culture</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C46CB5F"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The number of libraries</w:t>
            </w:r>
            <w:r w:rsidRPr="000C5A65">
              <w:rPr>
                <w:rFonts w:asciiTheme="majorBidi" w:hAnsiTheme="majorBidi" w:cstheme="majorBidi"/>
                <w:sz w:val="16"/>
                <w:szCs w:val="16"/>
              </w:rPr>
              <w:t xml:space="preserve"> per 10,000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2F4B1D6"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4056BF22" w14:textId="77777777" w:rsidTr="000C5A65">
        <w:trPr>
          <w:trHeight w:val="1064"/>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3B59725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7185363E"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Pr>
            </w:pPr>
            <w:r w:rsidRPr="000C5A65">
              <w:rPr>
                <w:rFonts w:asciiTheme="majorBidi" w:hAnsiTheme="majorBidi" w:cstheme="majorBidi"/>
                <w:b/>
                <w:bCs/>
                <w:sz w:val="16"/>
                <w:szCs w:val="16"/>
              </w:rPr>
              <w:t>Spirituality and ethics</w:t>
            </w:r>
          </w:p>
        </w:tc>
        <w:tc>
          <w:tcPr>
            <w:tcW w:w="964" w:type="dxa"/>
            <w:vMerge w:val="restart"/>
            <w:tcBorders>
              <w:top w:val="nil"/>
              <w:left w:val="single" w:sz="4" w:space="0" w:color="auto"/>
              <w:bottom w:val="single" w:sz="4" w:space="0" w:color="000000"/>
              <w:right w:val="single" w:sz="4" w:space="0" w:color="auto"/>
            </w:tcBorders>
            <w:shd w:val="clear" w:color="auto" w:fill="FFFFFF"/>
            <w:vAlign w:val="center"/>
            <w:hideMark/>
          </w:tcPr>
          <w:p w14:paraId="1E7EEE4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Culture of abnegation and self-sacrifice</w:t>
            </w:r>
          </w:p>
        </w:tc>
        <w:tc>
          <w:tcPr>
            <w:tcW w:w="1139" w:type="dxa"/>
            <w:vMerge w:val="restart"/>
            <w:tcBorders>
              <w:top w:val="nil"/>
              <w:left w:val="single" w:sz="4" w:space="0" w:color="auto"/>
              <w:bottom w:val="single" w:sz="4" w:space="0" w:color="000000"/>
              <w:right w:val="single" w:sz="4" w:space="0" w:color="auto"/>
            </w:tcBorders>
            <w:shd w:val="clear" w:color="auto" w:fill="FFFFFF"/>
            <w:vAlign w:val="center"/>
            <w:hideMark/>
          </w:tcPr>
          <w:p w14:paraId="0687AFC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Culture of abnegation and self-sacrifice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6E14B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Martyrs of the Iran-Iraq war</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01CB02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Foundation of Martyrs and Veterans Affairs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79DB60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The number of martyrs of the Iran-Iraq war</w:t>
            </w:r>
            <w:r w:rsidRPr="000C5A65">
              <w:rPr>
                <w:rFonts w:asciiTheme="majorBidi" w:hAnsiTheme="majorBidi" w:cstheme="majorBidi"/>
                <w:sz w:val="16"/>
                <w:szCs w:val="16"/>
              </w:rPr>
              <w:t xml:space="preserve">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85E2FA6"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5D636B0B" w14:textId="77777777" w:rsidTr="000C5A65">
        <w:trPr>
          <w:trHeight w:val="1064"/>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5AEF4E4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299B965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000000"/>
              <w:right w:val="single" w:sz="4" w:space="0" w:color="auto"/>
            </w:tcBorders>
            <w:shd w:val="clear" w:color="auto" w:fill="FFFFFF"/>
            <w:vAlign w:val="center"/>
            <w:hideMark/>
          </w:tcPr>
          <w:p w14:paraId="50E48F6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000000"/>
              <w:right w:val="single" w:sz="4" w:space="0" w:color="auto"/>
            </w:tcBorders>
            <w:shd w:val="clear" w:color="auto" w:fill="FFFFFF"/>
            <w:vAlign w:val="center"/>
            <w:hideMark/>
          </w:tcPr>
          <w:p w14:paraId="6B5E5AE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22CC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Disabled combatants and repatriated prisoners of war of the Iran-Iraq war and holy shrine defenders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30BC40D"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Foundation of Martyrs and Veterans Affairs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56CFBB2"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 xml:space="preserve">The number of </w:t>
            </w:r>
            <w:r w:rsidRPr="000C5A65">
              <w:rPr>
                <w:rFonts w:asciiTheme="majorBidi" w:eastAsia="Times New Roman" w:hAnsiTheme="majorBidi" w:cstheme="majorBidi"/>
                <w:sz w:val="16"/>
                <w:szCs w:val="16"/>
              </w:rPr>
              <w:t>disabled combatants and repatriated prisoners of war of the Iran-Iraq war and holy shrine defenders</w:t>
            </w:r>
            <w:r w:rsidRPr="000C5A65">
              <w:rPr>
                <w:rFonts w:asciiTheme="majorBidi" w:hAnsiTheme="majorBidi" w:cstheme="majorBidi"/>
                <w:sz w:val="16"/>
                <w:szCs w:val="16"/>
              </w:rPr>
              <w:t xml:space="preserve">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1008E6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0F1BB28B"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4A0E613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24B5054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000000"/>
              <w:right w:val="single" w:sz="4" w:space="0" w:color="auto"/>
            </w:tcBorders>
            <w:shd w:val="clear" w:color="auto" w:fill="FFFFFF"/>
            <w:vAlign w:val="center"/>
            <w:hideMark/>
          </w:tcPr>
          <w:p w14:paraId="4F983D6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000000"/>
              <w:right w:val="single" w:sz="4" w:space="0" w:color="auto"/>
            </w:tcBorders>
            <w:shd w:val="clear" w:color="auto" w:fill="FFFFFF"/>
            <w:vAlign w:val="center"/>
            <w:hideMark/>
          </w:tcPr>
          <w:p w14:paraId="1E784C4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12C13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charities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28B462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 xml:space="preserve">Iran's </w:t>
            </w:r>
            <w:proofErr w:type="spellStart"/>
            <w:r w:rsidRPr="000C5A65">
              <w:rPr>
                <w:rFonts w:asciiTheme="majorBidi" w:eastAsia="Times New Roman" w:hAnsiTheme="majorBidi" w:cstheme="majorBidi"/>
                <w:sz w:val="16"/>
                <w:szCs w:val="16"/>
              </w:rPr>
              <w:t>Kheir</w:t>
            </w:r>
            <w:proofErr w:type="spellEnd"/>
            <w:r w:rsidRPr="000C5A65">
              <w:rPr>
                <w:rFonts w:asciiTheme="majorBidi" w:eastAsia="Times New Roman" w:hAnsiTheme="majorBidi" w:cstheme="majorBidi"/>
                <w:sz w:val="16"/>
                <w:szCs w:val="16"/>
              </w:rPr>
              <w:t xml:space="preserve"> Atlas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40E3016"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charities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6F579C7F"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1D7AA56B" w14:textId="77777777" w:rsidTr="000C5A65">
        <w:trPr>
          <w:trHeight w:val="507"/>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349D427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00B52A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nil"/>
              <w:right w:val="single" w:sz="4" w:space="0" w:color="auto"/>
            </w:tcBorders>
            <w:shd w:val="clear" w:color="auto" w:fill="FFFFFF"/>
            <w:vAlign w:val="center"/>
            <w:hideMark/>
          </w:tcPr>
          <w:p w14:paraId="1D6F9E5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Islamic art</w:t>
            </w:r>
          </w:p>
        </w:tc>
        <w:tc>
          <w:tcPr>
            <w:tcW w:w="1139" w:type="dxa"/>
            <w:tcBorders>
              <w:top w:val="nil"/>
              <w:left w:val="single" w:sz="4" w:space="0" w:color="auto"/>
              <w:bottom w:val="nil"/>
              <w:right w:val="single" w:sz="4" w:space="0" w:color="auto"/>
            </w:tcBorders>
            <w:shd w:val="clear" w:color="auto" w:fill="FFFFFF"/>
            <w:vAlign w:val="center"/>
            <w:hideMark/>
          </w:tcPr>
          <w:p w14:paraId="5E19AA1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Islamic art activities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9E5F2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throughput of the Islamic art discipline in universities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BB593F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Science, Research, and Technology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FF95B8B"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throughput of the Islamic art discipline</w:t>
            </w:r>
            <w:r w:rsidRPr="000C5A65">
              <w:rPr>
                <w:rFonts w:asciiTheme="majorBidi" w:hAnsiTheme="majorBidi" w:cstheme="majorBidi"/>
                <w:sz w:val="16"/>
                <w:szCs w:val="16"/>
                <w:rtl/>
              </w:rPr>
              <w:t xml:space="preserve"> </w:t>
            </w:r>
            <w:r w:rsidRPr="000C5A65">
              <w:rPr>
                <w:rFonts w:asciiTheme="majorBidi" w:hAnsiTheme="majorBidi" w:cstheme="majorBidi"/>
                <w:sz w:val="16"/>
                <w:szCs w:val="16"/>
              </w:rPr>
              <w:t xml:space="preserve">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C39B8F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32786AC1" w14:textId="77777777" w:rsidTr="000C5A65">
        <w:trPr>
          <w:trHeight w:val="147"/>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0528B5B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05D0F286"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Scientific jihad</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BF4B08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Education and training</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5243D0D"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quality of primary and higher education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46DCAF"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seminary students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B8D11E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Seminary Management Of Iran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DF5573D"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The number of seminary students</w:t>
            </w:r>
            <w:r w:rsidRPr="000C5A65">
              <w:rPr>
                <w:rFonts w:asciiTheme="majorBidi" w:hAnsiTheme="majorBidi" w:cstheme="majorBidi"/>
                <w:sz w:val="16"/>
                <w:szCs w:val="16"/>
              </w:rPr>
              <w:t xml:space="preserve">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8208419"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52470B1F" w14:textId="77777777" w:rsidTr="000C5A65">
        <w:trPr>
          <w:trHeight w:val="426"/>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50A4466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92CD00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57357FB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3A72AF1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48E2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university graduates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5BE44DD"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Science, Research, and Technology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F648BD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The number of university graduates/population over 18 years old</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F55310A"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6C474C1A"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0A8290D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DFB1CC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358C29F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Research</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5D3254C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Research infrastructures and supports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EC0A2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Employment share of faculty members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704F21AF"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Science, Research, and Technology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6CC1F67"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faculty members/employed population</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FDD6A6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54FA8964" w14:textId="77777777" w:rsidTr="000C5A65">
        <w:trPr>
          <w:cantSplit/>
          <w:trHeight w:val="678"/>
          <w:jc w:val="center"/>
        </w:trPr>
        <w:tc>
          <w:tcPr>
            <w:tcW w:w="495"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14:paraId="063F7045" w14:textId="77777777" w:rsidR="00A90805" w:rsidRPr="000C5A65" w:rsidRDefault="00A90805" w:rsidP="00AE3B8A">
            <w:pPr>
              <w:spacing w:after="0" w:line="240" w:lineRule="auto"/>
              <w:ind w:left="113" w:right="113"/>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The livelihood of Iranian Muslim citizens</w:t>
            </w:r>
          </w:p>
        </w:tc>
        <w:tc>
          <w:tcPr>
            <w:tcW w:w="989" w:type="dxa"/>
            <w:tcBorders>
              <w:top w:val="nil"/>
              <w:left w:val="single" w:sz="4" w:space="0" w:color="auto"/>
              <w:bottom w:val="single" w:sz="4" w:space="0" w:color="auto"/>
              <w:right w:val="single" w:sz="4" w:space="0" w:color="auto"/>
            </w:tcBorders>
            <w:shd w:val="clear" w:color="auto" w:fill="FFFFFF"/>
            <w:vAlign w:val="center"/>
            <w:hideMark/>
          </w:tcPr>
          <w:p w14:paraId="4AC2AD0E"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Subsistence, jobs, and affordability</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2975CF7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Social supports</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27A42EB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Insurance coverage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013D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Social security insurance coverage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782518C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Social Security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233B087"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people covered by social security insurance/total population (inverse)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5408142B"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73FE2956" w14:textId="77777777" w:rsidTr="000C5A65">
        <w:trPr>
          <w:trHeight w:val="192"/>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2A759E0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7D3BCD60"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Well-being and health</w:t>
            </w: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7A42D87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Guarantee of survival</w:t>
            </w: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7177C33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Life expectancy and healthcare infrastructure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921C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Life expectancy index</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9E1681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Statistical yearbook of the city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7633F46"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Average life expectancy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57F6979"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Year</w:t>
            </w:r>
          </w:p>
        </w:tc>
      </w:tr>
      <w:tr w:rsidR="00A90805" w:rsidRPr="000C5A65" w14:paraId="156746A4"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7884B50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622109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33E2F6C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2521F12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E571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Hospital bed per capita</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6CFDDF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Health and Medical Education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F83AAB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hospital beds per 1,000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93A1C9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 people</w:t>
            </w:r>
          </w:p>
        </w:tc>
      </w:tr>
      <w:tr w:rsidR="00A90805" w:rsidRPr="000C5A65" w14:paraId="751197C2" w14:textId="77777777" w:rsidTr="000C5A65">
        <w:trPr>
          <w:trHeight w:val="147"/>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360DB22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67790C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73FAE92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7BCE7CF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CF1D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Under 5 mortality rate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EF58990"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Iranian Legal Medicine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CAB1A59"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Under 5 mortality rate per 100,000 successful births (inverse)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B1EBBA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32EAFC21" w14:textId="77777777" w:rsidTr="000C5A65">
        <w:trPr>
          <w:trHeight w:val="597"/>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3EF7E01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65DB57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1406820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Improvement of survival</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58B6EF1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Exhilaration, well-being, and exercise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EB65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 xml:space="preserve">The level of attention to </w:t>
            </w:r>
            <w:proofErr w:type="spellStart"/>
            <w:r w:rsidRPr="000C5A65">
              <w:rPr>
                <w:rFonts w:asciiTheme="majorBidi" w:hAnsiTheme="majorBidi" w:cstheme="majorBidi"/>
                <w:sz w:val="16"/>
                <w:szCs w:val="16"/>
                <w:shd w:val="clear" w:color="auto" w:fill="FFFFFF"/>
              </w:rPr>
              <w:t>Pahlevani</w:t>
            </w:r>
            <w:proofErr w:type="spellEnd"/>
            <w:r w:rsidRPr="000C5A65">
              <w:rPr>
                <w:rFonts w:asciiTheme="majorBidi" w:hAnsiTheme="majorBidi" w:cstheme="majorBidi"/>
                <w:sz w:val="16"/>
                <w:szCs w:val="16"/>
                <w:shd w:val="clear" w:color="auto" w:fill="FFFFFF"/>
              </w:rPr>
              <w:t xml:space="preserve"> and zourkhaneh rituals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2A727C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Sport and Youth</w:t>
            </w:r>
          </w:p>
          <w:p w14:paraId="71AD482B"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Zurkhaneh Sports Federation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FB67BC8"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 xml:space="preserve">The number of </w:t>
            </w:r>
            <w:proofErr w:type="spellStart"/>
            <w:r w:rsidRPr="000C5A65">
              <w:rPr>
                <w:rFonts w:asciiTheme="majorBidi" w:hAnsiTheme="majorBidi" w:cstheme="majorBidi"/>
                <w:sz w:val="16"/>
                <w:szCs w:val="16"/>
              </w:rPr>
              <w:t>Pahlevani</w:t>
            </w:r>
            <w:proofErr w:type="spellEnd"/>
            <w:r w:rsidRPr="000C5A65">
              <w:rPr>
                <w:rFonts w:asciiTheme="majorBidi" w:hAnsiTheme="majorBidi" w:cstheme="majorBidi"/>
                <w:sz w:val="16"/>
                <w:szCs w:val="16"/>
              </w:rPr>
              <w:t xml:space="preserve"> and Zurkhaneh athletes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6B75956"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1A04E9D7" w14:textId="77777777" w:rsidTr="000C5A65">
        <w:trPr>
          <w:trHeight w:val="709"/>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7BD7473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0CD30E6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17DC329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hAnsiTheme="majorBidi" w:cstheme="majorBidi"/>
                <w:sz w:val="16"/>
                <w:szCs w:val="16"/>
              </w:rPr>
              <w:t>Quality of nutrition</w:t>
            </w: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758E05B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Eating habits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E8AD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share of drinking water subscriber</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5A1EF1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Statistical yearbook of the city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05F1988"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drinking water subscribers/the number of residential units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B6342C2"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w:t>
            </w:r>
          </w:p>
        </w:tc>
      </w:tr>
      <w:tr w:rsidR="00A90805" w:rsidRPr="000C5A65" w14:paraId="0BDB4C72" w14:textId="77777777" w:rsidTr="000C5A65">
        <w:trPr>
          <w:trHeight w:val="300"/>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498B9D0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C13A05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67FABCB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1926782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DCF29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level of attention to healthy food</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7E539D6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Union Guild of the Vendors of Meat Products, Delis, Pizza, and Fancy Foods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8CAD06F"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fast food and unhealthy restaurants per 100,000 people (inverse)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7AB25F0"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0A46C02E" w14:textId="77777777" w:rsidTr="000C5A65">
        <w:trPr>
          <w:trHeight w:val="66"/>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7710663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B2F0E2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673F89E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Mental health</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0B9AF7B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Effective protection of life and health</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D8D7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number of psychiatrists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FC98066" w14:textId="77777777" w:rsidR="00A90805" w:rsidRPr="000C5A65" w:rsidRDefault="00A90805" w:rsidP="00A90805">
            <w:pPr>
              <w:spacing w:line="240" w:lineRule="auto"/>
              <w:contextualSpacing/>
              <w:jc w:val="center"/>
              <w:rPr>
                <w:rFonts w:asciiTheme="majorBidi" w:eastAsia="Calibri" w:hAnsiTheme="majorBidi" w:cstheme="majorBidi"/>
                <w:sz w:val="16"/>
                <w:szCs w:val="16"/>
                <w:rtl/>
              </w:rPr>
            </w:pPr>
            <w:r w:rsidRPr="000C5A65">
              <w:rPr>
                <w:rFonts w:asciiTheme="majorBidi" w:eastAsia="Calibri" w:hAnsiTheme="majorBidi" w:cstheme="majorBidi"/>
                <w:sz w:val="16"/>
                <w:szCs w:val="16"/>
              </w:rPr>
              <w:t>Ministry of Health and Medical Education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04FA54A"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psychiatrists</w:t>
            </w:r>
            <w:r w:rsidRPr="000C5A65">
              <w:rPr>
                <w:rFonts w:asciiTheme="majorBidi" w:hAnsiTheme="majorBidi" w:cstheme="majorBidi"/>
                <w:sz w:val="16"/>
                <w:szCs w:val="16"/>
              </w:rPr>
              <w:t xml:space="preserve">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6A84F8B9"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7D730EF7" w14:textId="77777777" w:rsidTr="000C5A65">
        <w:trPr>
          <w:cantSplit/>
          <w:trHeight w:val="66"/>
          <w:jc w:val="center"/>
        </w:trPr>
        <w:tc>
          <w:tcPr>
            <w:tcW w:w="495"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14:paraId="5747588F" w14:textId="77777777" w:rsidR="00A90805" w:rsidRPr="000C5A65" w:rsidRDefault="00A90805" w:rsidP="00AE3B8A">
            <w:pPr>
              <w:spacing w:after="0" w:line="240" w:lineRule="auto"/>
              <w:ind w:left="113" w:right="113"/>
              <w:jc w:val="center"/>
              <w:rPr>
                <w:rFonts w:asciiTheme="majorBidi" w:eastAsia="Times New Roman" w:hAnsiTheme="majorBidi" w:cstheme="majorBidi"/>
                <w:b/>
                <w:bCs/>
                <w:sz w:val="16"/>
                <w:szCs w:val="16"/>
              </w:rPr>
            </w:pPr>
            <w:r w:rsidRPr="000C5A65">
              <w:rPr>
                <w:rFonts w:asciiTheme="majorBidi" w:eastAsia="Times New Roman" w:hAnsiTheme="majorBidi" w:cstheme="majorBidi"/>
                <w:b/>
                <w:bCs/>
                <w:sz w:val="16"/>
                <w:szCs w:val="16"/>
              </w:rPr>
              <w:lastRenderedPageBreak/>
              <w:t>Interactions between citizens</w:t>
            </w:r>
          </w:p>
        </w:tc>
        <w:tc>
          <w:tcPr>
            <w:tcW w:w="989" w:type="dxa"/>
            <w:tcBorders>
              <w:top w:val="nil"/>
              <w:left w:val="single" w:sz="4" w:space="0" w:color="auto"/>
              <w:bottom w:val="single" w:sz="4" w:space="0" w:color="auto"/>
              <w:right w:val="single" w:sz="4" w:space="0" w:color="auto"/>
            </w:tcBorders>
            <w:shd w:val="clear" w:color="auto" w:fill="FFFFFF"/>
            <w:vAlign w:val="center"/>
            <w:hideMark/>
          </w:tcPr>
          <w:p w14:paraId="671D5A76"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Nation solidarity and socio-political interactions</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6C244C0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Exchange of information and technology</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4785058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Informing</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2D2C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Internet usage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9CE07D9"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hAnsiTheme="majorBidi" w:cstheme="majorBidi"/>
                <w:sz w:val="16"/>
                <w:szCs w:val="16"/>
                <w:shd w:val="clear" w:color="auto" w:fill="FFFFFF"/>
              </w:rPr>
              <w:t>Supreme Council of Cyberspace</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00FCF99"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average duration of Internet usage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99BEA29"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Min/day</w:t>
            </w:r>
          </w:p>
        </w:tc>
      </w:tr>
      <w:tr w:rsidR="00A90805" w:rsidRPr="000C5A65" w14:paraId="4C8BEA2B" w14:textId="77777777" w:rsidTr="000C5A65">
        <w:trPr>
          <w:trHeight w:val="66"/>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4212256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4D3183B5"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Islamic justice and governance</w:t>
            </w: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7F96A5CB"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Social justice and equality</w:t>
            </w: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5163644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Equal opportunities for women and men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0B5B5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higher education of women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7BC57D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Statistical yearbook of the city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F82021C"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Female students at higher education levels/total students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997B872"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 (in person)</w:t>
            </w:r>
          </w:p>
        </w:tc>
      </w:tr>
      <w:tr w:rsidR="00A90805" w:rsidRPr="000C5A65" w14:paraId="64AF52E7" w14:textId="77777777" w:rsidTr="000C5A65">
        <w:trPr>
          <w:trHeight w:val="66"/>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2EA35E1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4C5D9CD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3E56504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10517BE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0BC9F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employment rate of women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C4F587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B021B0E"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Female employees/male employees in a year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AD4E704"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(in person)</w:t>
            </w:r>
          </w:p>
        </w:tc>
      </w:tr>
      <w:tr w:rsidR="00A90805" w:rsidRPr="000C5A65" w14:paraId="2925F755" w14:textId="77777777" w:rsidTr="000C5A65">
        <w:trPr>
          <w:cantSplit/>
          <w:trHeight w:val="183"/>
          <w:jc w:val="center"/>
        </w:trPr>
        <w:tc>
          <w:tcPr>
            <w:tcW w:w="495" w:type="dxa"/>
            <w:vMerge/>
            <w:tcBorders>
              <w:top w:val="nil"/>
              <w:left w:val="single" w:sz="4" w:space="0" w:color="auto"/>
              <w:bottom w:val="single" w:sz="4" w:space="0" w:color="auto"/>
              <w:right w:val="single" w:sz="4" w:space="0" w:color="auto"/>
            </w:tcBorders>
            <w:shd w:val="clear" w:color="auto" w:fill="FFFFFF"/>
            <w:vAlign w:val="center"/>
            <w:hideMark/>
          </w:tcPr>
          <w:p w14:paraId="350C489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tcBorders>
              <w:top w:val="nil"/>
              <w:left w:val="single" w:sz="4" w:space="0" w:color="auto"/>
              <w:bottom w:val="single" w:sz="4" w:space="0" w:color="auto"/>
              <w:right w:val="single" w:sz="4" w:space="0" w:color="auto"/>
            </w:tcBorders>
            <w:shd w:val="clear" w:color="auto" w:fill="FFFFFF"/>
            <w:vAlign w:val="center"/>
            <w:hideMark/>
          </w:tcPr>
          <w:p w14:paraId="33491561"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Identity and dignity, family dignity and privacy</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15C60C3F"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Urban identity and dignity</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69D096D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Urban authenticity and Islamic identity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379AA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level of attention to historical and cultural works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A35161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Cultural Heritage, Tourism, and Handicrafts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19D6240"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registered historical-cultural works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DCEFF54"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1A40164F" w14:textId="77777777" w:rsidTr="000C5A65">
        <w:trPr>
          <w:trHeight w:val="66"/>
          <w:jc w:val="center"/>
        </w:trPr>
        <w:tc>
          <w:tcPr>
            <w:tcW w:w="495" w:type="dxa"/>
            <w:vMerge w:val="restart"/>
            <w:tcBorders>
              <w:top w:val="nil"/>
              <w:left w:val="single" w:sz="4" w:space="0" w:color="auto"/>
              <w:bottom w:val="nil"/>
              <w:right w:val="single" w:sz="4" w:space="0" w:color="auto"/>
            </w:tcBorders>
            <w:shd w:val="clear" w:color="auto" w:fill="FFFFFF"/>
            <w:textDirection w:val="btLr"/>
            <w:vAlign w:val="center"/>
            <w:hideMark/>
          </w:tcPr>
          <w:p w14:paraId="308E4C19" w14:textId="77777777" w:rsidR="00A90805" w:rsidRPr="000C5A65" w:rsidRDefault="00A90805" w:rsidP="00AE3B8A">
            <w:pPr>
              <w:spacing w:after="0" w:line="240" w:lineRule="auto"/>
              <w:ind w:left="113" w:right="113"/>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Interactions of the city (interactions with other Iranian Muslims in the national and international arenas)</w:t>
            </w:r>
          </w:p>
        </w:tc>
        <w:tc>
          <w:tcPr>
            <w:tcW w:w="989" w:type="dxa"/>
            <w:vMerge w:val="restart"/>
            <w:tcBorders>
              <w:top w:val="nil"/>
              <w:left w:val="single" w:sz="4" w:space="0" w:color="auto"/>
              <w:bottom w:val="nil"/>
              <w:right w:val="single" w:sz="4" w:space="0" w:color="auto"/>
            </w:tcBorders>
            <w:shd w:val="clear" w:color="auto" w:fill="FFFFFF"/>
            <w:vAlign w:val="center"/>
            <w:hideMark/>
          </w:tcPr>
          <w:p w14:paraId="5E0A3B37"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National and international relations and tourism</w:t>
            </w:r>
          </w:p>
        </w:tc>
        <w:tc>
          <w:tcPr>
            <w:tcW w:w="964" w:type="dxa"/>
            <w:tcBorders>
              <w:top w:val="nil"/>
              <w:left w:val="single" w:sz="4" w:space="0" w:color="auto"/>
              <w:bottom w:val="nil"/>
              <w:right w:val="single" w:sz="4" w:space="0" w:color="auto"/>
            </w:tcBorders>
            <w:shd w:val="clear" w:color="auto" w:fill="FFFFFF"/>
            <w:vAlign w:val="center"/>
            <w:hideMark/>
          </w:tcPr>
          <w:p w14:paraId="498E888B"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International communication</w:t>
            </w:r>
          </w:p>
        </w:tc>
        <w:tc>
          <w:tcPr>
            <w:tcW w:w="1139" w:type="dxa"/>
            <w:tcBorders>
              <w:top w:val="nil"/>
              <w:left w:val="single" w:sz="4" w:space="0" w:color="auto"/>
              <w:bottom w:val="nil"/>
              <w:right w:val="single" w:sz="4" w:space="0" w:color="auto"/>
            </w:tcBorders>
            <w:shd w:val="clear" w:color="auto" w:fill="FFFFFF"/>
            <w:vAlign w:val="center"/>
            <w:hideMark/>
          </w:tcPr>
          <w:p w14:paraId="7C1914F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International communication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46F53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Inbound passenger/outbound passengers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23B225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Roads and Urban Development</w:t>
            </w:r>
            <w:r w:rsidRPr="000C5A65">
              <w:rPr>
                <w:rFonts w:asciiTheme="majorBidi" w:eastAsia="Times New Roman" w:hAnsiTheme="majorBidi" w:cstheme="majorBidi"/>
                <w:sz w:val="16"/>
                <w:szCs w:val="16"/>
                <w:rtl/>
              </w:rPr>
              <w:br/>
            </w:r>
            <w:r w:rsidRPr="000C5A65">
              <w:rPr>
                <w:rFonts w:asciiTheme="majorBidi" w:eastAsia="Times New Roman" w:hAnsiTheme="majorBidi" w:cstheme="majorBidi"/>
                <w:sz w:val="16"/>
                <w:szCs w:val="16"/>
              </w:rPr>
              <w:t>civil Aviation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1A237A2"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eastAsia="Times New Roman" w:hAnsiTheme="majorBidi" w:cstheme="majorBidi"/>
                <w:sz w:val="16"/>
                <w:szCs w:val="16"/>
              </w:rPr>
              <w:t>Inbound passenger/outbound passengers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73D004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(in person)</w:t>
            </w:r>
          </w:p>
        </w:tc>
      </w:tr>
      <w:tr w:rsidR="00A90805" w:rsidRPr="000C5A65" w14:paraId="59858865" w14:textId="77777777" w:rsidTr="000C5A65">
        <w:trPr>
          <w:trHeight w:val="471"/>
          <w:jc w:val="center"/>
        </w:trPr>
        <w:tc>
          <w:tcPr>
            <w:tcW w:w="495" w:type="dxa"/>
            <w:vMerge/>
            <w:tcBorders>
              <w:top w:val="nil"/>
              <w:left w:val="single" w:sz="4" w:space="0" w:color="auto"/>
              <w:bottom w:val="nil"/>
              <w:right w:val="single" w:sz="4" w:space="0" w:color="auto"/>
            </w:tcBorders>
            <w:shd w:val="clear" w:color="auto" w:fill="FFFFFF"/>
            <w:vAlign w:val="center"/>
            <w:hideMark/>
          </w:tcPr>
          <w:p w14:paraId="27A493D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nil"/>
              <w:right w:val="single" w:sz="4" w:space="0" w:color="auto"/>
            </w:tcBorders>
            <w:shd w:val="clear" w:color="auto" w:fill="FFFFFF"/>
            <w:vAlign w:val="center"/>
            <w:hideMark/>
          </w:tcPr>
          <w:p w14:paraId="6FC963D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08382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Tourist attractions</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5EEC3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Cultural experience and Islamic tourism infrastructure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97B3E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number of museums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CDC41F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8DB63F1"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museums per 100,000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395EBD7"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100,000 people</w:t>
            </w:r>
          </w:p>
        </w:tc>
      </w:tr>
      <w:tr w:rsidR="00A90805" w:rsidRPr="000C5A65" w14:paraId="2788EEEF" w14:textId="77777777" w:rsidTr="000C5A65">
        <w:trPr>
          <w:trHeight w:val="66"/>
          <w:jc w:val="center"/>
        </w:trPr>
        <w:tc>
          <w:tcPr>
            <w:tcW w:w="495" w:type="dxa"/>
            <w:vMerge/>
            <w:tcBorders>
              <w:top w:val="nil"/>
              <w:left w:val="single" w:sz="4" w:space="0" w:color="auto"/>
              <w:bottom w:val="nil"/>
              <w:right w:val="single" w:sz="4" w:space="0" w:color="auto"/>
            </w:tcBorders>
            <w:shd w:val="clear" w:color="auto" w:fill="FFFFFF"/>
            <w:vAlign w:val="center"/>
            <w:hideMark/>
          </w:tcPr>
          <w:p w14:paraId="72CE7D1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nil"/>
              <w:right w:val="single" w:sz="4" w:space="0" w:color="auto"/>
            </w:tcBorders>
            <w:shd w:val="clear" w:color="auto" w:fill="FFFFFF"/>
            <w:vAlign w:val="center"/>
            <w:hideMark/>
          </w:tcPr>
          <w:p w14:paraId="76A25CA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C98FF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A3F49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ABE69"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Cinema seat per capita</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4C97AA85"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Ministry of Culture and Islamic Culture</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1758B20"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 of cinema seats/population</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5675086"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 of seats/person</w:t>
            </w:r>
          </w:p>
        </w:tc>
      </w:tr>
      <w:tr w:rsidR="00A90805" w:rsidRPr="000C5A65" w14:paraId="6EB8FB42" w14:textId="77777777" w:rsidTr="000C5A65">
        <w:trPr>
          <w:trHeight w:val="318"/>
          <w:jc w:val="center"/>
        </w:trPr>
        <w:tc>
          <w:tcPr>
            <w:tcW w:w="495" w:type="dxa"/>
            <w:vMerge/>
            <w:tcBorders>
              <w:top w:val="nil"/>
              <w:left w:val="single" w:sz="4" w:space="0" w:color="auto"/>
              <w:bottom w:val="nil"/>
              <w:right w:val="single" w:sz="4" w:space="0" w:color="auto"/>
            </w:tcBorders>
            <w:shd w:val="clear" w:color="auto" w:fill="FFFFFF"/>
            <w:vAlign w:val="center"/>
            <w:hideMark/>
          </w:tcPr>
          <w:p w14:paraId="4B4320E3"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nil"/>
              <w:right w:val="single" w:sz="4" w:space="0" w:color="auto"/>
            </w:tcBorders>
            <w:shd w:val="clear" w:color="auto" w:fill="FFFFFF"/>
            <w:vAlign w:val="center"/>
            <w:hideMark/>
          </w:tcPr>
          <w:p w14:paraId="69518B0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4FF20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049F8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8E5A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Length of stay in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D3FB2FB"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Hotelier Association</w:t>
            </w:r>
          </w:p>
          <w:p w14:paraId="5FC2033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101BF51"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hotel and guest rooms in the city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B15646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03307225" w14:textId="77777777" w:rsidTr="000C5A65">
        <w:trPr>
          <w:cantSplit/>
          <w:trHeight w:val="66"/>
          <w:jc w:val="center"/>
        </w:trPr>
        <w:tc>
          <w:tcPr>
            <w:tcW w:w="495" w:type="dxa"/>
            <w:vMerge/>
            <w:tcBorders>
              <w:top w:val="nil"/>
              <w:left w:val="single" w:sz="4" w:space="0" w:color="auto"/>
              <w:bottom w:val="nil"/>
              <w:right w:val="single" w:sz="4" w:space="0" w:color="auto"/>
            </w:tcBorders>
            <w:shd w:val="clear" w:color="auto" w:fill="FFFFFF"/>
            <w:vAlign w:val="center"/>
            <w:hideMark/>
          </w:tcPr>
          <w:p w14:paraId="498C164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E7815"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Independence and synergy with other metropolises</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5D91878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Entrepreneurship</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330863D0"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Innovation</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9F76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science and technology parks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1C435C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Science, Research, and Technology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F4F0E11"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science and technology parks in the city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6DBA408"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w:t>
            </w:r>
          </w:p>
        </w:tc>
      </w:tr>
      <w:tr w:rsidR="00A90805" w:rsidRPr="000C5A65" w14:paraId="5D011C8E" w14:textId="77777777" w:rsidTr="000C5A65">
        <w:trPr>
          <w:cantSplit/>
          <w:trHeight w:val="66"/>
          <w:jc w:val="center"/>
        </w:trPr>
        <w:tc>
          <w:tcPr>
            <w:tcW w:w="495" w:type="dxa"/>
            <w:vMerge/>
            <w:tcBorders>
              <w:top w:val="nil"/>
              <w:left w:val="single" w:sz="4" w:space="0" w:color="auto"/>
              <w:bottom w:val="nil"/>
              <w:right w:val="single" w:sz="4" w:space="0" w:color="auto"/>
            </w:tcBorders>
            <w:shd w:val="clear" w:color="auto" w:fill="FFFFFF"/>
            <w:vAlign w:val="center"/>
            <w:hideMark/>
          </w:tcPr>
          <w:p w14:paraId="7497A17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tcBorders>
              <w:top w:val="nil"/>
              <w:left w:val="single" w:sz="4" w:space="0" w:color="auto"/>
              <w:bottom w:val="nil"/>
              <w:right w:val="single" w:sz="4" w:space="0" w:color="auto"/>
            </w:tcBorders>
            <w:shd w:val="clear" w:color="auto" w:fill="FFFFFF"/>
            <w:vAlign w:val="center"/>
            <w:hideMark/>
          </w:tcPr>
          <w:p w14:paraId="781B7DD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p>
        </w:tc>
        <w:tc>
          <w:tcPr>
            <w:tcW w:w="964" w:type="dxa"/>
            <w:tcBorders>
              <w:top w:val="nil"/>
              <w:left w:val="single" w:sz="4" w:space="0" w:color="auto"/>
              <w:bottom w:val="nil"/>
              <w:right w:val="single" w:sz="4" w:space="0" w:color="auto"/>
            </w:tcBorders>
            <w:shd w:val="clear" w:color="auto" w:fill="FFFFFF"/>
            <w:vAlign w:val="center"/>
            <w:hideMark/>
          </w:tcPr>
          <w:p w14:paraId="51B7D03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Vitality and economic attractiveness</w:t>
            </w:r>
          </w:p>
        </w:tc>
        <w:tc>
          <w:tcPr>
            <w:tcW w:w="1139" w:type="dxa"/>
            <w:tcBorders>
              <w:top w:val="nil"/>
              <w:left w:val="single" w:sz="4" w:space="0" w:color="auto"/>
              <w:bottom w:val="nil"/>
              <w:right w:val="single" w:sz="4" w:space="0" w:color="auto"/>
            </w:tcBorders>
            <w:shd w:val="clear" w:color="auto" w:fill="FFFFFF"/>
            <w:vAlign w:val="center"/>
            <w:hideMark/>
          </w:tcPr>
          <w:p w14:paraId="13BB947E"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Investment opportunities in religious service projects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C565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Inflation rate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BC8A2F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B20BE64"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percentage change of the price index at two different times relative to each other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234C1F2"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Percent</w:t>
            </w:r>
          </w:p>
        </w:tc>
      </w:tr>
      <w:tr w:rsidR="00A90805" w:rsidRPr="000C5A65" w14:paraId="3A6B7E2F" w14:textId="77777777" w:rsidTr="000C5A65">
        <w:trPr>
          <w:trHeight w:val="327"/>
          <w:jc w:val="center"/>
        </w:trPr>
        <w:tc>
          <w:tcPr>
            <w:tcW w:w="49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EB163E8" w14:textId="77777777" w:rsidR="00A90805" w:rsidRPr="000C5A65" w:rsidRDefault="00A90805" w:rsidP="00AE3B8A">
            <w:pPr>
              <w:spacing w:after="0" w:line="240" w:lineRule="auto"/>
              <w:ind w:left="113" w:right="113"/>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City context (city, as an arena for the excellence of citizens)</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527979"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Accessibility</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0AE7A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Comfort and security of movement</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65E38E"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Transportation safety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D7C26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Traffic-related death rate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14916E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Iranian Legal Medicine Organization</w:t>
            </w:r>
          </w:p>
          <w:p w14:paraId="7C01361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Statistical yearbook</w:t>
            </w:r>
          </w:p>
          <w:p w14:paraId="5585392B"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2EF0999"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Traffic-related death rate</w:t>
            </w:r>
            <w:r w:rsidRPr="000C5A65">
              <w:rPr>
                <w:rFonts w:asciiTheme="majorBidi" w:hAnsiTheme="majorBidi" w:cstheme="majorBidi"/>
                <w:sz w:val="16"/>
                <w:szCs w:val="16"/>
              </w:rPr>
              <w:t>/ total death rate in a year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575030C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3F1E637E" w14:textId="77777777" w:rsidTr="000C5A65">
        <w:trPr>
          <w:trHeight w:val="104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D4A6A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09CC0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0FE5ECD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Connectivity</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02BB869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Access and movement and access system infrastructure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809B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longest distance between destinations within the city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E0921F8"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F69274B"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longest distance between destinations within the city</w:t>
            </w:r>
            <w:r w:rsidRPr="000C5A65">
              <w:rPr>
                <w:rFonts w:asciiTheme="majorBidi" w:hAnsiTheme="majorBidi" w:cstheme="majorBidi"/>
                <w:sz w:val="16"/>
                <w:szCs w:val="16"/>
              </w:rPr>
              <w:t xml:space="preserve"> (km)</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015605C"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Kilometer</w:t>
            </w:r>
          </w:p>
        </w:tc>
      </w:tr>
      <w:tr w:rsidR="00A90805" w:rsidRPr="000C5A65" w14:paraId="3B0A8AE4" w14:textId="77777777" w:rsidTr="000C5A65">
        <w:trPr>
          <w:trHeight w:val="66"/>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DBA9D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050FB1D8" w14:textId="77777777" w:rsidR="00A90805" w:rsidRPr="000C5A65" w:rsidRDefault="00A90805" w:rsidP="003E63D0">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Naturalism</w:t>
            </w: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46264DF0"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Environmental Protection</w:t>
            </w: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4688B8F1"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Water, air, and urban waste management</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BDDB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Air quality index</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BE5084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Iran's Meteorological Organization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C7C3781"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of unhealthy air quality days in a year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446A3F48"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day of the year</w:t>
            </w:r>
          </w:p>
        </w:tc>
      </w:tr>
      <w:tr w:rsidR="00A90805" w:rsidRPr="000C5A65" w14:paraId="4C8A99CD" w14:textId="77777777" w:rsidTr="000C5A65">
        <w:trPr>
          <w:trHeight w:val="354"/>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7F2F9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051506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1A86612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3048DD1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55CA3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Water consumption per capita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543B6F2E"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7251167"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Water consumption in a specific time unit by a specific consumer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4196027"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Liters/day per person</w:t>
            </w:r>
          </w:p>
        </w:tc>
      </w:tr>
      <w:tr w:rsidR="00A90805" w:rsidRPr="000C5A65" w14:paraId="2C87F5F7"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3B1AF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285AF1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5D9A3AC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00CEAE9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C480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Waste collected per capita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3633C302"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ACCE4E0"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Waste collection rate/population</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1754FED"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Ton/person</w:t>
            </w:r>
          </w:p>
        </w:tc>
      </w:tr>
      <w:tr w:rsidR="00A90805" w:rsidRPr="000C5A65" w14:paraId="614DEA63"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F3C76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13620A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1490475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val="restart"/>
            <w:tcBorders>
              <w:top w:val="nil"/>
              <w:left w:val="single" w:sz="4" w:space="0" w:color="auto"/>
              <w:bottom w:val="single" w:sz="4" w:space="0" w:color="auto"/>
              <w:right w:val="single" w:sz="4" w:space="0" w:color="auto"/>
            </w:tcBorders>
            <w:shd w:val="clear" w:color="auto" w:fill="FFFFFF"/>
            <w:vAlign w:val="center"/>
            <w:hideMark/>
          </w:tcPr>
          <w:p w14:paraId="7E0EB5A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Energy consumption management</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C424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Gasoline consumption per capita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F67048C"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hAnsiTheme="majorBidi" w:cstheme="majorBidi"/>
                <w:sz w:val="16"/>
                <w:szCs w:val="16"/>
                <w:shd w:val="clear" w:color="auto" w:fill="FFFFFF"/>
              </w:rPr>
              <w:t>Ministry of Petroleum</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E261A2A"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Gasoline consumption in a specific time unit by a specific consumer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6C6BD0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Liters/day per person</w:t>
            </w:r>
          </w:p>
        </w:tc>
      </w:tr>
      <w:tr w:rsidR="00A90805" w:rsidRPr="000C5A65" w14:paraId="6AB5B8AC"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25D10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6D1A795"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0416BA0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auto"/>
              <w:right w:val="single" w:sz="4" w:space="0" w:color="auto"/>
            </w:tcBorders>
            <w:shd w:val="clear" w:color="auto" w:fill="FFFFFF"/>
            <w:vAlign w:val="center"/>
            <w:hideMark/>
          </w:tcPr>
          <w:p w14:paraId="76EB492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632AC0"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Town gas consumption per capita (inverse)</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666BD4B3"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hAnsiTheme="majorBidi" w:cstheme="majorBidi"/>
                <w:sz w:val="16"/>
                <w:szCs w:val="16"/>
                <w:shd w:val="clear" w:color="auto" w:fill="FFFFFF"/>
              </w:rPr>
              <w:t>Ministry of Petroleum</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1CBC5C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Gas consumption in a specific time unit by a specific consumer</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116F023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m</w:t>
            </w:r>
            <w:r w:rsidRPr="000C5A65">
              <w:rPr>
                <w:rFonts w:asciiTheme="majorBidi" w:hAnsiTheme="majorBidi" w:cstheme="majorBidi"/>
                <w:sz w:val="16"/>
                <w:szCs w:val="16"/>
                <w:vertAlign w:val="superscript"/>
              </w:rPr>
              <w:t>3</w:t>
            </w:r>
            <w:r w:rsidRPr="000C5A65">
              <w:rPr>
                <w:rFonts w:asciiTheme="majorBidi" w:hAnsiTheme="majorBidi" w:cstheme="majorBidi"/>
                <w:sz w:val="16"/>
                <w:szCs w:val="16"/>
              </w:rPr>
              <w:t>/day per person</w:t>
            </w:r>
          </w:p>
        </w:tc>
      </w:tr>
      <w:tr w:rsidR="00A90805" w:rsidRPr="000C5A65" w14:paraId="21399FDD"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7A888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6FD3BDE3"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val="restart"/>
            <w:tcBorders>
              <w:top w:val="nil"/>
              <w:left w:val="single" w:sz="4" w:space="0" w:color="auto"/>
              <w:bottom w:val="single" w:sz="4" w:space="0" w:color="000000"/>
              <w:right w:val="single" w:sz="4" w:space="0" w:color="auto"/>
            </w:tcBorders>
            <w:shd w:val="clear" w:color="auto" w:fill="FFFFFF"/>
            <w:vAlign w:val="center"/>
            <w:hideMark/>
          </w:tcPr>
          <w:p w14:paraId="2928A56D"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Natural and built landscapes</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175F1919"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Respect for divine verses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52870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Attention to the importance of green spaces in divine verses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7132B8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579A9EA"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Hand-planted forests/ the total area of the city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77867F9" w14:textId="77777777" w:rsidR="00A90805" w:rsidRPr="000C5A65" w:rsidRDefault="00A90805" w:rsidP="00A90805">
            <w:pPr>
              <w:spacing w:after="0"/>
              <w:jc w:val="center"/>
              <w:rPr>
                <w:rFonts w:asciiTheme="majorBidi" w:hAnsiTheme="majorBidi" w:cstheme="majorBidi"/>
                <w:sz w:val="16"/>
                <w:szCs w:val="16"/>
                <w:vertAlign w:val="superscript"/>
                <w:rtl/>
              </w:rPr>
            </w:pPr>
            <w:r w:rsidRPr="000C5A65">
              <w:rPr>
                <w:rFonts w:asciiTheme="majorBidi" w:hAnsiTheme="majorBidi" w:cstheme="majorBidi"/>
                <w:sz w:val="16"/>
                <w:szCs w:val="16"/>
              </w:rPr>
              <w:t>m</w:t>
            </w:r>
            <w:r w:rsidRPr="000C5A65">
              <w:rPr>
                <w:rFonts w:asciiTheme="majorBidi" w:hAnsiTheme="majorBidi" w:cstheme="majorBidi"/>
                <w:sz w:val="16"/>
                <w:szCs w:val="16"/>
                <w:vertAlign w:val="superscript"/>
              </w:rPr>
              <w:t>2</w:t>
            </w:r>
          </w:p>
        </w:tc>
      </w:tr>
      <w:tr w:rsidR="00A90805" w:rsidRPr="000C5A65" w14:paraId="466D780A" w14:textId="77777777" w:rsidTr="000C5A65">
        <w:trPr>
          <w:trHeight w:val="1064"/>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B6A40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BC0342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000000"/>
              <w:right w:val="single" w:sz="4" w:space="0" w:color="auto"/>
            </w:tcBorders>
            <w:shd w:val="clear" w:color="auto" w:fill="FFFFFF"/>
            <w:vAlign w:val="center"/>
            <w:hideMark/>
          </w:tcPr>
          <w:p w14:paraId="679CB2A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017F64C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Islamic image of the 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9D62D"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number of historical mosques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EAA3273"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Cultural Heritage, Tourism, and Handicrafts</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25E2A4E"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eastAsia="Times New Roman" w:hAnsiTheme="majorBidi" w:cstheme="majorBidi"/>
                <w:sz w:val="16"/>
                <w:szCs w:val="16"/>
              </w:rPr>
              <w:t>The number of historical mosques</w:t>
            </w:r>
            <w:r w:rsidRPr="000C5A65">
              <w:rPr>
                <w:rFonts w:asciiTheme="majorBidi" w:hAnsiTheme="majorBidi" w:cstheme="majorBidi"/>
                <w:sz w:val="16"/>
                <w:szCs w:val="16"/>
              </w:rPr>
              <w:t xml:space="preserve"> in the city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18996DC"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710EE741"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A2DF0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33536072"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Habitation</w:t>
            </w:r>
          </w:p>
        </w:tc>
        <w:tc>
          <w:tcPr>
            <w:tcW w:w="964" w:type="dxa"/>
            <w:vMerge w:val="restart"/>
            <w:tcBorders>
              <w:top w:val="nil"/>
              <w:left w:val="single" w:sz="4" w:space="0" w:color="auto"/>
              <w:bottom w:val="single" w:sz="4" w:space="0" w:color="auto"/>
              <w:right w:val="single" w:sz="4" w:space="0" w:color="auto"/>
            </w:tcBorders>
            <w:shd w:val="clear" w:color="auto" w:fill="FFFFFF"/>
            <w:vAlign w:val="center"/>
            <w:hideMark/>
          </w:tcPr>
          <w:p w14:paraId="20A7B8C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Housing</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5D686915"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Housing quality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942CB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share of households enjoying minimum electricity</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484130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Ministry of Energy</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9DB4711"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electricity subscribers/number of residential units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5C42283F"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25050993" w14:textId="77777777" w:rsidTr="000C5A65">
        <w:trPr>
          <w:trHeight w:val="709"/>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A97CE"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6E2EA8F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0F1480C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val="restart"/>
            <w:tcBorders>
              <w:top w:val="nil"/>
              <w:left w:val="single" w:sz="4" w:space="0" w:color="auto"/>
              <w:bottom w:val="single" w:sz="4" w:space="0" w:color="000000"/>
              <w:right w:val="single" w:sz="4" w:space="0" w:color="auto"/>
            </w:tcBorders>
            <w:shd w:val="clear" w:color="auto" w:fill="FFFFFF"/>
            <w:vAlign w:val="center"/>
            <w:hideMark/>
          </w:tcPr>
          <w:p w14:paraId="209DB1CE"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Quantitative characteristics of housing</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AFF4E" w14:textId="77777777" w:rsidR="00A90805" w:rsidRPr="000C5A65" w:rsidRDefault="00A90805" w:rsidP="00A90805">
            <w:pPr>
              <w:spacing w:after="0" w:line="240" w:lineRule="auto"/>
              <w:jc w:val="center"/>
              <w:rPr>
                <w:rFonts w:asciiTheme="majorBidi" w:eastAsia="Times New Roman" w:hAnsiTheme="majorBidi" w:cstheme="majorBidi"/>
                <w:sz w:val="16"/>
                <w:szCs w:val="16"/>
                <w:vertAlign w:val="superscript"/>
              </w:rPr>
            </w:pPr>
            <w:r w:rsidRPr="000C5A65">
              <w:rPr>
                <w:rFonts w:asciiTheme="majorBidi" w:eastAsia="Times New Roman" w:hAnsiTheme="majorBidi" w:cstheme="majorBidi"/>
                <w:sz w:val="16"/>
                <w:szCs w:val="16"/>
              </w:rPr>
              <w:t>The share of residential units with an area above 100 m</w:t>
            </w:r>
            <w:r w:rsidRPr="000C5A65">
              <w:rPr>
                <w:rFonts w:asciiTheme="majorBidi" w:eastAsia="Times New Roman" w:hAnsiTheme="majorBidi" w:cstheme="majorBidi"/>
                <w:sz w:val="16"/>
                <w:szCs w:val="16"/>
                <w:vertAlign w:val="superscript"/>
              </w:rPr>
              <w:t>2</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0CE13A8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Centre of Iran</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78E9200" w14:textId="77777777" w:rsidR="00A90805" w:rsidRPr="000C5A65" w:rsidRDefault="00A90805" w:rsidP="00A90805">
            <w:pPr>
              <w:spacing w:after="0"/>
              <w:jc w:val="center"/>
              <w:rPr>
                <w:rFonts w:asciiTheme="majorBidi" w:hAnsiTheme="majorBidi" w:cstheme="majorBidi"/>
                <w:sz w:val="16"/>
                <w:szCs w:val="16"/>
                <w:vertAlign w:val="subscript"/>
                <w:rtl/>
              </w:rPr>
            </w:pPr>
            <w:r w:rsidRPr="000C5A65">
              <w:rPr>
                <w:rFonts w:asciiTheme="majorBidi" w:eastAsia="Times New Roman" w:hAnsiTheme="majorBidi" w:cstheme="majorBidi"/>
                <w:sz w:val="16"/>
                <w:szCs w:val="16"/>
              </w:rPr>
              <w:t>The number of constructed residential units with an area above 100 m</w:t>
            </w:r>
            <w:r w:rsidRPr="000C5A65">
              <w:rPr>
                <w:rFonts w:asciiTheme="majorBidi" w:eastAsia="Times New Roman" w:hAnsiTheme="majorBidi" w:cstheme="majorBidi"/>
                <w:sz w:val="16"/>
                <w:szCs w:val="16"/>
                <w:vertAlign w:val="superscript"/>
              </w:rPr>
              <w:t>2</w:t>
            </w:r>
            <w:r w:rsidRPr="000C5A65">
              <w:rPr>
                <w:rFonts w:asciiTheme="majorBidi" w:eastAsia="Times New Roman" w:hAnsiTheme="majorBidi" w:cstheme="majorBidi"/>
                <w:sz w:val="16"/>
                <w:szCs w:val="16"/>
              </w:rPr>
              <w:t xml:space="preserve">/ </w:t>
            </w:r>
            <w:r w:rsidRPr="000C5A65">
              <w:rPr>
                <w:rFonts w:asciiTheme="majorBidi" w:hAnsiTheme="majorBidi" w:cstheme="majorBidi"/>
                <w:sz w:val="16"/>
                <w:szCs w:val="16"/>
              </w:rPr>
              <w:t>total constructed residential units</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7383DEB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w:t>
            </w:r>
          </w:p>
        </w:tc>
      </w:tr>
      <w:tr w:rsidR="00A90805" w:rsidRPr="000C5A65" w14:paraId="2EBF1134" w14:textId="77777777" w:rsidTr="000C5A65">
        <w:trPr>
          <w:trHeight w:val="408"/>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4D0B4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1FB618C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vMerge/>
            <w:tcBorders>
              <w:top w:val="nil"/>
              <w:left w:val="single" w:sz="4" w:space="0" w:color="auto"/>
              <w:bottom w:val="single" w:sz="4" w:space="0" w:color="auto"/>
              <w:right w:val="single" w:sz="4" w:space="0" w:color="auto"/>
            </w:tcBorders>
            <w:shd w:val="clear" w:color="auto" w:fill="FFFFFF"/>
            <w:vAlign w:val="center"/>
            <w:hideMark/>
          </w:tcPr>
          <w:p w14:paraId="27E070E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139" w:type="dxa"/>
            <w:vMerge/>
            <w:tcBorders>
              <w:top w:val="nil"/>
              <w:left w:val="single" w:sz="4" w:space="0" w:color="auto"/>
              <w:bottom w:val="single" w:sz="4" w:space="0" w:color="000000"/>
              <w:right w:val="single" w:sz="4" w:space="0" w:color="auto"/>
            </w:tcBorders>
            <w:shd w:val="clear" w:color="auto" w:fill="FFFFFF"/>
            <w:vAlign w:val="center"/>
            <w:hideMark/>
          </w:tcPr>
          <w:p w14:paraId="6858A1D0"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1227" w:type="dxa"/>
            <w:tcBorders>
              <w:top w:val="single" w:sz="4" w:space="0" w:color="auto"/>
              <w:left w:val="single" w:sz="4" w:space="0" w:color="auto"/>
              <w:bottom w:val="single" w:sz="4" w:space="0" w:color="auto"/>
              <w:right w:val="single" w:sz="4" w:space="0" w:color="000000"/>
            </w:tcBorders>
            <w:shd w:val="clear" w:color="auto" w:fill="FFFFFF"/>
            <w:vAlign w:val="center"/>
            <w:hideMark/>
          </w:tcPr>
          <w:p w14:paraId="2B449C7A"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Persons per housing unit (inverse)</w:t>
            </w:r>
          </w:p>
        </w:tc>
        <w:tc>
          <w:tcPr>
            <w:tcW w:w="1227" w:type="dxa"/>
            <w:tcBorders>
              <w:top w:val="single" w:sz="4" w:space="0" w:color="auto"/>
              <w:left w:val="single" w:sz="4" w:space="0" w:color="auto"/>
              <w:bottom w:val="single" w:sz="4" w:space="0" w:color="auto"/>
              <w:right w:val="single" w:sz="4" w:space="0" w:color="000000"/>
            </w:tcBorders>
            <w:shd w:val="clear" w:color="auto" w:fill="FFFFFF"/>
            <w:vAlign w:val="center"/>
          </w:tcPr>
          <w:p w14:paraId="0233CE17"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Centre of Iran</w:t>
            </w:r>
          </w:p>
        </w:tc>
        <w:tc>
          <w:tcPr>
            <w:tcW w:w="1840" w:type="dxa"/>
            <w:tcBorders>
              <w:top w:val="single" w:sz="4" w:space="0" w:color="auto"/>
              <w:left w:val="single" w:sz="4" w:space="0" w:color="auto"/>
              <w:bottom w:val="single" w:sz="4" w:space="0" w:color="auto"/>
              <w:right w:val="single" w:sz="4" w:space="0" w:color="000000"/>
            </w:tcBorders>
            <w:shd w:val="clear" w:color="auto" w:fill="FFFFFF"/>
            <w:vAlign w:val="center"/>
          </w:tcPr>
          <w:p w14:paraId="1875ECB3"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people living in each residential unit</w:t>
            </w:r>
          </w:p>
        </w:tc>
        <w:tc>
          <w:tcPr>
            <w:tcW w:w="939" w:type="dxa"/>
            <w:tcBorders>
              <w:top w:val="single" w:sz="4" w:space="0" w:color="auto"/>
              <w:left w:val="single" w:sz="4" w:space="0" w:color="auto"/>
              <w:bottom w:val="single" w:sz="4" w:space="0" w:color="auto"/>
              <w:right w:val="single" w:sz="4" w:space="0" w:color="000000"/>
            </w:tcBorders>
            <w:shd w:val="clear" w:color="auto" w:fill="FFFFFF"/>
            <w:vAlign w:val="center"/>
          </w:tcPr>
          <w:p w14:paraId="7F06462C"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People per a residential unit</w:t>
            </w:r>
          </w:p>
        </w:tc>
      </w:tr>
      <w:tr w:rsidR="00A90805" w:rsidRPr="000C5A65" w14:paraId="0BA0D2D0" w14:textId="77777777" w:rsidTr="000C5A65">
        <w:trPr>
          <w:trHeight w:val="516"/>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03BE3F"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71A6663A"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hAnsiTheme="majorBidi" w:cstheme="majorBidi"/>
                <w:b/>
                <w:bCs/>
                <w:sz w:val="16"/>
                <w:szCs w:val="16"/>
              </w:rPr>
              <w:t>Public spaces</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17ACBC4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Neighborhoods</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58BFB75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characteristics of neighborhoods and open spaces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9BD1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playability of open spaces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1B0789C0"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B3C4A4B"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local playgrounds per 5,000 people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2FAD3EC"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per 5,000 people</w:t>
            </w:r>
          </w:p>
        </w:tc>
      </w:tr>
      <w:tr w:rsidR="00A90805" w:rsidRPr="000C5A65" w14:paraId="1B96E3D1" w14:textId="77777777" w:rsidTr="000C5A65">
        <w:trPr>
          <w:trHeight w:val="576"/>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C43361"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08F3E47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0F903CA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Collective spaces</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2B7314C7"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Public uses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F0EEC8"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level of access to public uses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4E055C5A"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3EB4BF8A"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The number of bus stops/the area of the city</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3724D89E"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Number (hectares)</w:t>
            </w:r>
          </w:p>
        </w:tc>
      </w:tr>
      <w:tr w:rsidR="00A90805" w:rsidRPr="000C5A65" w14:paraId="15525D47" w14:textId="77777777" w:rsidTr="000C5A65">
        <w:trPr>
          <w:trHeight w:val="66"/>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AE882B"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val="restart"/>
            <w:tcBorders>
              <w:top w:val="nil"/>
              <w:left w:val="single" w:sz="4" w:space="0" w:color="auto"/>
              <w:bottom w:val="single" w:sz="4" w:space="0" w:color="auto"/>
              <w:right w:val="single" w:sz="4" w:space="0" w:color="auto"/>
            </w:tcBorders>
            <w:shd w:val="clear" w:color="auto" w:fill="FFFFFF"/>
            <w:vAlign w:val="center"/>
            <w:hideMark/>
          </w:tcPr>
          <w:p w14:paraId="70AA98C8" w14:textId="77777777" w:rsidR="00A90805" w:rsidRPr="000C5A65" w:rsidRDefault="00A90805" w:rsidP="00A90805">
            <w:pPr>
              <w:spacing w:after="0" w:line="240" w:lineRule="auto"/>
              <w:jc w:val="center"/>
              <w:rPr>
                <w:rFonts w:asciiTheme="majorBidi" w:eastAsia="Times New Roman" w:hAnsiTheme="majorBidi" w:cstheme="majorBidi"/>
                <w:b/>
                <w:bCs/>
                <w:sz w:val="16"/>
                <w:szCs w:val="16"/>
                <w:rtl/>
              </w:rPr>
            </w:pPr>
            <w:r w:rsidRPr="000C5A65">
              <w:rPr>
                <w:rFonts w:asciiTheme="majorBidi" w:eastAsia="Times New Roman" w:hAnsiTheme="majorBidi" w:cstheme="majorBidi"/>
                <w:b/>
                <w:bCs/>
                <w:sz w:val="16"/>
                <w:szCs w:val="16"/>
              </w:rPr>
              <w:t>Resilience</w:t>
            </w: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5BB4359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Safety from accidents</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2B785199"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Safety from accidents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F2476"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The number of home fire incidents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2886A074"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FC656F5" w14:textId="77777777" w:rsidR="00A90805" w:rsidRPr="000C5A65" w:rsidRDefault="00A90805" w:rsidP="00A90805">
            <w:pPr>
              <w:spacing w:after="0"/>
              <w:jc w:val="center"/>
              <w:rPr>
                <w:rFonts w:asciiTheme="majorBidi" w:hAnsiTheme="majorBidi" w:cstheme="majorBidi"/>
                <w:sz w:val="16"/>
                <w:szCs w:val="16"/>
                <w:rtl/>
              </w:rPr>
            </w:pPr>
            <w:r w:rsidRPr="000C5A65">
              <w:rPr>
                <w:rFonts w:asciiTheme="majorBidi" w:hAnsiTheme="majorBidi" w:cstheme="majorBidi"/>
                <w:sz w:val="16"/>
                <w:szCs w:val="16"/>
              </w:rPr>
              <w:t>Home fire incidents / total incidents during the year (inverse)</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0702E686"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w:t>
            </w:r>
          </w:p>
        </w:tc>
      </w:tr>
      <w:tr w:rsidR="00A90805" w:rsidRPr="000C5A65" w14:paraId="02C5E73F" w14:textId="77777777" w:rsidTr="000C5A65">
        <w:trPr>
          <w:trHeight w:val="363"/>
          <w:jc w:val="center"/>
        </w:trPr>
        <w:tc>
          <w:tcPr>
            <w:tcW w:w="49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D121EC"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89" w:type="dxa"/>
            <w:vMerge/>
            <w:tcBorders>
              <w:top w:val="nil"/>
              <w:left w:val="single" w:sz="4" w:space="0" w:color="auto"/>
              <w:bottom w:val="single" w:sz="4" w:space="0" w:color="auto"/>
              <w:right w:val="single" w:sz="4" w:space="0" w:color="auto"/>
            </w:tcBorders>
            <w:shd w:val="clear" w:color="auto" w:fill="FFFFFF"/>
            <w:vAlign w:val="center"/>
            <w:hideMark/>
          </w:tcPr>
          <w:p w14:paraId="590F05E4"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p>
        </w:tc>
        <w:tc>
          <w:tcPr>
            <w:tcW w:w="964" w:type="dxa"/>
            <w:tcBorders>
              <w:top w:val="nil"/>
              <w:left w:val="single" w:sz="4" w:space="0" w:color="auto"/>
              <w:bottom w:val="single" w:sz="4" w:space="0" w:color="auto"/>
              <w:right w:val="single" w:sz="4" w:space="0" w:color="auto"/>
            </w:tcBorders>
            <w:shd w:val="clear" w:color="auto" w:fill="FFFFFF"/>
            <w:vAlign w:val="center"/>
            <w:hideMark/>
          </w:tcPr>
          <w:p w14:paraId="3061EDA5" w14:textId="77777777" w:rsidR="00A90805" w:rsidRPr="000C5A65" w:rsidRDefault="00A90805" w:rsidP="00A90805">
            <w:pPr>
              <w:spacing w:after="0" w:line="240" w:lineRule="auto"/>
              <w:jc w:val="center"/>
              <w:rPr>
                <w:rFonts w:asciiTheme="majorBidi" w:eastAsia="Times New Roman" w:hAnsiTheme="majorBidi" w:cstheme="majorBidi"/>
                <w:sz w:val="16"/>
                <w:szCs w:val="16"/>
                <w:rtl/>
              </w:rPr>
            </w:pPr>
            <w:r w:rsidRPr="000C5A65">
              <w:rPr>
                <w:rFonts w:asciiTheme="majorBidi" w:eastAsia="Times New Roman" w:hAnsiTheme="majorBidi" w:cstheme="majorBidi"/>
                <w:sz w:val="16"/>
                <w:szCs w:val="16"/>
              </w:rPr>
              <w:t>Crisis management</w:t>
            </w:r>
          </w:p>
        </w:tc>
        <w:tc>
          <w:tcPr>
            <w:tcW w:w="1139" w:type="dxa"/>
            <w:tcBorders>
              <w:top w:val="nil"/>
              <w:left w:val="single" w:sz="4" w:space="0" w:color="auto"/>
              <w:bottom w:val="single" w:sz="4" w:space="0" w:color="auto"/>
              <w:right w:val="single" w:sz="4" w:space="0" w:color="auto"/>
            </w:tcBorders>
            <w:shd w:val="clear" w:color="auto" w:fill="FFFFFF"/>
            <w:vAlign w:val="center"/>
            <w:hideMark/>
          </w:tcPr>
          <w:p w14:paraId="37E6A969"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Crisis management</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FDEC26"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The number of firefighters</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14:paraId="765940D2" w14:textId="77777777" w:rsidR="00A90805" w:rsidRPr="000C5A65" w:rsidRDefault="00A90805" w:rsidP="00A90805">
            <w:pPr>
              <w:spacing w:after="0" w:line="240" w:lineRule="auto"/>
              <w:jc w:val="center"/>
              <w:rPr>
                <w:rFonts w:asciiTheme="majorBidi" w:eastAsia="Times New Roman" w:hAnsiTheme="majorBidi" w:cstheme="majorBidi"/>
                <w:sz w:val="16"/>
                <w:szCs w:val="16"/>
              </w:rPr>
            </w:pPr>
            <w:r w:rsidRPr="000C5A65">
              <w:rPr>
                <w:rFonts w:asciiTheme="majorBidi" w:eastAsia="Times New Roman" w:hAnsiTheme="majorBidi" w:cstheme="majorBidi"/>
                <w:sz w:val="16"/>
                <w:szCs w:val="16"/>
              </w:rPr>
              <w:t>Statistical yearbook</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918C261"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The number of firefighters/city's population</w:t>
            </w:r>
          </w:p>
        </w:tc>
        <w:tc>
          <w:tcPr>
            <w:tcW w:w="939" w:type="dxa"/>
            <w:tcBorders>
              <w:top w:val="single" w:sz="4" w:space="0" w:color="auto"/>
              <w:left w:val="single" w:sz="4" w:space="0" w:color="auto"/>
              <w:bottom w:val="single" w:sz="4" w:space="0" w:color="auto"/>
              <w:right w:val="single" w:sz="4" w:space="0" w:color="auto"/>
            </w:tcBorders>
            <w:shd w:val="clear" w:color="auto" w:fill="FFFFFF"/>
            <w:vAlign w:val="center"/>
          </w:tcPr>
          <w:p w14:paraId="25E5FA73" w14:textId="77777777" w:rsidR="00A90805" w:rsidRPr="000C5A65" w:rsidRDefault="00A90805" w:rsidP="00A90805">
            <w:pPr>
              <w:spacing w:after="0"/>
              <w:jc w:val="center"/>
              <w:rPr>
                <w:rFonts w:asciiTheme="majorBidi" w:hAnsiTheme="majorBidi" w:cstheme="majorBidi"/>
                <w:sz w:val="16"/>
                <w:szCs w:val="16"/>
              </w:rPr>
            </w:pPr>
            <w:r w:rsidRPr="000C5A65">
              <w:rPr>
                <w:rFonts w:asciiTheme="majorBidi" w:hAnsiTheme="majorBidi" w:cstheme="majorBidi"/>
                <w:sz w:val="16"/>
                <w:szCs w:val="16"/>
              </w:rPr>
              <w:t>Number (in person)</w:t>
            </w:r>
          </w:p>
        </w:tc>
      </w:tr>
    </w:tbl>
    <w:p w14:paraId="7D450AB7" w14:textId="77777777" w:rsidR="00A90805" w:rsidRPr="006B752A" w:rsidRDefault="00A90805" w:rsidP="00A90805">
      <w:pPr>
        <w:bidi w:val="0"/>
        <w:jc w:val="lowKashida"/>
        <w:rPr>
          <w:rFonts w:asciiTheme="majorBidi" w:hAnsiTheme="majorBidi" w:cstheme="majorBidi"/>
          <w:sz w:val="24"/>
          <w:szCs w:val="24"/>
        </w:rPr>
      </w:pPr>
    </w:p>
    <w:p w14:paraId="5CB8FC7A"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4.3- </w:t>
      </w:r>
      <w:r w:rsidR="00A90805" w:rsidRPr="006B752A">
        <w:rPr>
          <w:rFonts w:asciiTheme="majorBidi" w:hAnsiTheme="majorBidi" w:cstheme="majorBidi"/>
          <w:b/>
          <w:bCs/>
          <w:sz w:val="24"/>
          <w:szCs w:val="24"/>
        </w:rPr>
        <w:t xml:space="preserve">Research </w:t>
      </w:r>
      <w:r w:rsidR="00C94042" w:rsidRPr="006B752A">
        <w:rPr>
          <w:rFonts w:asciiTheme="majorBidi" w:hAnsiTheme="majorBidi" w:cstheme="majorBidi"/>
          <w:b/>
          <w:bCs/>
          <w:sz w:val="24"/>
          <w:szCs w:val="24"/>
        </w:rPr>
        <w:t>Process</w:t>
      </w:r>
      <w:r w:rsidR="00A90805" w:rsidRPr="006B752A">
        <w:rPr>
          <w:rFonts w:asciiTheme="majorBidi" w:hAnsiTheme="majorBidi" w:cstheme="majorBidi"/>
          <w:b/>
          <w:bCs/>
          <w:sz w:val="24"/>
          <w:szCs w:val="24"/>
        </w:rPr>
        <w:t xml:space="preserve">: Step 2 </w:t>
      </w:r>
    </w:p>
    <w:p w14:paraId="3FBAB7C0" w14:textId="77777777" w:rsidR="00A90805" w:rsidRPr="006B752A"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After determining the components and indicators of city ranking, their operational definitions, and the sources related to each of the required data, in this step, cities were ranked using the extracted indicators.</w:t>
      </w:r>
    </w:p>
    <w:p w14:paraId="79281C02"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4.4- </w:t>
      </w:r>
      <w:r w:rsidR="00A90805" w:rsidRPr="006B752A">
        <w:rPr>
          <w:rFonts w:asciiTheme="majorBidi" w:hAnsiTheme="majorBidi" w:cstheme="majorBidi"/>
          <w:b/>
          <w:bCs/>
          <w:sz w:val="24"/>
          <w:szCs w:val="24"/>
        </w:rPr>
        <w:t xml:space="preserve">Ranking of </w:t>
      </w:r>
      <w:r w:rsidR="00C94042" w:rsidRPr="006B752A">
        <w:rPr>
          <w:rFonts w:asciiTheme="majorBidi" w:hAnsiTheme="majorBidi" w:cstheme="majorBidi"/>
          <w:b/>
          <w:bCs/>
          <w:sz w:val="24"/>
          <w:szCs w:val="24"/>
        </w:rPr>
        <w:t xml:space="preserve">Cities </w:t>
      </w:r>
      <w:r w:rsidR="00A90805" w:rsidRPr="006B752A">
        <w:rPr>
          <w:rFonts w:asciiTheme="majorBidi" w:hAnsiTheme="majorBidi" w:cstheme="majorBidi"/>
          <w:b/>
          <w:bCs/>
          <w:sz w:val="24"/>
          <w:szCs w:val="24"/>
        </w:rPr>
        <w:t xml:space="preserve">in </w:t>
      </w:r>
      <w:r w:rsidR="00C94042" w:rsidRPr="006B752A">
        <w:rPr>
          <w:rFonts w:asciiTheme="majorBidi" w:hAnsiTheme="majorBidi" w:cstheme="majorBidi"/>
          <w:b/>
          <w:bCs/>
          <w:sz w:val="24"/>
          <w:szCs w:val="24"/>
        </w:rPr>
        <w:t xml:space="preserve">Terms </w:t>
      </w:r>
      <w:r w:rsidR="00A90805" w:rsidRPr="006B752A">
        <w:rPr>
          <w:rFonts w:asciiTheme="majorBidi" w:hAnsiTheme="majorBidi" w:cstheme="majorBidi"/>
          <w:b/>
          <w:bCs/>
          <w:sz w:val="24"/>
          <w:szCs w:val="24"/>
        </w:rPr>
        <w:t xml:space="preserve">of the </w:t>
      </w:r>
      <w:r w:rsidR="00C94042" w:rsidRPr="006B752A">
        <w:rPr>
          <w:rFonts w:asciiTheme="majorBidi" w:hAnsiTheme="majorBidi" w:cstheme="majorBidi"/>
          <w:b/>
          <w:bCs/>
          <w:sz w:val="24"/>
          <w:szCs w:val="24"/>
        </w:rPr>
        <w:t xml:space="preserve">Intellectual-Ideological Aspect </w:t>
      </w:r>
      <w:r w:rsidR="00A90805" w:rsidRPr="006B752A">
        <w:rPr>
          <w:rFonts w:asciiTheme="majorBidi" w:hAnsiTheme="majorBidi" w:cstheme="majorBidi"/>
          <w:b/>
          <w:bCs/>
          <w:sz w:val="24"/>
          <w:szCs w:val="24"/>
        </w:rPr>
        <w:t xml:space="preserve">of Iranian Muslim </w:t>
      </w:r>
      <w:r w:rsidR="00C94042" w:rsidRPr="006B752A">
        <w:rPr>
          <w:rFonts w:asciiTheme="majorBidi" w:hAnsiTheme="majorBidi" w:cstheme="majorBidi"/>
          <w:b/>
          <w:bCs/>
          <w:sz w:val="24"/>
          <w:szCs w:val="24"/>
        </w:rPr>
        <w:t>Citizens</w:t>
      </w:r>
    </w:p>
    <w:p w14:paraId="12C78213" w14:textId="77777777" w:rsidR="00A90805" w:rsidRPr="006B752A"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The results of the TOPSIS technique for the 13 indicators of the "intellectual-ideological aspect of Iranian Muslim citizens" pillar show that Yazd Metropolis rank</w:t>
      </w:r>
      <w:r>
        <w:rPr>
          <w:rFonts w:asciiTheme="majorBidi" w:hAnsiTheme="majorBidi" w:cstheme="majorBidi"/>
          <w:sz w:val="24"/>
          <w:szCs w:val="24"/>
        </w:rPr>
        <w:t>ed</w:t>
      </w:r>
      <w:r w:rsidRPr="006B752A">
        <w:rPr>
          <w:rFonts w:asciiTheme="majorBidi" w:hAnsiTheme="majorBidi" w:cstheme="majorBidi"/>
          <w:sz w:val="24"/>
          <w:szCs w:val="24"/>
        </w:rPr>
        <w:t xml:space="preserve"> first, followed by Rasht, Qom, and Tabriz metropolises with a very small difference between them, respectively. Also, Karaj and Tehran metropolises obtained the last ranks, respectively. Table (3) shows the results.</w:t>
      </w:r>
    </w:p>
    <w:p w14:paraId="0AD5C46F" w14:textId="77777777" w:rsidR="00A90805" w:rsidRPr="00A90805" w:rsidRDefault="00A90805" w:rsidP="00A90805">
      <w:pPr>
        <w:bidi w:val="0"/>
        <w:jc w:val="lowKashida"/>
        <w:rPr>
          <w:rFonts w:asciiTheme="majorBidi" w:hAnsiTheme="majorBidi" w:cstheme="majorBidi"/>
          <w:sz w:val="18"/>
          <w:szCs w:val="18"/>
        </w:rPr>
      </w:pPr>
      <w:r w:rsidRPr="004A7F3E">
        <w:rPr>
          <w:rFonts w:asciiTheme="majorBidi" w:hAnsiTheme="majorBidi" w:cstheme="majorBidi"/>
          <w:sz w:val="18"/>
          <w:szCs w:val="18"/>
          <w:highlight w:val="yellow"/>
        </w:rPr>
        <w:t>Table (3). The constitutive indicators of the "intellectual-ideological aspect of the Iranian Muslim citizen" pillar</w:t>
      </w:r>
    </w:p>
    <w:tbl>
      <w:tblPr>
        <w:bidiVisual/>
        <w:tblW w:w="9048" w:type="dxa"/>
        <w:jc w:val="center"/>
        <w:tblCellMar>
          <w:left w:w="0" w:type="dxa"/>
          <w:right w:w="0" w:type="dxa"/>
        </w:tblCellMar>
        <w:tblLook w:val="0600" w:firstRow="0" w:lastRow="0" w:firstColumn="0" w:lastColumn="0" w:noHBand="1" w:noVBand="1"/>
      </w:tblPr>
      <w:tblGrid>
        <w:gridCol w:w="919"/>
        <w:gridCol w:w="626"/>
        <w:gridCol w:w="513"/>
        <w:gridCol w:w="428"/>
        <w:gridCol w:w="152"/>
        <w:gridCol w:w="334"/>
        <w:gridCol w:w="532"/>
        <w:gridCol w:w="644"/>
        <w:gridCol w:w="600"/>
        <w:gridCol w:w="960"/>
        <w:gridCol w:w="586"/>
        <w:gridCol w:w="626"/>
        <w:gridCol w:w="565"/>
        <w:gridCol w:w="608"/>
        <w:gridCol w:w="955"/>
      </w:tblGrid>
      <w:tr w:rsidR="00E57A3A" w:rsidRPr="001F6B66" w14:paraId="7F7F0D3C" w14:textId="77777777" w:rsidTr="00E57A3A">
        <w:trPr>
          <w:trHeight w:val="383"/>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D8C46" w14:textId="77777777" w:rsidR="00A90805" w:rsidRPr="00430D73" w:rsidRDefault="00A90805" w:rsidP="00A90805">
            <w:pPr>
              <w:bidi w:val="0"/>
              <w:jc w:val="center"/>
              <w:rPr>
                <w:rFonts w:asciiTheme="majorBidi" w:hAnsiTheme="majorBidi" w:cstheme="majorBidi"/>
                <w:b/>
                <w:bCs/>
                <w:sz w:val="16"/>
                <w:szCs w:val="16"/>
                <w:rtl/>
              </w:rPr>
            </w:pPr>
            <w:commentRangeStart w:id="2"/>
            <w:r w:rsidRPr="00430D73">
              <w:rPr>
                <w:rFonts w:asciiTheme="majorBidi" w:hAnsiTheme="majorBidi" w:cstheme="majorBidi"/>
                <w:b/>
                <w:bCs/>
                <w:sz w:val="16"/>
                <w:szCs w:val="16"/>
              </w:rPr>
              <w:lastRenderedPageBreak/>
              <w:t>Description</w:t>
            </w:r>
          </w:p>
        </w:tc>
        <w:tc>
          <w:tcPr>
            <w:tcW w:w="323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B2AE0"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tl/>
              </w:rPr>
            </w:pPr>
            <w:r w:rsidRPr="00430D73">
              <w:rPr>
                <w:rFonts w:asciiTheme="majorBidi" w:hAnsiTheme="majorBidi" w:cstheme="majorBidi"/>
                <w:b/>
                <w:bCs/>
                <w:sz w:val="16"/>
                <w:szCs w:val="16"/>
              </w:rPr>
              <w:t xml:space="preserve">Admonishing and </w:t>
            </w:r>
            <w:r w:rsidR="00DB003A" w:rsidRPr="00430D73">
              <w:rPr>
                <w:rFonts w:asciiTheme="majorBidi" w:hAnsiTheme="majorBidi" w:cstheme="majorBidi"/>
                <w:b/>
                <w:bCs/>
                <w:sz w:val="16"/>
                <w:szCs w:val="16"/>
              </w:rPr>
              <w:t>Awareness</w:t>
            </w:r>
            <w:r w:rsidRPr="00430D73">
              <w:rPr>
                <w:rFonts w:asciiTheme="majorBidi" w:hAnsiTheme="majorBidi" w:cstheme="majorBidi"/>
                <w:b/>
                <w:bCs/>
                <w:sz w:val="16"/>
                <w:szCs w:val="16"/>
              </w:rPr>
              <w:t xml:space="preserve">-raising, </w:t>
            </w:r>
            <w:r w:rsidR="00DB003A" w:rsidRPr="00430D73">
              <w:rPr>
                <w:rFonts w:asciiTheme="majorBidi" w:hAnsiTheme="majorBidi" w:cstheme="majorBidi"/>
                <w:b/>
                <w:bCs/>
                <w:sz w:val="16"/>
                <w:szCs w:val="16"/>
              </w:rPr>
              <w:t>Explanation Jihad</w:t>
            </w:r>
          </w:p>
        </w:tc>
        <w:tc>
          <w:tcPr>
            <w:tcW w:w="277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8BE39"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Pr>
            </w:pPr>
            <w:r w:rsidRPr="00430D73">
              <w:rPr>
                <w:rFonts w:asciiTheme="majorBidi" w:hAnsiTheme="majorBidi" w:cstheme="majorBidi"/>
                <w:b/>
                <w:bCs/>
                <w:sz w:val="16"/>
                <w:szCs w:val="16"/>
              </w:rPr>
              <w:t xml:space="preserve">Spirituality and </w:t>
            </w:r>
            <w:r w:rsidR="00DB003A" w:rsidRPr="00430D73">
              <w:rPr>
                <w:rFonts w:asciiTheme="majorBidi" w:hAnsiTheme="majorBidi" w:cstheme="majorBidi"/>
                <w:b/>
                <w:bCs/>
                <w:sz w:val="16"/>
                <w:szCs w:val="16"/>
              </w:rPr>
              <w:t>Ethics</w:t>
            </w:r>
          </w:p>
        </w:tc>
        <w:tc>
          <w:tcPr>
            <w:tcW w:w="212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66B4B"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tl/>
              </w:rPr>
            </w:pPr>
            <w:r w:rsidRPr="00430D73">
              <w:rPr>
                <w:rFonts w:asciiTheme="majorBidi" w:eastAsia="Times New Roman" w:hAnsiTheme="majorBidi" w:cstheme="majorBidi"/>
                <w:b/>
                <w:bCs/>
                <w:color w:val="000000"/>
                <w:sz w:val="16"/>
                <w:szCs w:val="16"/>
              </w:rPr>
              <w:t xml:space="preserve">Scientific </w:t>
            </w:r>
            <w:r w:rsidR="00DB003A" w:rsidRPr="00430D73">
              <w:rPr>
                <w:rFonts w:asciiTheme="majorBidi" w:eastAsia="Times New Roman" w:hAnsiTheme="majorBidi" w:cstheme="majorBidi"/>
                <w:b/>
                <w:bCs/>
                <w:color w:val="000000"/>
                <w:sz w:val="16"/>
                <w:szCs w:val="16"/>
              </w:rPr>
              <w:t>Jihad</w:t>
            </w:r>
          </w:p>
        </w:tc>
      </w:tr>
      <w:tr w:rsidR="00DB003A" w:rsidRPr="001F6B66" w14:paraId="709D235A" w14:textId="77777777" w:rsidTr="00E57A3A">
        <w:trPr>
          <w:trHeight w:val="38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BB3B4" w14:textId="77777777" w:rsidR="00A90805" w:rsidRPr="001F6B66" w:rsidRDefault="00A90805" w:rsidP="00A90805">
            <w:pPr>
              <w:bidi w:val="0"/>
              <w:jc w:val="center"/>
              <w:rPr>
                <w:rFonts w:asciiTheme="majorBidi" w:hAnsiTheme="majorBidi" w:cstheme="majorBidi"/>
                <w:sz w:val="16"/>
                <w:szCs w:val="16"/>
              </w:rPr>
            </w:pPr>
          </w:p>
        </w:tc>
        <w:tc>
          <w:tcPr>
            <w:tcW w:w="3230"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9D270"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tl/>
              </w:rPr>
            </w:pPr>
            <w:r w:rsidRPr="00430D73">
              <w:rPr>
                <w:rFonts w:asciiTheme="majorBidi" w:eastAsia="Times New Roman" w:hAnsiTheme="majorBidi" w:cstheme="majorBidi"/>
                <w:b/>
                <w:bCs/>
                <w:color w:val="000000"/>
                <w:sz w:val="16"/>
                <w:szCs w:val="16"/>
              </w:rPr>
              <w:t xml:space="preserve">Social and </w:t>
            </w:r>
            <w:r w:rsidR="00DB003A" w:rsidRPr="00430D73">
              <w:rPr>
                <w:rFonts w:asciiTheme="majorBidi" w:eastAsia="Times New Roman" w:hAnsiTheme="majorBidi" w:cstheme="majorBidi"/>
                <w:b/>
                <w:bCs/>
                <w:color w:val="000000"/>
                <w:sz w:val="16"/>
                <w:szCs w:val="16"/>
              </w:rPr>
              <w:t xml:space="preserve">Political Awareness </w:t>
            </w:r>
            <w:r w:rsidRPr="00430D73">
              <w:rPr>
                <w:rFonts w:asciiTheme="majorBidi" w:eastAsia="Times New Roman" w:hAnsiTheme="majorBidi" w:cstheme="majorBidi"/>
                <w:b/>
                <w:bCs/>
                <w:color w:val="000000"/>
                <w:sz w:val="16"/>
                <w:szCs w:val="16"/>
              </w:rPr>
              <w:t xml:space="preserve">of </w:t>
            </w:r>
            <w:r w:rsidR="00DB003A" w:rsidRPr="00430D73">
              <w:rPr>
                <w:rFonts w:asciiTheme="majorBidi" w:eastAsia="Times New Roman" w:hAnsiTheme="majorBidi" w:cstheme="majorBidi"/>
                <w:b/>
                <w:bCs/>
                <w:color w:val="000000"/>
                <w:sz w:val="16"/>
                <w:szCs w:val="16"/>
              </w:rPr>
              <w:t>Citizens</w:t>
            </w:r>
          </w:p>
        </w:tc>
        <w:tc>
          <w:tcPr>
            <w:tcW w:w="214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AE88E"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Pr>
            </w:pPr>
            <w:r w:rsidRPr="00430D73">
              <w:rPr>
                <w:rFonts w:asciiTheme="majorBidi" w:eastAsia="Times New Roman" w:hAnsiTheme="majorBidi" w:cstheme="majorBidi"/>
                <w:b/>
                <w:bCs/>
                <w:color w:val="000000"/>
                <w:sz w:val="16"/>
                <w:szCs w:val="16"/>
              </w:rPr>
              <w:t xml:space="preserve">Culture of </w:t>
            </w:r>
            <w:r w:rsidR="00DB003A" w:rsidRPr="00430D73">
              <w:rPr>
                <w:rFonts w:asciiTheme="majorBidi" w:eastAsia="Times New Roman" w:hAnsiTheme="majorBidi" w:cstheme="majorBidi"/>
                <w:b/>
                <w:bCs/>
                <w:color w:val="000000"/>
                <w:sz w:val="16"/>
                <w:szCs w:val="16"/>
              </w:rPr>
              <w:t xml:space="preserve">Abnegation </w:t>
            </w:r>
            <w:r w:rsidRPr="00430D73">
              <w:rPr>
                <w:rFonts w:asciiTheme="majorBidi" w:eastAsia="Times New Roman" w:hAnsiTheme="majorBidi" w:cstheme="majorBidi"/>
                <w:b/>
                <w:bCs/>
                <w:color w:val="000000"/>
                <w:sz w:val="16"/>
                <w:szCs w:val="16"/>
              </w:rPr>
              <w:t xml:space="preserve">and </w:t>
            </w:r>
            <w:r w:rsidR="00DB003A" w:rsidRPr="00430D73">
              <w:rPr>
                <w:rFonts w:asciiTheme="majorBidi" w:eastAsia="Times New Roman" w:hAnsiTheme="majorBidi" w:cstheme="majorBidi"/>
                <w:b/>
                <w:bCs/>
                <w:color w:val="000000"/>
                <w:sz w:val="16"/>
                <w:szCs w:val="16"/>
              </w:rPr>
              <w:t>Self</w:t>
            </w:r>
            <w:r w:rsidRPr="00430D73">
              <w:rPr>
                <w:rFonts w:asciiTheme="majorBidi" w:eastAsia="Times New Roman" w:hAnsiTheme="majorBidi" w:cstheme="majorBidi"/>
                <w:b/>
                <w:bCs/>
                <w:color w:val="000000"/>
                <w:sz w:val="16"/>
                <w:szCs w:val="16"/>
              </w:rPr>
              <w:t>-sacrifice</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86F92"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tl/>
              </w:rPr>
            </w:pPr>
            <w:r w:rsidRPr="00430D73">
              <w:rPr>
                <w:rFonts w:asciiTheme="majorBidi" w:eastAsia="Times New Roman" w:hAnsiTheme="majorBidi" w:cstheme="majorBidi"/>
                <w:b/>
                <w:bCs/>
                <w:color w:val="000000"/>
                <w:sz w:val="16"/>
                <w:szCs w:val="16"/>
              </w:rPr>
              <w:t xml:space="preserve">Islamic </w:t>
            </w:r>
            <w:r w:rsidR="00DB003A" w:rsidRPr="00430D73">
              <w:rPr>
                <w:rFonts w:asciiTheme="majorBidi" w:eastAsia="Times New Roman" w:hAnsiTheme="majorBidi" w:cstheme="majorBidi"/>
                <w:b/>
                <w:bCs/>
                <w:color w:val="000000"/>
                <w:sz w:val="16"/>
                <w:szCs w:val="16"/>
              </w:rPr>
              <w:t>Art</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D01AA"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Pr>
            </w:pPr>
            <w:r w:rsidRPr="00430D73">
              <w:rPr>
                <w:rFonts w:asciiTheme="majorBidi" w:eastAsia="Times New Roman" w:hAnsiTheme="majorBidi" w:cstheme="majorBidi"/>
                <w:b/>
                <w:bCs/>
                <w:color w:val="000000"/>
                <w:sz w:val="16"/>
                <w:szCs w:val="16"/>
              </w:rPr>
              <w:t xml:space="preserve">Education and </w:t>
            </w:r>
            <w:r w:rsidR="00DB003A" w:rsidRPr="00430D73">
              <w:rPr>
                <w:rFonts w:asciiTheme="majorBidi" w:eastAsia="Times New Roman" w:hAnsiTheme="majorBidi" w:cstheme="majorBidi"/>
                <w:b/>
                <w:bCs/>
                <w:color w:val="000000"/>
                <w:sz w:val="16"/>
                <w:szCs w:val="16"/>
              </w:rPr>
              <w:t>Training</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5B77E" w14:textId="77777777" w:rsidR="00A90805" w:rsidRPr="00430D73" w:rsidRDefault="00A90805" w:rsidP="00A90805">
            <w:pPr>
              <w:bidi w:val="0"/>
              <w:spacing w:after="0" w:line="240" w:lineRule="auto"/>
              <w:jc w:val="center"/>
              <w:rPr>
                <w:rFonts w:asciiTheme="majorBidi" w:eastAsia="Times New Roman" w:hAnsiTheme="majorBidi" w:cstheme="majorBidi"/>
                <w:b/>
                <w:bCs/>
                <w:color w:val="000000"/>
                <w:sz w:val="16"/>
                <w:szCs w:val="16"/>
              </w:rPr>
            </w:pPr>
            <w:r w:rsidRPr="00430D73">
              <w:rPr>
                <w:rFonts w:asciiTheme="majorBidi" w:eastAsia="Times New Roman" w:hAnsiTheme="majorBidi" w:cstheme="majorBidi"/>
                <w:b/>
                <w:bCs/>
                <w:color w:val="000000"/>
                <w:sz w:val="16"/>
                <w:szCs w:val="16"/>
              </w:rPr>
              <w:t>Research</w:t>
            </w:r>
          </w:p>
        </w:tc>
      </w:tr>
      <w:tr w:rsidR="00DB003A" w:rsidRPr="001F6B66" w14:paraId="1C22C5A7" w14:textId="77777777" w:rsidTr="00E57A3A">
        <w:trPr>
          <w:cantSplit/>
          <w:trHeight w:val="99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237F1" w14:textId="77777777" w:rsidR="00A90805" w:rsidRPr="001F6B66" w:rsidRDefault="00A90805" w:rsidP="00A90805">
            <w:pPr>
              <w:bidi w:val="0"/>
              <w:jc w:val="center"/>
              <w:rPr>
                <w:rFonts w:asciiTheme="majorBidi" w:hAnsiTheme="majorBidi" w:cstheme="majorBidi"/>
                <w:sz w:val="16"/>
                <w:szCs w:val="16"/>
              </w:rPr>
            </w:pPr>
          </w:p>
        </w:tc>
        <w:tc>
          <w:tcPr>
            <w:tcW w:w="172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90951" w14:textId="77777777" w:rsidR="00A90805" w:rsidRPr="001F6B66" w:rsidRDefault="00A90805" w:rsidP="00DB003A">
            <w:pPr>
              <w:bidi w:val="0"/>
              <w:spacing w:after="0" w:line="240" w:lineRule="auto"/>
              <w:jc w:val="center"/>
              <w:rPr>
                <w:rFonts w:asciiTheme="majorBidi" w:eastAsia="Times New Roman" w:hAnsiTheme="majorBidi" w:cstheme="majorBidi"/>
                <w:color w:val="000000"/>
                <w:sz w:val="16"/>
                <w:szCs w:val="16"/>
                <w:rtl/>
              </w:rPr>
            </w:pPr>
            <w:r w:rsidRPr="001F6B66">
              <w:rPr>
                <w:rFonts w:asciiTheme="majorBidi" w:eastAsia="Times New Roman" w:hAnsiTheme="majorBidi" w:cstheme="majorBidi"/>
                <w:color w:val="000000"/>
                <w:sz w:val="16"/>
                <w:szCs w:val="16"/>
              </w:rPr>
              <w:t>Political-ideological-religious activities</w:t>
            </w:r>
          </w:p>
        </w:tc>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7506D" w14:textId="77777777" w:rsidR="00A90805" w:rsidRPr="001F6B66" w:rsidRDefault="00A90805" w:rsidP="00DB003A">
            <w:pPr>
              <w:bidi w:val="0"/>
              <w:jc w:val="center"/>
              <w:rPr>
                <w:rFonts w:asciiTheme="majorBidi" w:hAnsiTheme="majorBidi" w:cstheme="majorBidi"/>
                <w:sz w:val="16"/>
                <w:szCs w:val="16"/>
                <w:rtl/>
              </w:rPr>
            </w:pPr>
            <w:r w:rsidRPr="001F6B66">
              <w:rPr>
                <w:rFonts w:asciiTheme="majorBidi" w:eastAsia="Times New Roman" w:hAnsiTheme="majorBidi" w:cstheme="majorBidi"/>
                <w:color w:val="000000"/>
                <w:sz w:val="16"/>
                <w:szCs w:val="16"/>
              </w:rPr>
              <w:t>Education and activities of Muslim citizens</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543EE" w14:textId="77777777" w:rsidR="00A90805" w:rsidRPr="001F6B66" w:rsidRDefault="00A90805" w:rsidP="00DB003A">
            <w:pPr>
              <w:bidi w:val="0"/>
              <w:jc w:val="center"/>
              <w:rPr>
                <w:rFonts w:asciiTheme="majorBidi" w:hAnsiTheme="majorBidi" w:cstheme="majorBidi"/>
                <w:sz w:val="16"/>
                <w:szCs w:val="16"/>
                <w:rtl/>
              </w:rPr>
            </w:pPr>
            <w:r w:rsidRPr="001F6B66">
              <w:rPr>
                <w:rFonts w:asciiTheme="majorBidi" w:eastAsia="Times New Roman" w:hAnsiTheme="majorBidi" w:cstheme="majorBidi"/>
                <w:color w:val="000000"/>
                <w:sz w:val="16"/>
                <w:szCs w:val="16"/>
              </w:rPr>
              <w:t>Religious cultural activities</w:t>
            </w:r>
          </w:p>
        </w:tc>
        <w:tc>
          <w:tcPr>
            <w:tcW w:w="214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BF5AC" w14:textId="77777777" w:rsidR="00A90805" w:rsidRPr="001F6B66" w:rsidRDefault="00A90805" w:rsidP="00DB003A">
            <w:pPr>
              <w:bidi w:val="0"/>
              <w:spacing w:after="0" w:line="240" w:lineRule="auto"/>
              <w:jc w:val="center"/>
              <w:rPr>
                <w:rFonts w:asciiTheme="majorBidi" w:eastAsia="Times New Roman" w:hAnsiTheme="majorBidi" w:cstheme="majorBidi"/>
                <w:color w:val="000000"/>
                <w:sz w:val="16"/>
                <w:szCs w:val="16"/>
              </w:rPr>
            </w:pPr>
            <w:r w:rsidRPr="001F6B66">
              <w:rPr>
                <w:rFonts w:asciiTheme="majorBidi" w:eastAsia="Times New Roman" w:hAnsiTheme="majorBidi" w:cstheme="majorBidi"/>
                <w:color w:val="000000"/>
                <w:sz w:val="16"/>
                <w:szCs w:val="16"/>
              </w:rPr>
              <w:t>Culture of abnegation and self-sacrifice</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CBD32" w14:textId="77777777" w:rsidR="00A90805" w:rsidRPr="001F6B66" w:rsidRDefault="00A90805" w:rsidP="00DB003A">
            <w:pPr>
              <w:bidi w:val="0"/>
              <w:spacing w:after="0" w:line="240" w:lineRule="auto"/>
              <w:jc w:val="center"/>
              <w:rPr>
                <w:rFonts w:asciiTheme="majorBidi" w:eastAsia="Times New Roman" w:hAnsiTheme="majorBidi" w:cstheme="majorBidi"/>
                <w:color w:val="000000"/>
                <w:sz w:val="16"/>
                <w:szCs w:val="16"/>
                <w:rtl/>
              </w:rPr>
            </w:pPr>
            <w:r w:rsidRPr="001F6B66">
              <w:rPr>
                <w:rFonts w:asciiTheme="majorBidi" w:eastAsia="Times New Roman" w:hAnsiTheme="majorBidi" w:cstheme="majorBidi"/>
                <w:color w:val="000000"/>
                <w:sz w:val="16"/>
                <w:szCs w:val="16"/>
              </w:rPr>
              <w:t>Islamic art activities</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30EB6" w14:textId="77777777" w:rsidR="00A90805" w:rsidRPr="001F6B66" w:rsidRDefault="00A90805" w:rsidP="00DB003A">
            <w:pPr>
              <w:bidi w:val="0"/>
              <w:jc w:val="center"/>
              <w:rPr>
                <w:rFonts w:asciiTheme="majorBidi" w:hAnsiTheme="majorBidi" w:cstheme="majorBidi"/>
                <w:sz w:val="16"/>
                <w:szCs w:val="16"/>
                <w:rtl/>
              </w:rPr>
            </w:pPr>
            <w:r w:rsidRPr="001F6B66">
              <w:rPr>
                <w:rFonts w:asciiTheme="majorBidi" w:eastAsia="Times New Roman" w:hAnsiTheme="majorBidi" w:cstheme="majorBidi"/>
                <w:color w:val="000000"/>
                <w:sz w:val="16"/>
                <w:szCs w:val="16"/>
              </w:rPr>
              <w:t>The quality of primary and higher education</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DF85D5E" w14:textId="77777777" w:rsidR="00A90805" w:rsidRPr="001F6B66" w:rsidRDefault="00A90805" w:rsidP="00DB003A">
            <w:pPr>
              <w:bidi w:val="0"/>
              <w:spacing w:after="0" w:line="240" w:lineRule="auto"/>
              <w:jc w:val="center"/>
              <w:rPr>
                <w:rFonts w:asciiTheme="majorBidi" w:eastAsia="Times New Roman" w:hAnsiTheme="majorBidi" w:cstheme="majorBidi"/>
                <w:color w:val="000000"/>
                <w:sz w:val="16"/>
                <w:szCs w:val="16"/>
                <w:rtl/>
              </w:rPr>
            </w:pPr>
            <w:r w:rsidRPr="001F6B66">
              <w:rPr>
                <w:rFonts w:asciiTheme="majorBidi" w:eastAsia="Times New Roman" w:hAnsiTheme="majorBidi" w:cstheme="majorBidi"/>
                <w:color w:val="000000"/>
                <w:sz w:val="16"/>
                <w:szCs w:val="16"/>
              </w:rPr>
              <w:t>Research infrastructures and supports</w:t>
            </w:r>
          </w:p>
        </w:tc>
      </w:tr>
      <w:tr w:rsidR="00DB003A" w:rsidRPr="001F6B66" w14:paraId="2996523F" w14:textId="77777777" w:rsidTr="00E57A3A">
        <w:trPr>
          <w:cantSplit/>
          <w:trHeight w:val="258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55DB9" w14:textId="77777777" w:rsidR="00A90805" w:rsidRPr="001F6B66" w:rsidRDefault="00A90805" w:rsidP="00A90805">
            <w:pPr>
              <w:bidi w:val="0"/>
              <w:jc w:val="center"/>
              <w:rPr>
                <w:rFonts w:asciiTheme="majorBidi" w:hAnsiTheme="majorBidi" w:cstheme="majorBidi"/>
                <w:sz w:val="16"/>
                <w:szCs w:val="16"/>
              </w:rPr>
            </w:pPr>
          </w:p>
        </w:tc>
        <w:tc>
          <w:tcPr>
            <w:tcW w:w="627"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51E97C0A"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eastAsia="Times New Roman" w:hAnsiTheme="majorBidi" w:cstheme="majorBidi"/>
                <w:color w:val="000000"/>
                <w:sz w:val="16"/>
                <w:szCs w:val="16"/>
              </w:rPr>
              <w:t>The number of active jihadist groups</w:t>
            </w:r>
            <w:r w:rsidRPr="001F6B66">
              <w:rPr>
                <w:rFonts w:asciiTheme="majorBidi" w:hAnsiTheme="majorBidi" w:cstheme="majorBidi"/>
                <w:color w:val="000000"/>
                <w:sz w:val="16"/>
                <w:szCs w:val="16"/>
              </w:rPr>
              <w:t xml:space="preserve"> in the city per 10,000 people</w:t>
            </w:r>
          </w:p>
        </w:tc>
        <w:tc>
          <w:tcPr>
            <w:tcW w:w="51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054872F6"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eastAsia="Times New Roman" w:hAnsiTheme="majorBidi" w:cstheme="majorBidi"/>
                <w:color w:val="000000"/>
                <w:sz w:val="16"/>
                <w:szCs w:val="16"/>
              </w:rPr>
              <w:t>The number of public endowments</w:t>
            </w:r>
            <w:r w:rsidRPr="001F6B66">
              <w:rPr>
                <w:rFonts w:asciiTheme="majorBidi" w:hAnsiTheme="majorBidi" w:cstheme="majorBidi"/>
                <w:color w:val="000000"/>
                <w:sz w:val="16"/>
                <w:szCs w:val="16"/>
              </w:rPr>
              <w:t xml:space="preserve"> per 10,000 people</w:t>
            </w:r>
          </w:p>
        </w:tc>
        <w:tc>
          <w:tcPr>
            <w:tcW w:w="42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476F0D5A" w14:textId="77777777" w:rsidR="00A90805" w:rsidRPr="001F6B66" w:rsidRDefault="00A90805" w:rsidP="00430D73">
            <w:pPr>
              <w:bidi w:val="0"/>
              <w:spacing w:after="0"/>
              <w:ind w:left="113" w:right="113"/>
              <w:jc w:val="center"/>
              <w:rPr>
                <w:rFonts w:asciiTheme="majorBidi" w:hAnsiTheme="majorBidi" w:cstheme="majorBidi"/>
                <w:sz w:val="16"/>
                <w:szCs w:val="16"/>
                <w:rtl/>
              </w:rPr>
            </w:pPr>
            <w:r w:rsidRPr="001F6B66">
              <w:rPr>
                <w:rFonts w:asciiTheme="majorBidi" w:eastAsia="Times New Roman" w:hAnsiTheme="majorBidi" w:cstheme="majorBidi"/>
                <w:color w:val="000000"/>
                <w:sz w:val="16"/>
                <w:szCs w:val="16"/>
              </w:rPr>
              <w:t xml:space="preserve">Number of </w:t>
            </w:r>
            <w:r w:rsidRPr="001F6B66">
              <w:rPr>
                <w:rFonts w:asciiTheme="majorBidi" w:hAnsiTheme="majorBidi" w:cstheme="majorBidi"/>
                <w:sz w:val="16"/>
                <w:szCs w:val="16"/>
                <w:shd w:val="clear" w:color="auto" w:fill="FFFFFF"/>
              </w:rPr>
              <w:t xml:space="preserve">confraternities </w:t>
            </w:r>
            <w:r w:rsidRPr="001F6B66">
              <w:rPr>
                <w:rFonts w:asciiTheme="majorBidi" w:hAnsiTheme="majorBidi" w:cstheme="majorBidi"/>
                <w:color w:val="000000"/>
                <w:sz w:val="16"/>
                <w:szCs w:val="16"/>
              </w:rPr>
              <w:t>per 10,000 people</w:t>
            </w:r>
          </w:p>
        </w:tc>
        <w:tc>
          <w:tcPr>
            <w:tcW w:w="486"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0A600233"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eastAsia="Times New Roman" w:hAnsiTheme="majorBidi" w:cstheme="majorBidi"/>
                <w:color w:val="000000"/>
                <w:sz w:val="16"/>
                <w:szCs w:val="16"/>
              </w:rPr>
              <w:t>The number of mosques</w:t>
            </w:r>
            <w:r w:rsidRPr="001F6B66">
              <w:rPr>
                <w:rFonts w:asciiTheme="majorBidi" w:hAnsiTheme="majorBidi" w:cstheme="majorBidi"/>
                <w:color w:val="000000"/>
                <w:sz w:val="16"/>
                <w:szCs w:val="16"/>
              </w:rPr>
              <w:t xml:space="preserve"> per 10,000 people</w:t>
            </w:r>
          </w:p>
        </w:tc>
        <w:tc>
          <w:tcPr>
            <w:tcW w:w="53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20412377"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eastAsia="Times New Roman" w:hAnsiTheme="majorBidi" w:cstheme="majorBidi"/>
                <w:color w:val="000000"/>
                <w:sz w:val="16"/>
                <w:szCs w:val="16"/>
              </w:rPr>
              <w:t>The number of facilitation</w:t>
            </w:r>
            <w:r w:rsidRPr="001F6B66">
              <w:rPr>
                <w:rFonts w:asciiTheme="majorBidi" w:eastAsia="Times New Roman" w:hAnsiTheme="majorBidi" w:cstheme="majorBidi"/>
                <w:color w:val="000000"/>
                <w:sz w:val="16"/>
                <w:szCs w:val="16"/>
                <w:rtl/>
              </w:rPr>
              <w:t xml:space="preserve"> </w:t>
            </w:r>
            <w:r w:rsidRPr="001F6B66">
              <w:rPr>
                <w:rFonts w:asciiTheme="majorBidi" w:eastAsia="Times New Roman" w:hAnsiTheme="majorBidi" w:cstheme="majorBidi"/>
                <w:color w:val="000000"/>
                <w:sz w:val="16"/>
                <w:szCs w:val="16"/>
              </w:rPr>
              <w:t>centers</w:t>
            </w:r>
            <w:r w:rsidRPr="001F6B66">
              <w:rPr>
                <w:rFonts w:asciiTheme="majorBidi" w:hAnsiTheme="majorBidi" w:cstheme="majorBidi"/>
                <w:color w:val="000000"/>
                <w:sz w:val="16"/>
                <w:szCs w:val="16"/>
              </w:rPr>
              <w:t xml:space="preserve"> per 10,000 people</w:t>
            </w:r>
          </w:p>
        </w:tc>
        <w:tc>
          <w:tcPr>
            <w:tcW w:w="64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7DFA43E6" w14:textId="77777777" w:rsidR="00A90805" w:rsidRPr="001F6B66" w:rsidRDefault="00A90805" w:rsidP="00430D73">
            <w:pPr>
              <w:bidi w:val="0"/>
              <w:spacing w:after="0"/>
              <w:ind w:left="113" w:right="113"/>
              <w:jc w:val="center"/>
              <w:rPr>
                <w:rFonts w:asciiTheme="majorBidi" w:hAnsiTheme="majorBidi" w:cstheme="majorBidi"/>
                <w:color w:val="000000"/>
                <w:sz w:val="16"/>
                <w:szCs w:val="16"/>
                <w:rtl/>
              </w:rPr>
            </w:pPr>
            <w:r w:rsidRPr="001F6B66">
              <w:rPr>
                <w:rFonts w:asciiTheme="majorBidi" w:eastAsia="Times New Roman" w:hAnsiTheme="majorBidi" w:cstheme="majorBidi"/>
                <w:color w:val="000000"/>
                <w:sz w:val="16"/>
                <w:szCs w:val="16"/>
              </w:rPr>
              <w:t>The number of libraries</w:t>
            </w:r>
            <w:r w:rsidRPr="001F6B66">
              <w:rPr>
                <w:rFonts w:asciiTheme="majorBidi" w:hAnsiTheme="majorBidi" w:cstheme="majorBidi"/>
                <w:color w:val="000000"/>
                <w:sz w:val="16"/>
                <w:szCs w:val="16"/>
              </w:rPr>
              <w:t xml:space="preserve"> per 10,000 people</w:t>
            </w:r>
          </w:p>
        </w:tc>
        <w:tc>
          <w:tcPr>
            <w:tcW w:w="60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050BCD30" w14:textId="77777777" w:rsidR="00A90805" w:rsidRPr="001F6B66" w:rsidRDefault="00A90805" w:rsidP="00430D73">
            <w:pPr>
              <w:bidi w:val="0"/>
              <w:spacing w:after="0"/>
              <w:ind w:left="113" w:right="113"/>
              <w:jc w:val="center"/>
              <w:rPr>
                <w:rFonts w:asciiTheme="majorBidi" w:hAnsiTheme="majorBidi" w:cstheme="majorBidi"/>
                <w:color w:val="000000"/>
                <w:sz w:val="16"/>
                <w:szCs w:val="16"/>
                <w:rtl/>
              </w:rPr>
            </w:pPr>
            <w:r w:rsidRPr="001F6B66">
              <w:rPr>
                <w:rFonts w:asciiTheme="majorBidi" w:eastAsia="Times New Roman" w:hAnsiTheme="majorBidi" w:cstheme="majorBidi"/>
                <w:color w:val="000000"/>
                <w:sz w:val="16"/>
                <w:szCs w:val="16"/>
              </w:rPr>
              <w:t>The number of martyrs of the Iran-Iraq war</w:t>
            </w:r>
            <w:r w:rsidRPr="001F6B66">
              <w:rPr>
                <w:rFonts w:asciiTheme="majorBidi" w:hAnsiTheme="majorBidi" w:cstheme="majorBidi"/>
                <w:color w:val="000000"/>
                <w:sz w:val="16"/>
                <w:szCs w:val="16"/>
              </w:rPr>
              <w:t xml:space="preserve"> per 100,000 people</w:t>
            </w:r>
          </w:p>
        </w:tc>
        <w:tc>
          <w:tcPr>
            <w:tcW w:w="96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30CB5D04"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hAnsiTheme="majorBidi" w:cstheme="majorBidi"/>
                <w:color w:val="000000"/>
                <w:sz w:val="16"/>
                <w:szCs w:val="16"/>
              </w:rPr>
              <w:t xml:space="preserve">The number of </w:t>
            </w:r>
            <w:r w:rsidRPr="001F6B66">
              <w:rPr>
                <w:rFonts w:asciiTheme="majorBidi" w:eastAsia="Times New Roman" w:hAnsiTheme="majorBidi" w:cstheme="majorBidi"/>
                <w:color w:val="000000"/>
                <w:sz w:val="16"/>
                <w:szCs w:val="16"/>
              </w:rPr>
              <w:t>disabled combatants and repatriated prisoners of war of the Iran-Iraq war and holy shrine defenders</w:t>
            </w:r>
            <w:r w:rsidRPr="001F6B66">
              <w:rPr>
                <w:rFonts w:asciiTheme="majorBidi" w:hAnsiTheme="majorBidi" w:cstheme="majorBidi"/>
                <w:color w:val="000000"/>
                <w:sz w:val="16"/>
                <w:szCs w:val="16"/>
              </w:rPr>
              <w:t xml:space="preserve"> per 100,000 people</w:t>
            </w:r>
          </w:p>
        </w:tc>
        <w:tc>
          <w:tcPr>
            <w:tcW w:w="58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04BC2D3C"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hAnsiTheme="majorBidi" w:cstheme="majorBidi"/>
                <w:color w:val="000000"/>
                <w:sz w:val="16"/>
                <w:szCs w:val="16"/>
              </w:rPr>
              <w:t>The number of charities per 100,000 people</w:t>
            </w:r>
          </w:p>
        </w:tc>
        <w:tc>
          <w:tcPr>
            <w:tcW w:w="62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tcPr>
          <w:p w14:paraId="422014EA" w14:textId="77777777" w:rsidR="00A90805" w:rsidRPr="001F6B66" w:rsidRDefault="00A90805" w:rsidP="00430D73">
            <w:pPr>
              <w:bidi w:val="0"/>
              <w:spacing w:after="0"/>
              <w:ind w:left="113" w:right="113"/>
              <w:jc w:val="center"/>
              <w:rPr>
                <w:rFonts w:asciiTheme="majorBidi" w:hAnsiTheme="majorBidi" w:cstheme="majorBidi"/>
                <w:color w:val="000000"/>
                <w:sz w:val="16"/>
                <w:szCs w:val="16"/>
              </w:rPr>
            </w:pPr>
            <w:r w:rsidRPr="001F6B66">
              <w:rPr>
                <w:rFonts w:asciiTheme="majorBidi" w:eastAsia="Times New Roman" w:hAnsiTheme="majorBidi" w:cstheme="majorBidi"/>
                <w:color w:val="000000"/>
                <w:sz w:val="16"/>
                <w:szCs w:val="16"/>
              </w:rPr>
              <w:t>The throughput of the Islamic art discipline</w:t>
            </w:r>
            <w:r w:rsidRPr="001F6B66">
              <w:rPr>
                <w:rFonts w:asciiTheme="majorBidi" w:hAnsiTheme="majorBidi" w:cstheme="majorBidi"/>
                <w:color w:val="000000"/>
                <w:sz w:val="16"/>
                <w:szCs w:val="16"/>
                <w:rtl/>
              </w:rPr>
              <w:t xml:space="preserve"> </w:t>
            </w:r>
            <w:r w:rsidRPr="001F6B66">
              <w:rPr>
                <w:rFonts w:asciiTheme="majorBidi" w:hAnsiTheme="majorBidi" w:cstheme="majorBidi"/>
                <w:color w:val="000000"/>
                <w:sz w:val="16"/>
                <w:szCs w:val="16"/>
              </w:rPr>
              <w:t xml:space="preserve"> per 100,000 people</w:t>
            </w:r>
          </w:p>
        </w:tc>
        <w:tc>
          <w:tcPr>
            <w:tcW w:w="56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63CF1EBC" w14:textId="77777777" w:rsidR="00A90805" w:rsidRPr="001F6B66" w:rsidRDefault="00A90805" w:rsidP="00430D73">
            <w:pPr>
              <w:bidi w:val="0"/>
              <w:spacing w:after="0"/>
              <w:ind w:left="113" w:right="113"/>
              <w:jc w:val="center"/>
              <w:rPr>
                <w:rFonts w:asciiTheme="majorBidi" w:hAnsiTheme="majorBidi" w:cstheme="majorBidi"/>
                <w:color w:val="000000"/>
                <w:sz w:val="16"/>
                <w:szCs w:val="16"/>
                <w:rtl/>
              </w:rPr>
            </w:pPr>
            <w:r w:rsidRPr="001F6B66">
              <w:rPr>
                <w:rFonts w:asciiTheme="majorBidi" w:eastAsia="Times New Roman" w:hAnsiTheme="majorBidi" w:cstheme="majorBidi"/>
                <w:color w:val="000000"/>
                <w:sz w:val="16"/>
                <w:szCs w:val="16"/>
              </w:rPr>
              <w:t>The number of seminary students</w:t>
            </w:r>
            <w:r w:rsidRPr="001F6B66">
              <w:rPr>
                <w:rFonts w:asciiTheme="majorBidi" w:hAnsiTheme="majorBidi" w:cstheme="majorBidi"/>
                <w:color w:val="000000"/>
                <w:sz w:val="16"/>
                <w:szCs w:val="16"/>
              </w:rPr>
              <w:t xml:space="preserve"> per 100,000 people</w:t>
            </w:r>
          </w:p>
        </w:tc>
        <w:tc>
          <w:tcPr>
            <w:tcW w:w="60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1BDB0850" w14:textId="77777777" w:rsidR="00A90805" w:rsidRPr="001F6B66" w:rsidRDefault="00A90805" w:rsidP="00430D73">
            <w:pPr>
              <w:bidi w:val="0"/>
              <w:spacing w:after="0"/>
              <w:ind w:left="113" w:right="113"/>
              <w:jc w:val="center"/>
              <w:rPr>
                <w:rFonts w:asciiTheme="majorBidi" w:hAnsiTheme="majorBidi" w:cstheme="majorBidi"/>
                <w:color w:val="000000"/>
                <w:sz w:val="16"/>
                <w:szCs w:val="16"/>
                <w:rtl/>
              </w:rPr>
            </w:pPr>
            <w:r w:rsidRPr="001F6B66">
              <w:rPr>
                <w:rFonts w:asciiTheme="majorBidi" w:eastAsia="Times New Roman" w:hAnsiTheme="majorBidi" w:cstheme="majorBidi"/>
                <w:color w:val="000000"/>
                <w:sz w:val="16"/>
                <w:szCs w:val="16"/>
              </w:rPr>
              <w:t>The number of university graduates/population over 18 years old</w:t>
            </w:r>
          </w:p>
        </w:tc>
        <w:tc>
          <w:tcPr>
            <w:tcW w:w="95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3CDA9BC3" w14:textId="77777777" w:rsidR="00A90805" w:rsidRPr="001F6B66" w:rsidRDefault="00A90805" w:rsidP="00430D73">
            <w:pPr>
              <w:bidi w:val="0"/>
              <w:spacing w:after="0"/>
              <w:ind w:left="113" w:right="113"/>
              <w:jc w:val="center"/>
              <w:rPr>
                <w:rFonts w:asciiTheme="majorBidi" w:hAnsiTheme="majorBidi" w:cstheme="majorBidi"/>
                <w:color w:val="000000"/>
                <w:sz w:val="16"/>
                <w:szCs w:val="16"/>
                <w:rtl/>
              </w:rPr>
            </w:pPr>
            <w:r w:rsidRPr="001F6B66">
              <w:rPr>
                <w:rFonts w:asciiTheme="majorBidi" w:hAnsiTheme="majorBidi" w:cstheme="majorBidi"/>
                <w:color w:val="000000"/>
                <w:sz w:val="16"/>
                <w:szCs w:val="16"/>
              </w:rPr>
              <w:t>The number of faculty members/employed population</w:t>
            </w:r>
          </w:p>
        </w:tc>
      </w:tr>
      <w:tr w:rsidR="00DB003A" w:rsidRPr="001F6B66" w14:paraId="1D1C425B" w14:textId="77777777" w:rsidTr="00E57A3A">
        <w:trPr>
          <w:trHeight w:val="207"/>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06DDFC87" w14:textId="77777777" w:rsidR="00A90805" w:rsidRPr="001F6B66" w:rsidRDefault="00A90805" w:rsidP="00A90805">
            <w:pPr>
              <w:bidi w:val="0"/>
              <w:jc w:val="center"/>
              <w:rPr>
                <w:rFonts w:asciiTheme="majorBidi" w:hAnsiTheme="majorBidi" w:cstheme="majorBidi"/>
                <w:b/>
                <w:bCs/>
                <w:sz w:val="16"/>
                <w:szCs w:val="16"/>
                <w:rtl/>
              </w:rPr>
            </w:pPr>
            <w:r w:rsidRPr="001F6B66">
              <w:rPr>
                <w:rFonts w:asciiTheme="majorBidi" w:hAnsiTheme="majorBidi" w:cstheme="majorBidi"/>
                <w:b/>
                <w:bCs/>
                <w:sz w:val="16"/>
                <w:szCs w:val="16"/>
              </w:rPr>
              <w:t>Isfahan</w:t>
            </w:r>
          </w:p>
        </w:tc>
        <w:tc>
          <w:tcPr>
            <w:tcW w:w="627" w:type="dxa"/>
            <w:tcBorders>
              <w:top w:val="single" w:sz="4" w:space="0" w:color="auto"/>
              <w:left w:val="single" w:sz="4" w:space="0" w:color="auto"/>
            </w:tcBorders>
            <w:shd w:val="clear" w:color="auto" w:fill="FCC47C"/>
            <w:tcMar>
              <w:top w:w="15" w:type="dxa"/>
              <w:left w:w="15" w:type="dxa"/>
              <w:bottom w:w="0" w:type="dxa"/>
              <w:right w:w="15" w:type="dxa"/>
            </w:tcMar>
            <w:vAlign w:val="center"/>
            <w:hideMark/>
          </w:tcPr>
          <w:p w14:paraId="0D2D7F05" w14:textId="77777777" w:rsidR="00A90805" w:rsidRPr="00DB003A" w:rsidRDefault="00430D73" w:rsidP="00430D73">
            <w:pPr>
              <w:bidi w:val="0"/>
              <w:jc w:val="center"/>
              <w:rPr>
                <w:rFonts w:asciiTheme="majorBidi" w:hAnsiTheme="majorBidi" w:cstheme="majorBidi"/>
                <w:sz w:val="14"/>
                <w:szCs w:val="14"/>
              </w:rPr>
            </w:pPr>
            <w:r w:rsidRPr="00DB003A">
              <w:rPr>
                <w:rFonts w:asciiTheme="majorBidi" w:hAnsiTheme="majorBidi" w:cstheme="majorBidi"/>
                <w:sz w:val="14"/>
                <w:szCs w:val="14"/>
              </w:rPr>
              <w:t>13.15</w:t>
            </w:r>
          </w:p>
        </w:tc>
        <w:tc>
          <w:tcPr>
            <w:tcW w:w="514" w:type="dxa"/>
            <w:tcBorders>
              <w:top w:val="single" w:sz="4" w:space="0" w:color="auto"/>
            </w:tcBorders>
            <w:shd w:val="clear" w:color="auto" w:fill="FBA877"/>
            <w:tcMar>
              <w:top w:w="15" w:type="dxa"/>
              <w:left w:w="15" w:type="dxa"/>
              <w:bottom w:w="0" w:type="dxa"/>
              <w:right w:w="15" w:type="dxa"/>
            </w:tcMar>
            <w:vAlign w:val="center"/>
            <w:hideMark/>
          </w:tcPr>
          <w:p w14:paraId="256E8A3B"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9.43</w:t>
            </w:r>
          </w:p>
        </w:tc>
        <w:tc>
          <w:tcPr>
            <w:tcW w:w="428" w:type="dxa"/>
            <w:tcBorders>
              <w:top w:val="single" w:sz="4" w:space="0" w:color="auto"/>
            </w:tcBorders>
            <w:shd w:val="clear" w:color="auto" w:fill="FA9172"/>
            <w:tcMar>
              <w:top w:w="15" w:type="dxa"/>
              <w:left w:w="15" w:type="dxa"/>
              <w:bottom w:w="0" w:type="dxa"/>
              <w:right w:w="15" w:type="dxa"/>
            </w:tcMar>
            <w:vAlign w:val="center"/>
            <w:hideMark/>
          </w:tcPr>
          <w:p w14:paraId="1CB9C1BE"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7.14</w:t>
            </w:r>
          </w:p>
        </w:tc>
        <w:tc>
          <w:tcPr>
            <w:tcW w:w="486" w:type="dxa"/>
            <w:gridSpan w:val="2"/>
            <w:tcBorders>
              <w:top w:val="single" w:sz="4" w:space="0" w:color="auto"/>
            </w:tcBorders>
            <w:shd w:val="clear" w:color="auto" w:fill="BED981"/>
            <w:tcMar>
              <w:top w:w="15" w:type="dxa"/>
              <w:left w:w="15" w:type="dxa"/>
              <w:bottom w:w="0" w:type="dxa"/>
              <w:right w:w="15" w:type="dxa"/>
            </w:tcMar>
            <w:vAlign w:val="center"/>
            <w:hideMark/>
          </w:tcPr>
          <w:p w14:paraId="1D4A545E"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5.61</w:t>
            </w:r>
          </w:p>
        </w:tc>
        <w:tc>
          <w:tcPr>
            <w:tcW w:w="530" w:type="dxa"/>
            <w:tcBorders>
              <w:top w:val="single" w:sz="4" w:space="0" w:color="auto"/>
            </w:tcBorders>
            <w:shd w:val="clear" w:color="auto" w:fill="F97E6F"/>
            <w:tcMar>
              <w:top w:w="15" w:type="dxa"/>
              <w:left w:w="15" w:type="dxa"/>
              <w:bottom w:w="0" w:type="dxa"/>
              <w:right w:w="15" w:type="dxa"/>
            </w:tcMar>
            <w:vAlign w:val="center"/>
            <w:hideMark/>
          </w:tcPr>
          <w:p w14:paraId="4793526B"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0.03</w:t>
            </w:r>
          </w:p>
        </w:tc>
        <w:tc>
          <w:tcPr>
            <w:tcW w:w="643" w:type="dxa"/>
            <w:tcBorders>
              <w:top w:val="single" w:sz="4" w:space="0" w:color="auto"/>
            </w:tcBorders>
            <w:shd w:val="clear" w:color="auto" w:fill="BFD981"/>
            <w:tcMar>
              <w:top w:w="15" w:type="dxa"/>
              <w:left w:w="15" w:type="dxa"/>
              <w:bottom w:w="0" w:type="dxa"/>
              <w:right w:w="15" w:type="dxa"/>
            </w:tcMar>
            <w:vAlign w:val="center"/>
            <w:hideMark/>
          </w:tcPr>
          <w:p w14:paraId="79CDBC84"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3.47</w:t>
            </w:r>
          </w:p>
        </w:tc>
        <w:tc>
          <w:tcPr>
            <w:tcW w:w="600" w:type="dxa"/>
            <w:tcBorders>
              <w:top w:val="single" w:sz="4" w:space="0" w:color="auto"/>
            </w:tcBorders>
            <w:shd w:val="clear" w:color="auto" w:fill="FDC67C"/>
            <w:tcMar>
              <w:top w:w="15" w:type="dxa"/>
              <w:left w:w="15" w:type="dxa"/>
              <w:bottom w:w="0" w:type="dxa"/>
              <w:right w:w="15" w:type="dxa"/>
            </w:tcMar>
            <w:vAlign w:val="center"/>
            <w:hideMark/>
          </w:tcPr>
          <w:p w14:paraId="64C61880"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466.38</w:t>
            </w:r>
          </w:p>
        </w:tc>
        <w:tc>
          <w:tcPr>
            <w:tcW w:w="961" w:type="dxa"/>
            <w:tcBorders>
              <w:top w:val="single" w:sz="4" w:space="0" w:color="auto"/>
            </w:tcBorders>
            <w:shd w:val="clear" w:color="auto" w:fill="B2D580"/>
            <w:tcMar>
              <w:top w:w="15" w:type="dxa"/>
              <w:left w:w="15" w:type="dxa"/>
              <w:bottom w:w="0" w:type="dxa"/>
              <w:right w:w="15" w:type="dxa"/>
            </w:tcMar>
            <w:vAlign w:val="center"/>
            <w:hideMark/>
          </w:tcPr>
          <w:p w14:paraId="1EA6CCC8"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2492.02</w:t>
            </w:r>
          </w:p>
        </w:tc>
        <w:tc>
          <w:tcPr>
            <w:tcW w:w="586" w:type="dxa"/>
            <w:tcBorders>
              <w:top w:val="single" w:sz="4" w:space="0" w:color="auto"/>
            </w:tcBorders>
            <w:shd w:val="clear" w:color="auto" w:fill="B1D580"/>
            <w:tcMar>
              <w:top w:w="15" w:type="dxa"/>
              <w:left w:w="15" w:type="dxa"/>
              <w:bottom w:w="0" w:type="dxa"/>
              <w:right w:w="15" w:type="dxa"/>
            </w:tcMar>
            <w:vAlign w:val="center"/>
            <w:hideMark/>
          </w:tcPr>
          <w:p w14:paraId="000AC5D0"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131.45</w:t>
            </w:r>
          </w:p>
        </w:tc>
        <w:tc>
          <w:tcPr>
            <w:tcW w:w="625" w:type="dxa"/>
            <w:tcBorders>
              <w:top w:val="single" w:sz="4" w:space="0" w:color="auto"/>
            </w:tcBorders>
            <w:shd w:val="clear" w:color="auto" w:fill="FA9E75"/>
            <w:tcMar>
              <w:top w:w="15" w:type="dxa"/>
              <w:left w:w="15" w:type="dxa"/>
              <w:bottom w:w="0" w:type="dxa"/>
              <w:right w:w="15" w:type="dxa"/>
            </w:tcMar>
            <w:vAlign w:val="center"/>
            <w:hideMark/>
          </w:tcPr>
          <w:p w14:paraId="38537609"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1.27</w:t>
            </w:r>
          </w:p>
        </w:tc>
        <w:tc>
          <w:tcPr>
            <w:tcW w:w="565" w:type="dxa"/>
            <w:tcBorders>
              <w:top w:val="single" w:sz="4" w:space="0" w:color="auto"/>
            </w:tcBorders>
            <w:shd w:val="clear" w:color="auto" w:fill="F8696B"/>
            <w:tcMar>
              <w:top w:w="15" w:type="dxa"/>
              <w:left w:w="15" w:type="dxa"/>
              <w:bottom w:w="0" w:type="dxa"/>
              <w:right w:w="15" w:type="dxa"/>
            </w:tcMar>
            <w:vAlign w:val="center"/>
            <w:hideMark/>
          </w:tcPr>
          <w:p w14:paraId="74E3F6F5"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18.90</w:t>
            </w:r>
          </w:p>
        </w:tc>
        <w:tc>
          <w:tcPr>
            <w:tcW w:w="608" w:type="dxa"/>
            <w:tcBorders>
              <w:top w:val="single" w:sz="4" w:space="0" w:color="auto"/>
            </w:tcBorders>
            <w:shd w:val="clear" w:color="auto" w:fill="AAD380"/>
            <w:tcMar>
              <w:top w:w="15" w:type="dxa"/>
              <w:left w:w="15" w:type="dxa"/>
              <w:bottom w:w="0" w:type="dxa"/>
              <w:right w:w="15" w:type="dxa"/>
            </w:tcMar>
            <w:vAlign w:val="center"/>
            <w:hideMark/>
          </w:tcPr>
          <w:p w14:paraId="68860B9D" w14:textId="77777777" w:rsidR="00A90805" w:rsidRPr="00DB003A" w:rsidRDefault="00A90805" w:rsidP="00430D73">
            <w:pPr>
              <w:bidi w:val="0"/>
              <w:jc w:val="center"/>
              <w:rPr>
                <w:rFonts w:asciiTheme="majorBidi" w:hAnsiTheme="majorBidi" w:cstheme="majorBidi"/>
                <w:sz w:val="14"/>
                <w:szCs w:val="14"/>
                <w:rtl/>
              </w:rPr>
            </w:pPr>
            <w:r w:rsidRPr="00DB003A">
              <w:rPr>
                <w:rFonts w:asciiTheme="majorBidi" w:hAnsiTheme="majorBidi" w:cstheme="majorBidi"/>
                <w:sz w:val="14"/>
                <w:szCs w:val="14"/>
              </w:rPr>
              <w:t>26.99</w:t>
            </w:r>
          </w:p>
        </w:tc>
        <w:tc>
          <w:tcPr>
            <w:tcW w:w="954" w:type="dxa"/>
            <w:tcBorders>
              <w:top w:val="single" w:sz="4" w:space="0" w:color="auto"/>
              <w:right w:val="single" w:sz="4" w:space="0" w:color="auto"/>
            </w:tcBorders>
            <w:shd w:val="clear" w:color="auto" w:fill="E5E483"/>
            <w:tcMar>
              <w:top w:w="15" w:type="dxa"/>
              <w:left w:w="15" w:type="dxa"/>
              <w:bottom w:w="0" w:type="dxa"/>
              <w:right w:w="15" w:type="dxa"/>
            </w:tcMar>
            <w:vAlign w:val="center"/>
            <w:hideMark/>
          </w:tcPr>
          <w:p w14:paraId="7978748D" w14:textId="77777777" w:rsidR="00A90805" w:rsidRPr="00DB003A" w:rsidRDefault="00A90805" w:rsidP="00430D73">
            <w:pPr>
              <w:bidi w:val="0"/>
              <w:jc w:val="center"/>
              <w:rPr>
                <w:rFonts w:asciiTheme="majorBidi" w:hAnsiTheme="majorBidi" w:cstheme="majorBidi"/>
                <w:sz w:val="14"/>
                <w:szCs w:val="14"/>
              </w:rPr>
            </w:pPr>
            <w:r w:rsidRPr="00DB003A">
              <w:rPr>
                <w:rFonts w:asciiTheme="majorBidi" w:hAnsiTheme="majorBidi" w:cstheme="majorBidi"/>
                <w:sz w:val="14"/>
                <w:szCs w:val="14"/>
              </w:rPr>
              <w:t>6.48</w:t>
            </w:r>
          </w:p>
        </w:tc>
      </w:tr>
      <w:tr w:rsidR="00DB003A" w:rsidRPr="001F6B66" w14:paraId="73C93FCF"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602A5DB8"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Ahvaz</w:t>
            </w:r>
          </w:p>
        </w:tc>
        <w:tc>
          <w:tcPr>
            <w:tcW w:w="627" w:type="dxa"/>
            <w:tcBorders>
              <w:left w:val="single" w:sz="4" w:space="0" w:color="auto"/>
            </w:tcBorders>
            <w:shd w:val="clear" w:color="auto" w:fill="F98C71"/>
            <w:tcMar>
              <w:top w:w="15" w:type="dxa"/>
              <w:left w:w="15" w:type="dxa"/>
              <w:bottom w:w="0" w:type="dxa"/>
              <w:right w:w="15" w:type="dxa"/>
            </w:tcMar>
            <w:vAlign w:val="center"/>
            <w:hideMark/>
          </w:tcPr>
          <w:p w14:paraId="545A52AE"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5.544</w:t>
            </w:r>
          </w:p>
        </w:tc>
        <w:tc>
          <w:tcPr>
            <w:tcW w:w="514" w:type="dxa"/>
            <w:shd w:val="clear" w:color="auto" w:fill="FCEA84"/>
            <w:tcMar>
              <w:top w:w="15" w:type="dxa"/>
              <w:left w:w="15" w:type="dxa"/>
              <w:bottom w:w="0" w:type="dxa"/>
              <w:right w:w="15" w:type="dxa"/>
            </w:tcMar>
            <w:vAlign w:val="center"/>
            <w:hideMark/>
          </w:tcPr>
          <w:p w14:paraId="2822BA3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23.03</w:t>
            </w:r>
          </w:p>
        </w:tc>
        <w:tc>
          <w:tcPr>
            <w:tcW w:w="428" w:type="dxa"/>
            <w:shd w:val="clear" w:color="auto" w:fill="FBEA84"/>
            <w:tcMar>
              <w:top w:w="15" w:type="dxa"/>
              <w:left w:w="15" w:type="dxa"/>
              <w:bottom w:w="0" w:type="dxa"/>
              <w:right w:w="15" w:type="dxa"/>
            </w:tcMar>
            <w:vAlign w:val="center"/>
            <w:hideMark/>
          </w:tcPr>
          <w:p w14:paraId="574DF9F6"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16.63</w:t>
            </w:r>
          </w:p>
        </w:tc>
        <w:tc>
          <w:tcPr>
            <w:tcW w:w="486" w:type="dxa"/>
            <w:gridSpan w:val="2"/>
            <w:shd w:val="clear" w:color="auto" w:fill="FEE482"/>
            <w:tcMar>
              <w:top w:w="15" w:type="dxa"/>
              <w:left w:w="15" w:type="dxa"/>
              <w:bottom w:w="0" w:type="dxa"/>
              <w:right w:w="15" w:type="dxa"/>
            </w:tcMar>
            <w:vAlign w:val="center"/>
            <w:hideMark/>
          </w:tcPr>
          <w:p w14:paraId="657B3E7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2.38</w:t>
            </w:r>
          </w:p>
        </w:tc>
        <w:tc>
          <w:tcPr>
            <w:tcW w:w="530" w:type="dxa"/>
            <w:shd w:val="clear" w:color="auto" w:fill="EFE784"/>
            <w:tcMar>
              <w:top w:w="15" w:type="dxa"/>
              <w:left w:w="15" w:type="dxa"/>
              <w:bottom w:w="0" w:type="dxa"/>
              <w:right w:w="15" w:type="dxa"/>
            </w:tcMar>
            <w:vAlign w:val="center"/>
            <w:hideMark/>
          </w:tcPr>
          <w:p w14:paraId="44191F5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0.06</w:t>
            </w:r>
          </w:p>
        </w:tc>
        <w:tc>
          <w:tcPr>
            <w:tcW w:w="643" w:type="dxa"/>
            <w:shd w:val="clear" w:color="auto" w:fill="CEDD82"/>
            <w:tcMar>
              <w:top w:w="15" w:type="dxa"/>
              <w:left w:w="15" w:type="dxa"/>
              <w:bottom w:w="0" w:type="dxa"/>
              <w:right w:w="15" w:type="dxa"/>
            </w:tcMar>
            <w:vAlign w:val="center"/>
            <w:hideMark/>
          </w:tcPr>
          <w:p w14:paraId="12D550D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2.85</w:t>
            </w:r>
          </w:p>
        </w:tc>
        <w:tc>
          <w:tcPr>
            <w:tcW w:w="600" w:type="dxa"/>
            <w:shd w:val="clear" w:color="auto" w:fill="63BE7B"/>
            <w:tcMar>
              <w:top w:w="15" w:type="dxa"/>
              <w:left w:w="15" w:type="dxa"/>
              <w:bottom w:w="0" w:type="dxa"/>
              <w:right w:w="15" w:type="dxa"/>
            </w:tcMar>
            <w:vAlign w:val="center"/>
            <w:hideMark/>
          </w:tcPr>
          <w:p w14:paraId="1C89F21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1069.24</w:t>
            </w:r>
          </w:p>
        </w:tc>
        <w:tc>
          <w:tcPr>
            <w:tcW w:w="961" w:type="dxa"/>
            <w:shd w:val="clear" w:color="auto" w:fill="A1D07F"/>
            <w:tcMar>
              <w:top w:w="15" w:type="dxa"/>
              <w:left w:w="15" w:type="dxa"/>
              <w:bottom w:w="0" w:type="dxa"/>
              <w:right w:w="15" w:type="dxa"/>
            </w:tcMar>
            <w:vAlign w:val="center"/>
            <w:hideMark/>
          </w:tcPr>
          <w:p w14:paraId="7319FF0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2639.91</w:t>
            </w:r>
          </w:p>
        </w:tc>
        <w:tc>
          <w:tcPr>
            <w:tcW w:w="586" w:type="dxa"/>
            <w:shd w:val="clear" w:color="auto" w:fill="D0DE82"/>
            <w:tcMar>
              <w:top w:w="15" w:type="dxa"/>
              <w:left w:w="15" w:type="dxa"/>
              <w:bottom w:w="0" w:type="dxa"/>
              <w:right w:w="15" w:type="dxa"/>
            </w:tcMar>
            <w:vAlign w:val="center"/>
            <w:hideMark/>
          </w:tcPr>
          <w:p w14:paraId="4758933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105.26</w:t>
            </w:r>
          </w:p>
        </w:tc>
        <w:tc>
          <w:tcPr>
            <w:tcW w:w="625" w:type="dxa"/>
            <w:shd w:val="clear" w:color="auto" w:fill="F8696B"/>
            <w:tcMar>
              <w:top w:w="15" w:type="dxa"/>
              <w:left w:w="15" w:type="dxa"/>
              <w:bottom w:w="0" w:type="dxa"/>
              <w:right w:w="15" w:type="dxa"/>
            </w:tcMar>
            <w:vAlign w:val="center"/>
            <w:hideMark/>
          </w:tcPr>
          <w:p w14:paraId="2C158F4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0.00</w:t>
            </w:r>
          </w:p>
        </w:tc>
        <w:tc>
          <w:tcPr>
            <w:tcW w:w="565" w:type="dxa"/>
            <w:shd w:val="clear" w:color="auto" w:fill="FEEB84"/>
            <w:tcMar>
              <w:top w:w="15" w:type="dxa"/>
              <w:left w:w="15" w:type="dxa"/>
              <w:bottom w:w="0" w:type="dxa"/>
              <w:right w:w="15" w:type="dxa"/>
            </w:tcMar>
            <w:vAlign w:val="center"/>
            <w:hideMark/>
          </w:tcPr>
          <w:p w14:paraId="5225B9B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316.81</w:t>
            </w:r>
          </w:p>
        </w:tc>
        <w:tc>
          <w:tcPr>
            <w:tcW w:w="608" w:type="dxa"/>
            <w:shd w:val="clear" w:color="auto" w:fill="E8E583"/>
            <w:tcMar>
              <w:top w:w="15" w:type="dxa"/>
              <w:left w:w="15" w:type="dxa"/>
              <w:bottom w:w="0" w:type="dxa"/>
              <w:right w:w="15" w:type="dxa"/>
            </w:tcMar>
            <w:vAlign w:val="center"/>
            <w:hideMark/>
          </w:tcPr>
          <w:p w14:paraId="0C532436"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24.83</w:t>
            </w:r>
          </w:p>
        </w:tc>
        <w:tc>
          <w:tcPr>
            <w:tcW w:w="954" w:type="dxa"/>
            <w:tcBorders>
              <w:right w:val="single" w:sz="4" w:space="0" w:color="auto"/>
            </w:tcBorders>
            <w:shd w:val="clear" w:color="auto" w:fill="C6DB81"/>
            <w:tcMar>
              <w:top w:w="15" w:type="dxa"/>
              <w:left w:w="15" w:type="dxa"/>
              <w:bottom w:w="0" w:type="dxa"/>
              <w:right w:w="15" w:type="dxa"/>
            </w:tcMar>
            <w:vAlign w:val="center"/>
            <w:hideMark/>
          </w:tcPr>
          <w:p w14:paraId="6CA0E6F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8.11</w:t>
            </w:r>
          </w:p>
        </w:tc>
      </w:tr>
      <w:tr w:rsidR="00DB003A" w:rsidRPr="001F6B66" w14:paraId="75093B88"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0AA1DD51"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Tabriz</w:t>
            </w:r>
          </w:p>
        </w:tc>
        <w:tc>
          <w:tcPr>
            <w:tcW w:w="627" w:type="dxa"/>
            <w:tcBorders>
              <w:left w:val="single" w:sz="4" w:space="0" w:color="auto"/>
            </w:tcBorders>
            <w:shd w:val="clear" w:color="auto" w:fill="F9EA84"/>
            <w:tcMar>
              <w:top w:w="15" w:type="dxa"/>
              <w:left w:w="15" w:type="dxa"/>
              <w:bottom w:w="0" w:type="dxa"/>
              <w:right w:w="15" w:type="dxa"/>
            </w:tcMar>
            <w:vAlign w:val="center"/>
            <w:hideMark/>
          </w:tcPr>
          <w:p w14:paraId="7EB41C4D"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25.66</w:t>
            </w:r>
          </w:p>
        </w:tc>
        <w:tc>
          <w:tcPr>
            <w:tcW w:w="514" w:type="dxa"/>
            <w:shd w:val="clear" w:color="auto" w:fill="E0E383"/>
            <w:tcMar>
              <w:top w:w="15" w:type="dxa"/>
              <w:left w:w="15" w:type="dxa"/>
              <w:bottom w:w="0" w:type="dxa"/>
              <w:right w:w="15" w:type="dxa"/>
            </w:tcMar>
            <w:vAlign w:val="center"/>
            <w:hideMark/>
          </w:tcPr>
          <w:p w14:paraId="5EAEB8C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56.14</w:t>
            </w:r>
          </w:p>
        </w:tc>
        <w:tc>
          <w:tcPr>
            <w:tcW w:w="428" w:type="dxa"/>
            <w:shd w:val="clear" w:color="auto" w:fill="E6E483"/>
            <w:tcMar>
              <w:top w:w="15" w:type="dxa"/>
              <w:left w:w="15" w:type="dxa"/>
              <w:bottom w:w="0" w:type="dxa"/>
              <w:right w:w="15" w:type="dxa"/>
            </w:tcMar>
            <w:vAlign w:val="center"/>
            <w:hideMark/>
          </w:tcPr>
          <w:p w14:paraId="6FF449A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17.96</w:t>
            </w:r>
          </w:p>
        </w:tc>
        <w:tc>
          <w:tcPr>
            <w:tcW w:w="486" w:type="dxa"/>
            <w:gridSpan w:val="2"/>
            <w:shd w:val="clear" w:color="auto" w:fill="E0E283"/>
            <w:tcMar>
              <w:top w:w="15" w:type="dxa"/>
              <w:left w:w="15" w:type="dxa"/>
              <w:bottom w:w="0" w:type="dxa"/>
              <w:right w:w="15" w:type="dxa"/>
            </w:tcMar>
            <w:vAlign w:val="center"/>
            <w:hideMark/>
          </w:tcPr>
          <w:p w14:paraId="09BA092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3.95</w:t>
            </w:r>
          </w:p>
        </w:tc>
        <w:tc>
          <w:tcPr>
            <w:tcW w:w="530" w:type="dxa"/>
            <w:shd w:val="clear" w:color="auto" w:fill="F86B6B"/>
            <w:tcMar>
              <w:top w:w="15" w:type="dxa"/>
              <w:left w:w="15" w:type="dxa"/>
              <w:bottom w:w="0" w:type="dxa"/>
              <w:right w:w="15" w:type="dxa"/>
            </w:tcMar>
            <w:vAlign w:val="center"/>
            <w:hideMark/>
          </w:tcPr>
          <w:p w14:paraId="40FCBD8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0.03</w:t>
            </w:r>
          </w:p>
        </w:tc>
        <w:tc>
          <w:tcPr>
            <w:tcW w:w="643" w:type="dxa"/>
            <w:shd w:val="clear" w:color="auto" w:fill="FFEB84"/>
            <w:tcMar>
              <w:top w:w="15" w:type="dxa"/>
              <w:left w:w="15" w:type="dxa"/>
              <w:bottom w:w="0" w:type="dxa"/>
              <w:right w:w="15" w:type="dxa"/>
            </w:tcMar>
            <w:vAlign w:val="center"/>
            <w:hideMark/>
          </w:tcPr>
          <w:p w14:paraId="3AFEF68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0.77</w:t>
            </w:r>
          </w:p>
        </w:tc>
        <w:tc>
          <w:tcPr>
            <w:tcW w:w="600" w:type="dxa"/>
            <w:shd w:val="clear" w:color="auto" w:fill="FFEB84"/>
            <w:tcMar>
              <w:top w:w="15" w:type="dxa"/>
              <w:left w:w="15" w:type="dxa"/>
              <w:bottom w:w="0" w:type="dxa"/>
              <w:right w:w="15" w:type="dxa"/>
            </w:tcMar>
            <w:vAlign w:val="center"/>
            <w:hideMark/>
          </w:tcPr>
          <w:p w14:paraId="624350E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561.75</w:t>
            </w:r>
          </w:p>
        </w:tc>
        <w:tc>
          <w:tcPr>
            <w:tcW w:w="961" w:type="dxa"/>
            <w:shd w:val="clear" w:color="auto" w:fill="FCC27C"/>
            <w:tcMar>
              <w:top w:w="15" w:type="dxa"/>
              <w:left w:w="15" w:type="dxa"/>
              <w:bottom w:w="0" w:type="dxa"/>
              <w:right w:w="15" w:type="dxa"/>
            </w:tcMar>
            <w:vAlign w:val="center"/>
            <w:hideMark/>
          </w:tcPr>
          <w:p w14:paraId="4B83CE4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1448.59</w:t>
            </w:r>
          </w:p>
        </w:tc>
        <w:tc>
          <w:tcPr>
            <w:tcW w:w="586" w:type="dxa"/>
            <w:shd w:val="clear" w:color="auto" w:fill="DAE182"/>
            <w:tcMar>
              <w:top w:w="15" w:type="dxa"/>
              <w:left w:w="15" w:type="dxa"/>
              <w:bottom w:w="0" w:type="dxa"/>
              <w:right w:w="15" w:type="dxa"/>
            </w:tcMar>
            <w:vAlign w:val="center"/>
            <w:hideMark/>
          </w:tcPr>
          <w:p w14:paraId="1A8CD57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97.39</w:t>
            </w:r>
          </w:p>
        </w:tc>
        <w:tc>
          <w:tcPr>
            <w:tcW w:w="625" w:type="dxa"/>
            <w:shd w:val="clear" w:color="auto" w:fill="63BE7B"/>
            <w:tcMar>
              <w:top w:w="15" w:type="dxa"/>
              <w:left w:w="15" w:type="dxa"/>
              <w:bottom w:w="0" w:type="dxa"/>
              <w:right w:w="15" w:type="dxa"/>
            </w:tcMar>
            <w:vAlign w:val="center"/>
            <w:hideMark/>
          </w:tcPr>
          <w:p w14:paraId="27E5994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22.45</w:t>
            </w:r>
          </w:p>
        </w:tc>
        <w:tc>
          <w:tcPr>
            <w:tcW w:w="565" w:type="dxa"/>
            <w:shd w:val="clear" w:color="auto" w:fill="FCC57C"/>
            <w:tcMar>
              <w:top w:w="15" w:type="dxa"/>
              <w:left w:w="15" w:type="dxa"/>
              <w:bottom w:w="0" w:type="dxa"/>
              <w:right w:w="15" w:type="dxa"/>
            </w:tcMar>
            <w:vAlign w:val="center"/>
            <w:hideMark/>
          </w:tcPr>
          <w:p w14:paraId="2E37413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192.47</w:t>
            </w:r>
          </w:p>
        </w:tc>
        <w:tc>
          <w:tcPr>
            <w:tcW w:w="608" w:type="dxa"/>
            <w:shd w:val="clear" w:color="auto" w:fill="FDCF7E"/>
            <w:tcMar>
              <w:top w:w="15" w:type="dxa"/>
              <w:left w:w="15" w:type="dxa"/>
              <w:bottom w:w="0" w:type="dxa"/>
              <w:right w:w="15" w:type="dxa"/>
            </w:tcMar>
            <w:vAlign w:val="center"/>
            <w:hideMark/>
          </w:tcPr>
          <w:p w14:paraId="18CCD84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23.46</w:t>
            </w:r>
          </w:p>
        </w:tc>
        <w:tc>
          <w:tcPr>
            <w:tcW w:w="954" w:type="dxa"/>
            <w:tcBorders>
              <w:right w:val="single" w:sz="4" w:space="0" w:color="auto"/>
            </w:tcBorders>
            <w:shd w:val="clear" w:color="auto" w:fill="E0E283"/>
            <w:tcMar>
              <w:top w:w="15" w:type="dxa"/>
              <w:left w:w="15" w:type="dxa"/>
              <w:bottom w:w="0" w:type="dxa"/>
              <w:right w:w="15" w:type="dxa"/>
            </w:tcMar>
            <w:vAlign w:val="center"/>
            <w:hideMark/>
          </w:tcPr>
          <w:p w14:paraId="05930A9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6.73</w:t>
            </w:r>
          </w:p>
        </w:tc>
      </w:tr>
      <w:tr w:rsidR="00DB003A" w:rsidRPr="001F6B66" w14:paraId="022E6105"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7E3DCEF5"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Tehran</w:t>
            </w:r>
          </w:p>
        </w:tc>
        <w:tc>
          <w:tcPr>
            <w:tcW w:w="627" w:type="dxa"/>
            <w:tcBorders>
              <w:left w:val="single" w:sz="4" w:space="0" w:color="auto"/>
            </w:tcBorders>
            <w:shd w:val="clear" w:color="auto" w:fill="F97F6F"/>
            <w:tcMar>
              <w:top w:w="15" w:type="dxa"/>
              <w:left w:w="15" w:type="dxa"/>
              <w:bottom w:w="0" w:type="dxa"/>
              <w:right w:w="15" w:type="dxa"/>
            </w:tcMar>
            <w:vAlign w:val="center"/>
            <w:hideMark/>
          </w:tcPr>
          <w:p w14:paraId="24398544"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3.87</w:t>
            </w:r>
          </w:p>
        </w:tc>
        <w:tc>
          <w:tcPr>
            <w:tcW w:w="514" w:type="dxa"/>
            <w:shd w:val="clear" w:color="auto" w:fill="F8E984"/>
            <w:tcMar>
              <w:top w:w="15" w:type="dxa"/>
              <w:left w:w="15" w:type="dxa"/>
              <w:bottom w:w="0" w:type="dxa"/>
              <w:right w:w="15" w:type="dxa"/>
            </w:tcMar>
            <w:vAlign w:val="center"/>
            <w:hideMark/>
          </w:tcPr>
          <w:p w14:paraId="4DBA49B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27.00</w:t>
            </w:r>
          </w:p>
        </w:tc>
        <w:tc>
          <w:tcPr>
            <w:tcW w:w="428" w:type="dxa"/>
            <w:shd w:val="clear" w:color="auto" w:fill="A6D27F"/>
            <w:tcMar>
              <w:top w:w="15" w:type="dxa"/>
              <w:left w:w="15" w:type="dxa"/>
              <w:bottom w:w="0" w:type="dxa"/>
              <w:right w:w="15" w:type="dxa"/>
            </w:tcMar>
            <w:vAlign w:val="center"/>
            <w:hideMark/>
          </w:tcPr>
          <w:p w14:paraId="7EAA93F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22.13</w:t>
            </w:r>
          </w:p>
        </w:tc>
        <w:tc>
          <w:tcPr>
            <w:tcW w:w="486" w:type="dxa"/>
            <w:gridSpan w:val="2"/>
            <w:shd w:val="clear" w:color="auto" w:fill="FDCB7D"/>
            <w:tcMar>
              <w:top w:w="15" w:type="dxa"/>
              <w:left w:w="15" w:type="dxa"/>
              <w:bottom w:w="0" w:type="dxa"/>
              <w:right w:w="15" w:type="dxa"/>
            </w:tcMar>
            <w:vAlign w:val="center"/>
            <w:hideMark/>
          </w:tcPr>
          <w:p w14:paraId="70FA9A0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2.21</w:t>
            </w:r>
          </w:p>
        </w:tc>
        <w:tc>
          <w:tcPr>
            <w:tcW w:w="530" w:type="dxa"/>
            <w:shd w:val="clear" w:color="auto" w:fill="FFEB84"/>
            <w:tcMar>
              <w:top w:w="15" w:type="dxa"/>
              <w:left w:w="15" w:type="dxa"/>
              <w:bottom w:w="0" w:type="dxa"/>
              <w:right w:w="15" w:type="dxa"/>
            </w:tcMar>
            <w:vAlign w:val="center"/>
            <w:hideMark/>
          </w:tcPr>
          <w:p w14:paraId="58F40D2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0.06</w:t>
            </w:r>
          </w:p>
        </w:tc>
        <w:tc>
          <w:tcPr>
            <w:tcW w:w="643" w:type="dxa"/>
            <w:shd w:val="clear" w:color="auto" w:fill="F8696B"/>
            <w:tcMar>
              <w:top w:w="15" w:type="dxa"/>
              <w:left w:w="15" w:type="dxa"/>
              <w:bottom w:w="0" w:type="dxa"/>
              <w:right w:w="15" w:type="dxa"/>
            </w:tcMar>
            <w:vAlign w:val="center"/>
            <w:hideMark/>
          </w:tcPr>
          <w:p w14:paraId="25A89E4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0.00</w:t>
            </w:r>
          </w:p>
        </w:tc>
        <w:tc>
          <w:tcPr>
            <w:tcW w:w="600" w:type="dxa"/>
            <w:shd w:val="clear" w:color="auto" w:fill="F8696B"/>
            <w:tcMar>
              <w:top w:w="15" w:type="dxa"/>
              <w:left w:w="15" w:type="dxa"/>
              <w:bottom w:w="0" w:type="dxa"/>
              <w:right w:w="15" w:type="dxa"/>
            </w:tcMar>
            <w:vAlign w:val="center"/>
            <w:hideMark/>
          </w:tcPr>
          <w:p w14:paraId="50CDDEB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224.75</w:t>
            </w:r>
          </w:p>
        </w:tc>
        <w:tc>
          <w:tcPr>
            <w:tcW w:w="961" w:type="dxa"/>
            <w:shd w:val="clear" w:color="auto" w:fill="F8736C"/>
            <w:tcMar>
              <w:top w:w="15" w:type="dxa"/>
              <w:left w:w="15" w:type="dxa"/>
              <w:bottom w:w="0" w:type="dxa"/>
              <w:right w:w="15" w:type="dxa"/>
            </w:tcMar>
            <w:vAlign w:val="center"/>
            <w:hideMark/>
          </w:tcPr>
          <w:p w14:paraId="04E5FE2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757.41</w:t>
            </w:r>
          </w:p>
        </w:tc>
        <w:tc>
          <w:tcPr>
            <w:tcW w:w="586" w:type="dxa"/>
            <w:shd w:val="clear" w:color="auto" w:fill="FA9A74"/>
            <w:tcMar>
              <w:top w:w="15" w:type="dxa"/>
              <w:left w:w="15" w:type="dxa"/>
              <w:bottom w:w="0" w:type="dxa"/>
              <w:right w:w="15" w:type="dxa"/>
            </w:tcMar>
            <w:vAlign w:val="center"/>
            <w:hideMark/>
          </w:tcPr>
          <w:p w14:paraId="0653F8A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54.74</w:t>
            </w:r>
          </w:p>
        </w:tc>
        <w:tc>
          <w:tcPr>
            <w:tcW w:w="625" w:type="dxa"/>
            <w:shd w:val="clear" w:color="auto" w:fill="FFEB84"/>
            <w:tcMar>
              <w:top w:w="15" w:type="dxa"/>
              <w:left w:w="15" w:type="dxa"/>
              <w:bottom w:w="0" w:type="dxa"/>
              <w:right w:w="15" w:type="dxa"/>
            </w:tcMar>
            <w:vAlign w:val="center"/>
            <w:hideMark/>
          </w:tcPr>
          <w:p w14:paraId="5E78153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3.10</w:t>
            </w:r>
          </w:p>
        </w:tc>
        <w:tc>
          <w:tcPr>
            <w:tcW w:w="565" w:type="dxa"/>
            <w:shd w:val="clear" w:color="auto" w:fill="F98870"/>
            <w:tcMar>
              <w:top w:w="15" w:type="dxa"/>
              <w:left w:w="15" w:type="dxa"/>
              <w:bottom w:w="0" w:type="dxa"/>
              <w:right w:w="15" w:type="dxa"/>
            </w:tcMar>
            <w:vAlign w:val="center"/>
            <w:hideMark/>
          </w:tcPr>
          <w:p w14:paraId="3FD37976"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77.44</w:t>
            </w:r>
          </w:p>
        </w:tc>
        <w:tc>
          <w:tcPr>
            <w:tcW w:w="608" w:type="dxa"/>
            <w:shd w:val="clear" w:color="auto" w:fill="63BE7B"/>
            <w:tcMar>
              <w:top w:w="15" w:type="dxa"/>
              <w:left w:w="15" w:type="dxa"/>
              <w:bottom w:w="0" w:type="dxa"/>
              <w:right w:w="15" w:type="dxa"/>
            </w:tcMar>
            <w:vAlign w:val="center"/>
            <w:hideMark/>
          </w:tcPr>
          <w:p w14:paraId="2EE7757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29.43</w:t>
            </w:r>
          </w:p>
        </w:tc>
        <w:tc>
          <w:tcPr>
            <w:tcW w:w="954" w:type="dxa"/>
            <w:tcBorders>
              <w:right w:val="single" w:sz="4" w:space="0" w:color="auto"/>
            </w:tcBorders>
            <w:shd w:val="clear" w:color="auto" w:fill="D9E082"/>
            <w:tcMar>
              <w:top w:w="15" w:type="dxa"/>
              <w:left w:w="15" w:type="dxa"/>
              <w:bottom w:w="0" w:type="dxa"/>
              <w:right w:w="15" w:type="dxa"/>
            </w:tcMar>
            <w:vAlign w:val="center"/>
            <w:hideMark/>
          </w:tcPr>
          <w:p w14:paraId="009228A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7.13</w:t>
            </w:r>
          </w:p>
        </w:tc>
      </w:tr>
      <w:tr w:rsidR="00DB003A" w:rsidRPr="001F6B66" w14:paraId="453CA8BB"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484CA1D5"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Shiraz</w:t>
            </w:r>
          </w:p>
        </w:tc>
        <w:tc>
          <w:tcPr>
            <w:tcW w:w="627" w:type="dxa"/>
            <w:tcBorders>
              <w:left w:val="single" w:sz="4" w:space="0" w:color="auto"/>
            </w:tcBorders>
            <w:shd w:val="clear" w:color="auto" w:fill="F8696B"/>
            <w:tcMar>
              <w:top w:w="15" w:type="dxa"/>
              <w:left w:w="15" w:type="dxa"/>
              <w:bottom w:w="0" w:type="dxa"/>
              <w:right w:w="15" w:type="dxa"/>
            </w:tcMar>
            <w:vAlign w:val="center"/>
            <w:hideMark/>
          </w:tcPr>
          <w:p w14:paraId="3EE94361"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0.82</w:t>
            </w:r>
          </w:p>
        </w:tc>
        <w:tc>
          <w:tcPr>
            <w:tcW w:w="514" w:type="dxa"/>
            <w:shd w:val="clear" w:color="auto" w:fill="C9DC81"/>
            <w:tcMar>
              <w:top w:w="15" w:type="dxa"/>
              <w:left w:w="15" w:type="dxa"/>
              <w:bottom w:w="0" w:type="dxa"/>
              <w:right w:w="15" w:type="dxa"/>
            </w:tcMar>
            <w:vAlign w:val="center"/>
            <w:hideMark/>
          </w:tcPr>
          <w:p w14:paraId="15CAA70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84.59</w:t>
            </w:r>
          </w:p>
        </w:tc>
        <w:tc>
          <w:tcPr>
            <w:tcW w:w="428" w:type="dxa"/>
            <w:shd w:val="clear" w:color="auto" w:fill="F8696B"/>
            <w:tcMar>
              <w:top w:w="15" w:type="dxa"/>
              <w:left w:w="15" w:type="dxa"/>
              <w:bottom w:w="0" w:type="dxa"/>
              <w:right w:w="15" w:type="dxa"/>
            </w:tcMar>
            <w:vAlign w:val="center"/>
            <w:hideMark/>
          </w:tcPr>
          <w:p w14:paraId="1A7743C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3.02</w:t>
            </w:r>
          </w:p>
        </w:tc>
        <w:tc>
          <w:tcPr>
            <w:tcW w:w="486" w:type="dxa"/>
            <w:gridSpan w:val="2"/>
            <w:shd w:val="clear" w:color="auto" w:fill="FFEB84"/>
            <w:tcMar>
              <w:top w:w="15" w:type="dxa"/>
              <w:left w:w="15" w:type="dxa"/>
              <w:bottom w:w="0" w:type="dxa"/>
              <w:right w:w="15" w:type="dxa"/>
            </w:tcMar>
            <w:vAlign w:val="center"/>
            <w:hideMark/>
          </w:tcPr>
          <w:p w14:paraId="6C705A5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2.42</w:t>
            </w:r>
          </w:p>
        </w:tc>
        <w:tc>
          <w:tcPr>
            <w:tcW w:w="530" w:type="dxa"/>
            <w:shd w:val="clear" w:color="auto" w:fill="7AC57D"/>
            <w:tcMar>
              <w:top w:w="15" w:type="dxa"/>
              <w:left w:w="15" w:type="dxa"/>
              <w:bottom w:w="0" w:type="dxa"/>
              <w:right w:w="15" w:type="dxa"/>
            </w:tcMar>
            <w:vAlign w:val="center"/>
            <w:hideMark/>
          </w:tcPr>
          <w:p w14:paraId="2D46EA7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0.10</w:t>
            </w:r>
          </w:p>
        </w:tc>
        <w:tc>
          <w:tcPr>
            <w:tcW w:w="643" w:type="dxa"/>
            <w:shd w:val="clear" w:color="auto" w:fill="FCBA7A"/>
            <w:tcMar>
              <w:top w:w="15" w:type="dxa"/>
              <w:left w:w="15" w:type="dxa"/>
              <w:bottom w:w="0" w:type="dxa"/>
              <w:right w:w="15" w:type="dxa"/>
            </w:tcMar>
            <w:vAlign w:val="center"/>
            <w:hideMark/>
          </w:tcPr>
          <w:p w14:paraId="149E957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0.48</w:t>
            </w:r>
          </w:p>
        </w:tc>
        <w:tc>
          <w:tcPr>
            <w:tcW w:w="600" w:type="dxa"/>
            <w:shd w:val="clear" w:color="auto" w:fill="BCD881"/>
            <w:tcMar>
              <w:top w:w="15" w:type="dxa"/>
              <w:left w:w="15" w:type="dxa"/>
              <w:bottom w:w="0" w:type="dxa"/>
              <w:right w:w="15" w:type="dxa"/>
            </w:tcMar>
            <w:vAlign w:val="center"/>
            <w:hideMark/>
          </w:tcPr>
          <w:p w14:paraId="22D8470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781.08</w:t>
            </w:r>
          </w:p>
        </w:tc>
        <w:tc>
          <w:tcPr>
            <w:tcW w:w="961" w:type="dxa"/>
            <w:shd w:val="clear" w:color="auto" w:fill="C4DA81"/>
            <w:tcMar>
              <w:top w:w="15" w:type="dxa"/>
              <w:left w:w="15" w:type="dxa"/>
              <w:bottom w:w="0" w:type="dxa"/>
              <w:right w:w="15" w:type="dxa"/>
            </w:tcMar>
            <w:vAlign w:val="center"/>
            <w:hideMark/>
          </w:tcPr>
          <w:p w14:paraId="5E29A0B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2329.33</w:t>
            </w:r>
          </w:p>
        </w:tc>
        <w:tc>
          <w:tcPr>
            <w:tcW w:w="586" w:type="dxa"/>
            <w:shd w:val="clear" w:color="auto" w:fill="CDDD82"/>
            <w:tcMar>
              <w:top w:w="15" w:type="dxa"/>
              <w:left w:w="15" w:type="dxa"/>
              <w:bottom w:w="0" w:type="dxa"/>
              <w:right w:w="15" w:type="dxa"/>
            </w:tcMar>
            <w:vAlign w:val="center"/>
            <w:hideMark/>
          </w:tcPr>
          <w:p w14:paraId="7E08AAF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107.80</w:t>
            </w:r>
          </w:p>
        </w:tc>
        <w:tc>
          <w:tcPr>
            <w:tcW w:w="625" w:type="dxa"/>
            <w:shd w:val="clear" w:color="auto" w:fill="D4DF82"/>
            <w:tcMar>
              <w:top w:w="15" w:type="dxa"/>
              <w:left w:w="15" w:type="dxa"/>
              <w:bottom w:w="0" w:type="dxa"/>
              <w:right w:w="15" w:type="dxa"/>
            </w:tcMar>
            <w:vAlign w:val="center"/>
            <w:hideMark/>
          </w:tcPr>
          <w:p w14:paraId="2D94591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8.46</w:t>
            </w:r>
          </w:p>
        </w:tc>
        <w:tc>
          <w:tcPr>
            <w:tcW w:w="565" w:type="dxa"/>
            <w:shd w:val="clear" w:color="auto" w:fill="FEDF81"/>
            <w:tcMar>
              <w:top w:w="15" w:type="dxa"/>
              <w:left w:w="15" w:type="dxa"/>
              <w:bottom w:w="0" w:type="dxa"/>
              <w:right w:w="15" w:type="dxa"/>
            </w:tcMar>
            <w:vAlign w:val="center"/>
            <w:hideMark/>
          </w:tcPr>
          <w:p w14:paraId="2F2AB59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241.71</w:t>
            </w:r>
          </w:p>
        </w:tc>
        <w:tc>
          <w:tcPr>
            <w:tcW w:w="608" w:type="dxa"/>
            <w:shd w:val="clear" w:color="auto" w:fill="A8D27F"/>
            <w:tcMar>
              <w:top w:w="15" w:type="dxa"/>
              <w:left w:w="15" w:type="dxa"/>
              <w:bottom w:w="0" w:type="dxa"/>
              <w:right w:w="15" w:type="dxa"/>
            </w:tcMar>
            <w:vAlign w:val="center"/>
            <w:hideMark/>
          </w:tcPr>
          <w:p w14:paraId="1484A9A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27.04</w:t>
            </w:r>
          </w:p>
        </w:tc>
        <w:tc>
          <w:tcPr>
            <w:tcW w:w="954" w:type="dxa"/>
            <w:tcBorders>
              <w:right w:val="single" w:sz="4" w:space="0" w:color="auto"/>
            </w:tcBorders>
            <w:shd w:val="clear" w:color="auto" w:fill="63BE7B"/>
            <w:tcMar>
              <w:top w:w="15" w:type="dxa"/>
              <w:left w:w="15" w:type="dxa"/>
              <w:bottom w:w="0" w:type="dxa"/>
              <w:right w:w="15" w:type="dxa"/>
            </w:tcMar>
            <w:vAlign w:val="center"/>
            <w:hideMark/>
          </w:tcPr>
          <w:p w14:paraId="406D896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13.4</w:t>
            </w:r>
          </w:p>
        </w:tc>
      </w:tr>
      <w:tr w:rsidR="00DB003A" w:rsidRPr="001F6B66" w14:paraId="3A3C7272"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4321DAE3"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Qom</w:t>
            </w:r>
          </w:p>
        </w:tc>
        <w:tc>
          <w:tcPr>
            <w:tcW w:w="627" w:type="dxa"/>
            <w:tcBorders>
              <w:left w:val="single" w:sz="4" w:space="0" w:color="auto"/>
            </w:tcBorders>
            <w:shd w:val="clear" w:color="auto" w:fill="F98C71"/>
            <w:tcMar>
              <w:top w:w="15" w:type="dxa"/>
              <w:left w:w="15" w:type="dxa"/>
              <w:bottom w:w="0" w:type="dxa"/>
              <w:right w:w="15" w:type="dxa"/>
            </w:tcMar>
            <w:vAlign w:val="center"/>
            <w:hideMark/>
          </w:tcPr>
          <w:p w14:paraId="04D6FED9"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5.57</w:t>
            </w:r>
          </w:p>
        </w:tc>
        <w:tc>
          <w:tcPr>
            <w:tcW w:w="514" w:type="dxa"/>
            <w:shd w:val="clear" w:color="auto" w:fill="FEDE81"/>
            <w:tcMar>
              <w:top w:w="15" w:type="dxa"/>
              <w:left w:w="15" w:type="dxa"/>
              <w:bottom w:w="0" w:type="dxa"/>
              <w:right w:w="15" w:type="dxa"/>
            </w:tcMar>
            <w:vAlign w:val="center"/>
            <w:hideMark/>
          </w:tcPr>
          <w:p w14:paraId="46FB902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16.65</w:t>
            </w:r>
          </w:p>
        </w:tc>
        <w:tc>
          <w:tcPr>
            <w:tcW w:w="428" w:type="dxa"/>
            <w:shd w:val="clear" w:color="auto" w:fill="FCB97A"/>
            <w:tcMar>
              <w:top w:w="15" w:type="dxa"/>
              <w:left w:w="15" w:type="dxa"/>
              <w:bottom w:w="0" w:type="dxa"/>
              <w:right w:w="15" w:type="dxa"/>
            </w:tcMar>
            <w:vAlign w:val="center"/>
            <w:hideMark/>
          </w:tcPr>
          <w:p w14:paraId="3BD58F9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11.24</w:t>
            </w:r>
          </w:p>
        </w:tc>
        <w:tc>
          <w:tcPr>
            <w:tcW w:w="486" w:type="dxa"/>
            <w:gridSpan w:val="2"/>
            <w:shd w:val="clear" w:color="auto" w:fill="63BE7B"/>
            <w:tcMar>
              <w:top w:w="15" w:type="dxa"/>
              <w:left w:w="15" w:type="dxa"/>
              <w:bottom w:w="0" w:type="dxa"/>
              <w:right w:w="15" w:type="dxa"/>
            </w:tcMar>
            <w:vAlign w:val="center"/>
            <w:hideMark/>
          </w:tcPr>
          <w:p w14:paraId="0AF27DE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9.99</w:t>
            </w:r>
          </w:p>
        </w:tc>
        <w:tc>
          <w:tcPr>
            <w:tcW w:w="530" w:type="dxa"/>
            <w:shd w:val="clear" w:color="auto" w:fill="F8696B"/>
            <w:tcMar>
              <w:top w:w="15" w:type="dxa"/>
              <w:left w:w="15" w:type="dxa"/>
              <w:bottom w:w="0" w:type="dxa"/>
              <w:right w:w="15" w:type="dxa"/>
            </w:tcMar>
            <w:vAlign w:val="center"/>
            <w:hideMark/>
          </w:tcPr>
          <w:p w14:paraId="13D3FB6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0.02</w:t>
            </w:r>
          </w:p>
        </w:tc>
        <w:tc>
          <w:tcPr>
            <w:tcW w:w="643" w:type="dxa"/>
            <w:shd w:val="clear" w:color="auto" w:fill="63BE7B"/>
            <w:tcMar>
              <w:top w:w="15" w:type="dxa"/>
              <w:left w:w="15" w:type="dxa"/>
              <w:bottom w:w="0" w:type="dxa"/>
              <w:right w:w="15" w:type="dxa"/>
            </w:tcMar>
            <w:vAlign w:val="center"/>
            <w:hideMark/>
          </w:tcPr>
          <w:p w14:paraId="4660700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7.33</w:t>
            </w:r>
          </w:p>
        </w:tc>
        <w:tc>
          <w:tcPr>
            <w:tcW w:w="600" w:type="dxa"/>
            <w:shd w:val="clear" w:color="auto" w:fill="FA9D75"/>
            <w:tcMar>
              <w:top w:w="15" w:type="dxa"/>
              <w:left w:w="15" w:type="dxa"/>
              <w:bottom w:w="0" w:type="dxa"/>
              <w:right w:w="15" w:type="dxa"/>
            </w:tcMar>
            <w:vAlign w:val="center"/>
            <w:hideMark/>
          </w:tcPr>
          <w:p w14:paraId="7CB61BD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361.73</w:t>
            </w:r>
          </w:p>
        </w:tc>
        <w:tc>
          <w:tcPr>
            <w:tcW w:w="961" w:type="dxa"/>
            <w:shd w:val="clear" w:color="auto" w:fill="F98871"/>
            <w:tcMar>
              <w:top w:w="15" w:type="dxa"/>
              <w:left w:w="15" w:type="dxa"/>
              <w:bottom w:w="0" w:type="dxa"/>
              <w:right w:w="15" w:type="dxa"/>
            </w:tcMar>
            <w:vAlign w:val="center"/>
            <w:hideMark/>
          </w:tcPr>
          <w:p w14:paraId="715832B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942.42</w:t>
            </w:r>
          </w:p>
        </w:tc>
        <w:tc>
          <w:tcPr>
            <w:tcW w:w="586" w:type="dxa"/>
            <w:shd w:val="clear" w:color="auto" w:fill="F8696B"/>
            <w:tcMar>
              <w:top w:w="15" w:type="dxa"/>
              <w:left w:w="15" w:type="dxa"/>
              <w:bottom w:w="0" w:type="dxa"/>
              <w:right w:w="15" w:type="dxa"/>
            </w:tcMar>
            <w:vAlign w:val="center"/>
            <w:hideMark/>
          </w:tcPr>
          <w:p w14:paraId="5F9EAEA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47.70</w:t>
            </w:r>
          </w:p>
        </w:tc>
        <w:tc>
          <w:tcPr>
            <w:tcW w:w="625" w:type="dxa"/>
            <w:shd w:val="clear" w:color="auto" w:fill="F8696B"/>
            <w:tcMar>
              <w:top w:w="15" w:type="dxa"/>
              <w:left w:w="15" w:type="dxa"/>
              <w:bottom w:w="0" w:type="dxa"/>
              <w:right w:w="15" w:type="dxa"/>
            </w:tcMar>
            <w:vAlign w:val="center"/>
            <w:hideMark/>
          </w:tcPr>
          <w:p w14:paraId="659F5FE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0.00</w:t>
            </w:r>
          </w:p>
        </w:tc>
        <w:tc>
          <w:tcPr>
            <w:tcW w:w="565" w:type="dxa"/>
            <w:shd w:val="clear" w:color="auto" w:fill="63BE7B"/>
            <w:tcMar>
              <w:top w:w="15" w:type="dxa"/>
              <w:left w:w="15" w:type="dxa"/>
              <w:bottom w:w="0" w:type="dxa"/>
              <w:right w:w="15" w:type="dxa"/>
            </w:tcMar>
            <w:vAlign w:val="center"/>
            <w:hideMark/>
          </w:tcPr>
          <w:p w14:paraId="2E304C2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6243.97</w:t>
            </w:r>
          </w:p>
        </w:tc>
        <w:tc>
          <w:tcPr>
            <w:tcW w:w="608" w:type="dxa"/>
            <w:shd w:val="clear" w:color="auto" w:fill="F8696B"/>
            <w:tcMar>
              <w:top w:w="15" w:type="dxa"/>
              <w:left w:w="15" w:type="dxa"/>
              <w:bottom w:w="0" w:type="dxa"/>
              <w:right w:w="15" w:type="dxa"/>
            </w:tcMar>
            <w:vAlign w:val="center"/>
            <w:hideMark/>
          </w:tcPr>
          <w:p w14:paraId="0DE68FC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21.33</w:t>
            </w:r>
          </w:p>
        </w:tc>
        <w:tc>
          <w:tcPr>
            <w:tcW w:w="954" w:type="dxa"/>
            <w:tcBorders>
              <w:right w:val="single" w:sz="4" w:space="0" w:color="auto"/>
            </w:tcBorders>
            <w:shd w:val="clear" w:color="auto" w:fill="FFEB84"/>
            <w:tcMar>
              <w:top w:w="15" w:type="dxa"/>
              <w:left w:w="15" w:type="dxa"/>
              <w:bottom w:w="0" w:type="dxa"/>
              <w:right w:w="15" w:type="dxa"/>
            </w:tcMar>
            <w:vAlign w:val="center"/>
            <w:hideMark/>
          </w:tcPr>
          <w:p w14:paraId="612742D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5.06</w:t>
            </w:r>
          </w:p>
        </w:tc>
      </w:tr>
      <w:tr w:rsidR="00DB003A" w:rsidRPr="001F6B66" w14:paraId="267751F3"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3BFF63AB"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Karaj</w:t>
            </w:r>
          </w:p>
        </w:tc>
        <w:tc>
          <w:tcPr>
            <w:tcW w:w="627" w:type="dxa"/>
            <w:tcBorders>
              <w:left w:val="single" w:sz="4" w:space="0" w:color="auto"/>
            </w:tcBorders>
            <w:shd w:val="clear" w:color="auto" w:fill="F86C6B"/>
            <w:tcMar>
              <w:top w:w="15" w:type="dxa"/>
              <w:left w:w="15" w:type="dxa"/>
              <w:bottom w:w="0" w:type="dxa"/>
              <w:right w:w="15" w:type="dxa"/>
            </w:tcMar>
            <w:vAlign w:val="center"/>
            <w:hideMark/>
          </w:tcPr>
          <w:p w14:paraId="4F9F724F"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1.31</w:t>
            </w:r>
          </w:p>
        </w:tc>
        <w:tc>
          <w:tcPr>
            <w:tcW w:w="514" w:type="dxa"/>
            <w:shd w:val="clear" w:color="auto" w:fill="FBA476"/>
            <w:tcMar>
              <w:top w:w="15" w:type="dxa"/>
              <w:left w:w="15" w:type="dxa"/>
              <w:bottom w:w="0" w:type="dxa"/>
              <w:right w:w="15" w:type="dxa"/>
            </w:tcMar>
            <w:vAlign w:val="center"/>
            <w:hideMark/>
          </w:tcPr>
          <w:p w14:paraId="32F11CB6" w14:textId="77777777" w:rsidR="00A90805" w:rsidRPr="001F6B66" w:rsidRDefault="00430D73" w:rsidP="00430D73">
            <w:pPr>
              <w:bidi w:val="0"/>
              <w:jc w:val="center"/>
              <w:rPr>
                <w:rFonts w:asciiTheme="majorBidi" w:hAnsiTheme="majorBidi" w:cstheme="majorBidi"/>
                <w:sz w:val="14"/>
                <w:szCs w:val="14"/>
                <w:rtl/>
              </w:rPr>
            </w:pPr>
            <w:r>
              <w:rPr>
                <w:rFonts w:asciiTheme="majorBidi" w:hAnsiTheme="majorBidi" w:cstheme="majorBidi"/>
                <w:sz w:val="14"/>
                <w:szCs w:val="14"/>
              </w:rPr>
              <w:t>8.79</w:t>
            </w:r>
          </w:p>
        </w:tc>
        <w:tc>
          <w:tcPr>
            <w:tcW w:w="428" w:type="dxa"/>
            <w:shd w:val="clear" w:color="auto" w:fill="F86A6B"/>
            <w:tcMar>
              <w:top w:w="15" w:type="dxa"/>
              <w:left w:w="15" w:type="dxa"/>
              <w:bottom w:w="0" w:type="dxa"/>
              <w:right w:w="15" w:type="dxa"/>
            </w:tcMar>
            <w:vAlign w:val="center"/>
            <w:hideMark/>
          </w:tcPr>
          <w:p w14:paraId="66E74E0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3.14</w:t>
            </w:r>
          </w:p>
        </w:tc>
        <w:tc>
          <w:tcPr>
            <w:tcW w:w="486" w:type="dxa"/>
            <w:gridSpan w:val="2"/>
            <w:shd w:val="clear" w:color="auto" w:fill="F8696B"/>
            <w:tcMar>
              <w:top w:w="15" w:type="dxa"/>
              <w:left w:w="15" w:type="dxa"/>
              <w:bottom w:w="0" w:type="dxa"/>
              <w:right w:w="15" w:type="dxa"/>
            </w:tcMar>
            <w:vAlign w:val="center"/>
            <w:hideMark/>
          </w:tcPr>
          <w:p w14:paraId="52AA440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1.58</w:t>
            </w:r>
          </w:p>
        </w:tc>
        <w:tc>
          <w:tcPr>
            <w:tcW w:w="530" w:type="dxa"/>
            <w:shd w:val="clear" w:color="auto" w:fill="F1E784"/>
            <w:tcMar>
              <w:top w:w="15" w:type="dxa"/>
              <w:left w:w="15" w:type="dxa"/>
              <w:bottom w:w="0" w:type="dxa"/>
              <w:right w:w="15" w:type="dxa"/>
            </w:tcMar>
            <w:vAlign w:val="center"/>
            <w:hideMark/>
          </w:tcPr>
          <w:p w14:paraId="6901A62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0.06</w:t>
            </w:r>
          </w:p>
        </w:tc>
        <w:tc>
          <w:tcPr>
            <w:tcW w:w="643" w:type="dxa"/>
            <w:shd w:val="clear" w:color="auto" w:fill="FA9D75"/>
            <w:tcMar>
              <w:top w:w="15" w:type="dxa"/>
              <w:left w:w="15" w:type="dxa"/>
              <w:bottom w:w="0" w:type="dxa"/>
              <w:right w:w="15" w:type="dxa"/>
            </w:tcMar>
            <w:vAlign w:val="center"/>
            <w:hideMark/>
          </w:tcPr>
          <w:p w14:paraId="7F50E50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0.31</w:t>
            </w:r>
          </w:p>
        </w:tc>
        <w:tc>
          <w:tcPr>
            <w:tcW w:w="600" w:type="dxa"/>
            <w:shd w:val="clear" w:color="auto" w:fill="F8726C"/>
            <w:tcMar>
              <w:top w:w="15" w:type="dxa"/>
              <w:left w:w="15" w:type="dxa"/>
              <w:bottom w:w="0" w:type="dxa"/>
              <w:right w:w="15" w:type="dxa"/>
            </w:tcMar>
            <w:vAlign w:val="center"/>
            <w:hideMark/>
          </w:tcPr>
          <w:p w14:paraId="5D70730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248.60</w:t>
            </w:r>
          </w:p>
        </w:tc>
        <w:tc>
          <w:tcPr>
            <w:tcW w:w="961" w:type="dxa"/>
            <w:shd w:val="clear" w:color="auto" w:fill="F8696B"/>
            <w:tcMar>
              <w:top w:w="15" w:type="dxa"/>
              <w:left w:w="15" w:type="dxa"/>
              <w:bottom w:w="0" w:type="dxa"/>
              <w:right w:w="15" w:type="dxa"/>
            </w:tcMar>
            <w:vAlign w:val="center"/>
            <w:hideMark/>
          </w:tcPr>
          <w:p w14:paraId="3DFA844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667.82</w:t>
            </w:r>
          </w:p>
        </w:tc>
        <w:tc>
          <w:tcPr>
            <w:tcW w:w="586" w:type="dxa"/>
            <w:shd w:val="clear" w:color="auto" w:fill="FCB77A"/>
            <w:tcMar>
              <w:top w:w="15" w:type="dxa"/>
              <w:left w:w="15" w:type="dxa"/>
              <w:bottom w:w="0" w:type="dxa"/>
              <w:right w:w="15" w:type="dxa"/>
            </w:tcMar>
            <w:vAlign w:val="center"/>
            <w:hideMark/>
          </w:tcPr>
          <w:p w14:paraId="4EB1675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58.90</w:t>
            </w:r>
          </w:p>
        </w:tc>
        <w:tc>
          <w:tcPr>
            <w:tcW w:w="625" w:type="dxa"/>
            <w:shd w:val="clear" w:color="auto" w:fill="E1E383"/>
            <w:tcMar>
              <w:top w:w="15" w:type="dxa"/>
              <w:left w:w="15" w:type="dxa"/>
              <w:bottom w:w="0" w:type="dxa"/>
              <w:right w:w="15" w:type="dxa"/>
            </w:tcMar>
            <w:vAlign w:val="center"/>
            <w:hideMark/>
          </w:tcPr>
          <w:p w14:paraId="06D7573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6.91</w:t>
            </w:r>
          </w:p>
        </w:tc>
        <w:tc>
          <w:tcPr>
            <w:tcW w:w="565" w:type="dxa"/>
            <w:shd w:val="clear" w:color="auto" w:fill="F98670"/>
            <w:tcMar>
              <w:top w:w="15" w:type="dxa"/>
              <w:left w:w="15" w:type="dxa"/>
              <w:bottom w:w="0" w:type="dxa"/>
              <w:right w:w="15" w:type="dxa"/>
            </w:tcMar>
            <w:vAlign w:val="center"/>
            <w:hideMark/>
          </w:tcPr>
          <w:p w14:paraId="0E3AB40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75.35</w:t>
            </w:r>
          </w:p>
        </w:tc>
        <w:tc>
          <w:tcPr>
            <w:tcW w:w="608" w:type="dxa"/>
            <w:shd w:val="clear" w:color="auto" w:fill="FFEB84"/>
            <w:tcMar>
              <w:top w:w="15" w:type="dxa"/>
              <w:left w:w="15" w:type="dxa"/>
              <w:bottom w:w="0" w:type="dxa"/>
              <w:right w:w="15" w:type="dxa"/>
            </w:tcMar>
            <w:vAlign w:val="center"/>
            <w:hideMark/>
          </w:tcPr>
          <w:p w14:paraId="7D1A17F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24.02</w:t>
            </w:r>
          </w:p>
        </w:tc>
        <w:tc>
          <w:tcPr>
            <w:tcW w:w="954" w:type="dxa"/>
            <w:tcBorders>
              <w:right w:val="single" w:sz="4" w:space="0" w:color="auto"/>
            </w:tcBorders>
            <w:shd w:val="clear" w:color="auto" w:fill="F8696B"/>
            <w:tcMar>
              <w:top w:w="15" w:type="dxa"/>
              <w:left w:w="15" w:type="dxa"/>
              <w:bottom w:w="0" w:type="dxa"/>
              <w:right w:w="15" w:type="dxa"/>
            </w:tcMar>
            <w:vAlign w:val="center"/>
            <w:hideMark/>
          </w:tcPr>
          <w:p w14:paraId="6D17006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2.13</w:t>
            </w:r>
          </w:p>
        </w:tc>
      </w:tr>
      <w:tr w:rsidR="00DB003A" w:rsidRPr="001F6B66" w14:paraId="3760D9A2"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4A8FABB9"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Kermanshah</w:t>
            </w:r>
          </w:p>
        </w:tc>
        <w:tc>
          <w:tcPr>
            <w:tcW w:w="627" w:type="dxa"/>
            <w:tcBorders>
              <w:left w:val="single" w:sz="4" w:space="0" w:color="auto"/>
            </w:tcBorders>
            <w:shd w:val="clear" w:color="auto" w:fill="FEEB84"/>
            <w:tcMar>
              <w:top w:w="15" w:type="dxa"/>
              <w:left w:w="15" w:type="dxa"/>
              <w:bottom w:w="0" w:type="dxa"/>
              <w:right w:w="15" w:type="dxa"/>
            </w:tcMar>
            <w:vAlign w:val="center"/>
            <w:hideMark/>
          </w:tcPr>
          <w:p w14:paraId="04BBA6E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19.56</w:t>
            </w:r>
          </w:p>
        </w:tc>
        <w:tc>
          <w:tcPr>
            <w:tcW w:w="514" w:type="dxa"/>
            <w:shd w:val="clear" w:color="auto" w:fill="FDEB84"/>
            <w:tcMar>
              <w:top w:w="15" w:type="dxa"/>
              <w:left w:w="15" w:type="dxa"/>
              <w:bottom w:w="0" w:type="dxa"/>
              <w:right w:w="15" w:type="dxa"/>
            </w:tcMar>
            <w:vAlign w:val="center"/>
            <w:hideMark/>
          </w:tcPr>
          <w:p w14:paraId="2DFDFB4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21.12</w:t>
            </w:r>
          </w:p>
        </w:tc>
        <w:tc>
          <w:tcPr>
            <w:tcW w:w="428" w:type="dxa"/>
            <w:shd w:val="clear" w:color="auto" w:fill="FBB279"/>
            <w:tcMar>
              <w:top w:w="15" w:type="dxa"/>
              <w:left w:w="15" w:type="dxa"/>
              <w:bottom w:w="0" w:type="dxa"/>
              <w:right w:w="15" w:type="dxa"/>
            </w:tcMar>
            <w:vAlign w:val="center"/>
            <w:hideMark/>
          </w:tcPr>
          <w:p w14:paraId="039E929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10.56</w:t>
            </w:r>
          </w:p>
        </w:tc>
        <w:tc>
          <w:tcPr>
            <w:tcW w:w="486" w:type="dxa"/>
            <w:gridSpan w:val="2"/>
            <w:shd w:val="clear" w:color="auto" w:fill="FEDC81"/>
            <w:tcMar>
              <w:top w:w="15" w:type="dxa"/>
              <w:left w:w="15" w:type="dxa"/>
              <w:bottom w:w="0" w:type="dxa"/>
              <w:right w:w="15" w:type="dxa"/>
            </w:tcMar>
            <w:vAlign w:val="center"/>
            <w:hideMark/>
          </w:tcPr>
          <w:p w14:paraId="756A679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2.32</w:t>
            </w:r>
          </w:p>
        </w:tc>
        <w:tc>
          <w:tcPr>
            <w:tcW w:w="530" w:type="dxa"/>
            <w:shd w:val="clear" w:color="auto" w:fill="7FC67D"/>
            <w:tcMar>
              <w:top w:w="15" w:type="dxa"/>
              <w:left w:w="15" w:type="dxa"/>
              <w:bottom w:w="0" w:type="dxa"/>
              <w:right w:w="15" w:type="dxa"/>
            </w:tcMar>
            <w:vAlign w:val="center"/>
            <w:hideMark/>
          </w:tcPr>
          <w:p w14:paraId="0E16248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0.10</w:t>
            </w:r>
          </w:p>
        </w:tc>
        <w:tc>
          <w:tcPr>
            <w:tcW w:w="643" w:type="dxa"/>
            <w:shd w:val="clear" w:color="auto" w:fill="FBB078"/>
            <w:tcMar>
              <w:top w:w="15" w:type="dxa"/>
              <w:left w:w="15" w:type="dxa"/>
              <w:bottom w:w="0" w:type="dxa"/>
              <w:right w:w="15" w:type="dxa"/>
            </w:tcMar>
            <w:vAlign w:val="center"/>
            <w:hideMark/>
          </w:tcPr>
          <w:p w14:paraId="0283A93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0.42</w:t>
            </w:r>
          </w:p>
        </w:tc>
        <w:tc>
          <w:tcPr>
            <w:tcW w:w="600" w:type="dxa"/>
            <w:shd w:val="clear" w:color="auto" w:fill="B6D680"/>
            <w:tcMar>
              <w:top w:w="15" w:type="dxa"/>
              <w:left w:w="15" w:type="dxa"/>
              <w:bottom w:w="0" w:type="dxa"/>
              <w:right w:w="15" w:type="dxa"/>
            </w:tcMar>
            <w:vAlign w:val="center"/>
            <w:hideMark/>
          </w:tcPr>
          <w:p w14:paraId="0FFF1426"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799.34</w:t>
            </w:r>
          </w:p>
        </w:tc>
        <w:tc>
          <w:tcPr>
            <w:tcW w:w="961" w:type="dxa"/>
            <w:shd w:val="clear" w:color="auto" w:fill="DEE283"/>
            <w:tcMar>
              <w:top w:w="15" w:type="dxa"/>
              <w:left w:w="15" w:type="dxa"/>
              <w:bottom w:w="0" w:type="dxa"/>
              <w:right w:w="15" w:type="dxa"/>
            </w:tcMar>
            <w:vAlign w:val="center"/>
            <w:hideMark/>
          </w:tcPr>
          <w:p w14:paraId="47B4AAA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2092.11</w:t>
            </w:r>
          </w:p>
        </w:tc>
        <w:tc>
          <w:tcPr>
            <w:tcW w:w="586" w:type="dxa"/>
            <w:shd w:val="clear" w:color="auto" w:fill="FBA777"/>
            <w:tcMar>
              <w:top w:w="15" w:type="dxa"/>
              <w:left w:w="15" w:type="dxa"/>
              <w:bottom w:w="0" w:type="dxa"/>
              <w:right w:w="15" w:type="dxa"/>
            </w:tcMar>
            <w:vAlign w:val="center"/>
            <w:hideMark/>
          </w:tcPr>
          <w:p w14:paraId="7902D58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56.73</w:t>
            </w:r>
          </w:p>
        </w:tc>
        <w:tc>
          <w:tcPr>
            <w:tcW w:w="625" w:type="dxa"/>
            <w:shd w:val="clear" w:color="auto" w:fill="F8696B"/>
            <w:tcMar>
              <w:top w:w="15" w:type="dxa"/>
              <w:left w:w="15" w:type="dxa"/>
              <w:bottom w:w="0" w:type="dxa"/>
              <w:right w:w="15" w:type="dxa"/>
            </w:tcMar>
            <w:vAlign w:val="center"/>
            <w:hideMark/>
          </w:tcPr>
          <w:p w14:paraId="7CC588B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0.00</w:t>
            </w:r>
          </w:p>
        </w:tc>
        <w:tc>
          <w:tcPr>
            <w:tcW w:w="565" w:type="dxa"/>
            <w:shd w:val="clear" w:color="auto" w:fill="FFEB84"/>
            <w:tcMar>
              <w:top w:w="15" w:type="dxa"/>
              <w:left w:w="15" w:type="dxa"/>
              <w:bottom w:w="0" w:type="dxa"/>
              <w:right w:w="15" w:type="dxa"/>
            </w:tcMar>
            <w:vAlign w:val="center"/>
            <w:hideMark/>
          </w:tcPr>
          <w:p w14:paraId="411B6A3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264.09</w:t>
            </w:r>
          </w:p>
        </w:tc>
        <w:tc>
          <w:tcPr>
            <w:tcW w:w="608" w:type="dxa"/>
            <w:shd w:val="clear" w:color="auto" w:fill="F86C6B"/>
            <w:tcMar>
              <w:top w:w="15" w:type="dxa"/>
              <w:left w:w="15" w:type="dxa"/>
              <w:bottom w:w="0" w:type="dxa"/>
              <w:right w:w="15" w:type="dxa"/>
            </w:tcMar>
            <w:vAlign w:val="center"/>
            <w:hideMark/>
          </w:tcPr>
          <w:p w14:paraId="53C78D30"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21.41</w:t>
            </w:r>
          </w:p>
        </w:tc>
        <w:tc>
          <w:tcPr>
            <w:tcW w:w="954" w:type="dxa"/>
            <w:tcBorders>
              <w:right w:val="single" w:sz="4" w:space="0" w:color="auto"/>
            </w:tcBorders>
            <w:shd w:val="clear" w:color="auto" w:fill="FA9874"/>
            <w:tcMar>
              <w:top w:w="15" w:type="dxa"/>
              <w:left w:w="15" w:type="dxa"/>
              <w:bottom w:w="0" w:type="dxa"/>
              <w:right w:w="15" w:type="dxa"/>
            </w:tcMar>
            <w:vAlign w:val="center"/>
            <w:hideMark/>
          </w:tcPr>
          <w:p w14:paraId="29803AE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3.19</w:t>
            </w:r>
          </w:p>
        </w:tc>
      </w:tr>
      <w:tr w:rsidR="00DB003A" w:rsidRPr="001F6B66" w14:paraId="11C18394"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1989DF4A"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Mashhad</w:t>
            </w:r>
          </w:p>
        </w:tc>
        <w:tc>
          <w:tcPr>
            <w:tcW w:w="627" w:type="dxa"/>
            <w:tcBorders>
              <w:left w:val="single" w:sz="4" w:space="0" w:color="auto"/>
            </w:tcBorders>
            <w:shd w:val="clear" w:color="auto" w:fill="FDD780"/>
            <w:tcMar>
              <w:top w:w="15" w:type="dxa"/>
              <w:left w:w="15" w:type="dxa"/>
              <w:bottom w:w="0" w:type="dxa"/>
              <w:right w:w="15" w:type="dxa"/>
            </w:tcMar>
            <w:vAlign w:val="center"/>
            <w:hideMark/>
          </w:tcPr>
          <w:p w14:paraId="5947DFA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15.67</w:t>
            </w:r>
          </w:p>
        </w:tc>
        <w:tc>
          <w:tcPr>
            <w:tcW w:w="514" w:type="dxa"/>
            <w:shd w:val="clear" w:color="auto" w:fill="C7DB81"/>
            <w:tcMar>
              <w:top w:w="15" w:type="dxa"/>
              <w:left w:w="15" w:type="dxa"/>
              <w:bottom w:w="0" w:type="dxa"/>
              <w:right w:w="15" w:type="dxa"/>
            </w:tcMar>
            <w:vAlign w:val="center"/>
            <w:hideMark/>
          </w:tcPr>
          <w:p w14:paraId="355B748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87.16</w:t>
            </w:r>
          </w:p>
        </w:tc>
        <w:tc>
          <w:tcPr>
            <w:tcW w:w="428" w:type="dxa"/>
            <w:shd w:val="clear" w:color="auto" w:fill="FFEB84"/>
            <w:tcMar>
              <w:top w:w="15" w:type="dxa"/>
              <w:left w:w="15" w:type="dxa"/>
              <w:bottom w:w="0" w:type="dxa"/>
              <w:right w:w="15" w:type="dxa"/>
            </w:tcMar>
            <w:vAlign w:val="center"/>
            <w:hideMark/>
          </w:tcPr>
          <w:p w14:paraId="1092A36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16.33</w:t>
            </w:r>
          </w:p>
        </w:tc>
        <w:tc>
          <w:tcPr>
            <w:tcW w:w="486" w:type="dxa"/>
            <w:gridSpan w:val="2"/>
            <w:shd w:val="clear" w:color="auto" w:fill="E1E383"/>
            <w:tcMar>
              <w:top w:w="15" w:type="dxa"/>
              <w:left w:w="15" w:type="dxa"/>
              <w:bottom w:w="0" w:type="dxa"/>
              <w:right w:w="15" w:type="dxa"/>
            </w:tcMar>
            <w:vAlign w:val="center"/>
            <w:hideMark/>
          </w:tcPr>
          <w:p w14:paraId="64948FD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3.92</w:t>
            </w:r>
          </w:p>
        </w:tc>
        <w:tc>
          <w:tcPr>
            <w:tcW w:w="530" w:type="dxa"/>
            <w:shd w:val="clear" w:color="auto" w:fill="FCC57C"/>
            <w:tcMar>
              <w:top w:w="15" w:type="dxa"/>
              <w:left w:w="15" w:type="dxa"/>
              <w:bottom w:w="0" w:type="dxa"/>
              <w:right w:w="15" w:type="dxa"/>
            </w:tcMar>
            <w:vAlign w:val="center"/>
            <w:hideMark/>
          </w:tcPr>
          <w:p w14:paraId="326040D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0.05</w:t>
            </w:r>
          </w:p>
        </w:tc>
        <w:tc>
          <w:tcPr>
            <w:tcW w:w="643" w:type="dxa"/>
            <w:shd w:val="clear" w:color="auto" w:fill="E2E383"/>
            <w:tcMar>
              <w:top w:w="15" w:type="dxa"/>
              <w:left w:w="15" w:type="dxa"/>
              <w:bottom w:w="0" w:type="dxa"/>
              <w:right w:w="15" w:type="dxa"/>
            </w:tcMar>
            <w:vAlign w:val="center"/>
            <w:hideMark/>
          </w:tcPr>
          <w:p w14:paraId="31A4685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2.02</w:t>
            </w:r>
          </w:p>
        </w:tc>
        <w:tc>
          <w:tcPr>
            <w:tcW w:w="600" w:type="dxa"/>
            <w:shd w:val="clear" w:color="auto" w:fill="FDD07E"/>
            <w:tcMar>
              <w:top w:w="15" w:type="dxa"/>
              <w:left w:w="15" w:type="dxa"/>
              <w:bottom w:w="0" w:type="dxa"/>
              <w:right w:w="15" w:type="dxa"/>
            </w:tcMar>
            <w:vAlign w:val="center"/>
            <w:hideMark/>
          </w:tcPr>
          <w:p w14:paraId="0B43FBE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494.34</w:t>
            </w:r>
          </w:p>
        </w:tc>
        <w:tc>
          <w:tcPr>
            <w:tcW w:w="961" w:type="dxa"/>
            <w:shd w:val="clear" w:color="auto" w:fill="FDCC7E"/>
            <w:tcMar>
              <w:top w:w="15" w:type="dxa"/>
              <w:left w:w="15" w:type="dxa"/>
              <w:bottom w:w="0" w:type="dxa"/>
              <w:right w:w="15" w:type="dxa"/>
            </w:tcMar>
            <w:vAlign w:val="center"/>
            <w:hideMark/>
          </w:tcPr>
          <w:p w14:paraId="4A243B3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1529.70</w:t>
            </w:r>
          </w:p>
        </w:tc>
        <w:tc>
          <w:tcPr>
            <w:tcW w:w="586" w:type="dxa"/>
            <w:shd w:val="clear" w:color="auto" w:fill="F97C6E"/>
            <w:tcMar>
              <w:top w:w="15" w:type="dxa"/>
              <w:left w:w="15" w:type="dxa"/>
              <w:bottom w:w="0" w:type="dxa"/>
              <w:right w:w="15" w:type="dxa"/>
            </w:tcMar>
            <w:vAlign w:val="center"/>
            <w:hideMark/>
          </w:tcPr>
          <w:p w14:paraId="6AFF91F4"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50.49</w:t>
            </w:r>
          </w:p>
        </w:tc>
        <w:tc>
          <w:tcPr>
            <w:tcW w:w="625" w:type="dxa"/>
            <w:shd w:val="clear" w:color="auto" w:fill="FBAD78"/>
            <w:tcMar>
              <w:top w:w="15" w:type="dxa"/>
              <w:left w:w="15" w:type="dxa"/>
              <w:bottom w:w="0" w:type="dxa"/>
              <w:right w:w="15" w:type="dxa"/>
            </w:tcMar>
            <w:vAlign w:val="center"/>
            <w:hideMark/>
          </w:tcPr>
          <w:p w14:paraId="698F1E9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1.63</w:t>
            </w:r>
          </w:p>
        </w:tc>
        <w:tc>
          <w:tcPr>
            <w:tcW w:w="565" w:type="dxa"/>
            <w:shd w:val="clear" w:color="auto" w:fill="E4E483"/>
            <w:tcMar>
              <w:top w:w="15" w:type="dxa"/>
              <w:left w:w="15" w:type="dxa"/>
              <w:bottom w:w="0" w:type="dxa"/>
              <w:right w:w="15" w:type="dxa"/>
            </w:tcMar>
            <w:vAlign w:val="center"/>
            <w:hideMark/>
          </w:tcPr>
          <w:p w14:paraId="3295AF38"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1306.23</w:t>
            </w:r>
          </w:p>
        </w:tc>
        <w:tc>
          <w:tcPr>
            <w:tcW w:w="608" w:type="dxa"/>
            <w:shd w:val="clear" w:color="auto" w:fill="F8736D"/>
            <w:tcMar>
              <w:top w:w="15" w:type="dxa"/>
              <w:left w:w="15" w:type="dxa"/>
              <w:bottom w:w="0" w:type="dxa"/>
              <w:right w:w="15" w:type="dxa"/>
            </w:tcMar>
            <w:vAlign w:val="center"/>
            <w:hideMark/>
          </w:tcPr>
          <w:p w14:paraId="336FD6C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21.55</w:t>
            </w:r>
          </w:p>
        </w:tc>
        <w:tc>
          <w:tcPr>
            <w:tcW w:w="954" w:type="dxa"/>
            <w:tcBorders>
              <w:right w:val="single" w:sz="4" w:space="0" w:color="auto"/>
            </w:tcBorders>
            <w:shd w:val="clear" w:color="auto" w:fill="F8766D"/>
            <w:tcMar>
              <w:top w:w="15" w:type="dxa"/>
              <w:left w:w="15" w:type="dxa"/>
              <w:bottom w:w="0" w:type="dxa"/>
              <w:right w:w="15" w:type="dxa"/>
            </w:tcMar>
            <w:vAlign w:val="center"/>
            <w:hideMark/>
          </w:tcPr>
          <w:p w14:paraId="6490600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2.44</w:t>
            </w:r>
          </w:p>
        </w:tc>
      </w:tr>
      <w:tr w:rsidR="00DB003A" w:rsidRPr="001F6B66" w14:paraId="4B01BFDC"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47E188BA"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Yazd</w:t>
            </w:r>
          </w:p>
        </w:tc>
        <w:tc>
          <w:tcPr>
            <w:tcW w:w="627" w:type="dxa"/>
            <w:tcBorders>
              <w:left w:val="single" w:sz="4" w:space="0" w:color="auto"/>
            </w:tcBorders>
            <w:shd w:val="clear" w:color="auto" w:fill="FEE182"/>
            <w:tcMar>
              <w:top w:w="15" w:type="dxa"/>
              <w:left w:w="15" w:type="dxa"/>
              <w:bottom w:w="0" w:type="dxa"/>
              <w:right w:w="15" w:type="dxa"/>
            </w:tcMar>
            <w:vAlign w:val="center"/>
            <w:hideMark/>
          </w:tcPr>
          <w:p w14:paraId="324717B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17.12</w:t>
            </w:r>
          </w:p>
        </w:tc>
        <w:tc>
          <w:tcPr>
            <w:tcW w:w="514" w:type="dxa"/>
            <w:shd w:val="clear" w:color="auto" w:fill="63BE7B"/>
            <w:tcMar>
              <w:top w:w="15" w:type="dxa"/>
              <w:left w:w="15" w:type="dxa"/>
              <w:bottom w:w="0" w:type="dxa"/>
              <w:right w:w="15" w:type="dxa"/>
            </w:tcMar>
            <w:vAlign w:val="center"/>
            <w:hideMark/>
          </w:tcPr>
          <w:p w14:paraId="6C66BB7F" w14:textId="77777777" w:rsidR="00A90805" w:rsidRPr="001F6B66" w:rsidRDefault="00A90805" w:rsidP="00430D73">
            <w:pPr>
              <w:bidi w:val="0"/>
              <w:jc w:val="center"/>
              <w:rPr>
                <w:rFonts w:asciiTheme="majorBidi" w:hAnsiTheme="majorBidi" w:cstheme="majorBidi"/>
                <w:sz w:val="14"/>
                <w:szCs w:val="14"/>
              </w:rPr>
            </w:pPr>
            <w:r w:rsidRPr="001F6B66">
              <w:rPr>
                <w:rFonts w:asciiTheme="majorBidi" w:hAnsiTheme="majorBidi" w:cstheme="majorBidi"/>
                <w:sz w:val="14"/>
                <w:szCs w:val="14"/>
              </w:rPr>
              <w:t>208.44</w:t>
            </w:r>
          </w:p>
        </w:tc>
        <w:tc>
          <w:tcPr>
            <w:tcW w:w="428" w:type="dxa"/>
            <w:shd w:val="clear" w:color="auto" w:fill="63BE7B"/>
            <w:tcMar>
              <w:top w:w="15" w:type="dxa"/>
              <w:left w:w="15" w:type="dxa"/>
              <w:bottom w:w="0" w:type="dxa"/>
              <w:right w:w="15" w:type="dxa"/>
            </w:tcMar>
            <w:vAlign w:val="center"/>
            <w:hideMark/>
          </w:tcPr>
          <w:p w14:paraId="3C33F16C"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26.43</w:t>
            </w:r>
          </w:p>
        </w:tc>
        <w:tc>
          <w:tcPr>
            <w:tcW w:w="486" w:type="dxa"/>
            <w:gridSpan w:val="2"/>
            <w:shd w:val="clear" w:color="auto" w:fill="88C97E"/>
            <w:tcMar>
              <w:top w:w="15" w:type="dxa"/>
              <w:left w:w="15" w:type="dxa"/>
              <w:bottom w:w="0" w:type="dxa"/>
              <w:right w:w="15" w:type="dxa"/>
            </w:tcMar>
            <w:vAlign w:val="center"/>
            <w:hideMark/>
          </w:tcPr>
          <w:p w14:paraId="2FC1807F"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8.23</w:t>
            </w:r>
          </w:p>
        </w:tc>
        <w:tc>
          <w:tcPr>
            <w:tcW w:w="530" w:type="dxa"/>
            <w:shd w:val="clear" w:color="auto" w:fill="FEE382"/>
            <w:tcMar>
              <w:top w:w="15" w:type="dxa"/>
              <w:left w:w="15" w:type="dxa"/>
              <w:bottom w:w="0" w:type="dxa"/>
              <w:right w:w="15" w:type="dxa"/>
            </w:tcMar>
            <w:vAlign w:val="center"/>
            <w:hideMark/>
          </w:tcPr>
          <w:p w14:paraId="2D6B4DD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0.06</w:t>
            </w:r>
          </w:p>
        </w:tc>
        <w:tc>
          <w:tcPr>
            <w:tcW w:w="643" w:type="dxa"/>
            <w:shd w:val="clear" w:color="auto" w:fill="F2E884"/>
            <w:tcMar>
              <w:top w:w="15" w:type="dxa"/>
              <w:left w:w="15" w:type="dxa"/>
              <w:bottom w:w="0" w:type="dxa"/>
              <w:right w:w="15" w:type="dxa"/>
            </w:tcMar>
            <w:vAlign w:val="center"/>
            <w:hideMark/>
          </w:tcPr>
          <w:p w14:paraId="0895484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1.32</w:t>
            </w:r>
          </w:p>
        </w:tc>
        <w:tc>
          <w:tcPr>
            <w:tcW w:w="600" w:type="dxa"/>
            <w:shd w:val="clear" w:color="auto" w:fill="E5E483"/>
            <w:tcMar>
              <w:top w:w="15" w:type="dxa"/>
              <w:left w:w="15" w:type="dxa"/>
              <w:bottom w:w="0" w:type="dxa"/>
              <w:right w:w="15" w:type="dxa"/>
            </w:tcMar>
            <w:vAlign w:val="center"/>
            <w:hideMark/>
          </w:tcPr>
          <w:p w14:paraId="6202C79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646.81</w:t>
            </w:r>
          </w:p>
        </w:tc>
        <w:tc>
          <w:tcPr>
            <w:tcW w:w="961" w:type="dxa"/>
            <w:shd w:val="clear" w:color="auto" w:fill="FFEB84"/>
            <w:tcMar>
              <w:top w:w="15" w:type="dxa"/>
              <w:left w:w="15" w:type="dxa"/>
              <w:bottom w:w="0" w:type="dxa"/>
              <w:right w:w="15" w:type="dxa"/>
            </w:tcMar>
            <w:vAlign w:val="center"/>
            <w:hideMark/>
          </w:tcPr>
          <w:p w14:paraId="1FAF2EF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1795.82</w:t>
            </w:r>
          </w:p>
        </w:tc>
        <w:tc>
          <w:tcPr>
            <w:tcW w:w="586" w:type="dxa"/>
            <w:shd w:val="clear" w:color="auto" w:fill="63BE7B"/>
            <w:tcMar>
              <w:top w:w="15" w:type="dxa"/>
              <w:left w:w="15" w:type="dxa"/>
              <w:bottom w:w="0" w:type="dxa"/>
              <w:right w:w="15" w:type="dxa"/>
            </w:tcMar>
            <w:vAlign w:val="center"/>
            <w:hideMark/>
          </w:tcPr>
          <w:p w14:paraId="1EA8938B"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195.40</w:t>
            </w:r>
          </w:p>
        </w:tc>
        <w:tc>
          <w:tcPr>
            <w:tcW w:w="625" w:type="dxa"/>
            <w:shd w:val="clear" w:color="auto" w:fill="71C27C"/>
            <w:tcMar>
              <w:top w:w="15" w:type="dxa"/>
              <w:left w:w="15" w:type="dxa"/>
              <w:bottom w:w="0" w:type="dxa"/>
              <w:right w:w="15" w:type="dxa"/>
            </w:tcMar>
            <w:vAlign w:val="center"/>
            <w:hideMark/>
          </w:tcPr>
          <w:p w14:paraId="4430F39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20.77</w:t>
            </w:r>
          </w:p>
        </w:tc>
        <w:tc>
          <w:tcPr>
            <w:tcW w:w="565" w:type="dxa"/>
            <w:shd w:val="clear" w:color="auto" w:fill="FCEA84"/>
            <w:tcMar>
              <w:top w:w="15" w:type="dxa"/>
              <w:left w:w="15" w:type="dxa"/>
              <w:bottom w:w="0" w:type="dxa"/>
              <w:right w:w="15" w:type="dxa"/>
            </w:tcMar>
            <w:vAlign w:val="center"/>
            <w:hideMark/>
          </w:tcPr>
          <w:p w14:paraId="24FED01D"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415.35</w:t>
            </w:r>
          </w:p>
        </w:tc>
        <w:tc>
          <w:tcPr>
            <w:tcW w:w="608" w:type="dxa"/>
            <w:shd w:val="clear" w:color="auto" w:fill="F5E984"/>
            <w:tcMar>
              <w:top w:w="15" w:type="dxa"/>
              <w:left w:w="15" w:type="dxa"/>
              <w:bottom w:w="0" w:type="dxa"/>
              <w:right w:w="15" w:type="dxa"/>
            </w:tcMar>
            <w:vAlign w:val="center"/>
            <w:hideMark/>
          </w:tcPr>
          <w:p w14:paraId="5E82A89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24.37</w:t>
            </w:r>
          </w:p>
        </w:tc>
        <w:tc>
          <w:tcPr>
            <w:tcW w:w="954" w:type="dxa"/>
            <w:tcBorders>
              <w:right w:val="single" w:sz="4" w:space="0" w:color="auto"/>
            </w:tcBorders>
            <w:shd w:val="clear" w:color="auto" w:fill="FED980"/>
            <w:tcMar>
              <w:top w:w="15" w:type="dxa"/>
              <w:left w:w="15" w:type="dxa"/>
              <w:bottom w:w="0" w:type="dxa"/>
              <w:right w:w="15" w:type="dxa"/>
            </w:tcMar>
            <w:vAlign w:val="center"/>
            <w:hideMark/>
          </w:tcPr>
          <w:p w14:paraId="558ADB09"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4.67</w:t>
            </w:r>
          </w:p>
        </w:tc>
      </w:tr>
      <w:tr w:rsidR="00DB003A" w:rsidRPr="001F6B66" w14:paraId="22FC02F1" w14:textId="77777777" w:rsidTr="00E57A3A">
        <w:trPr>
          <w:trHeight w:val="274"/>
          <w:jc w:val="center"/>
        </w:trPr>
        <w:tc>
          <w:tcPr>
            <w:tcW w:w="0" w:type="auto"/>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1D2A41BA" w14:textId="77777777" w:rsidR="00A90805" w:rsidRPr="001F6B66" w:rsidRDefault="00A90805" w:rsidP="00A90805">
            <w:pPr>
              <w:bidi w:val="0"/>
              <w:jc w:val="center"/>
              <w:rPr>
                <w:rFonts w:asciiTheme="majorBidi" w:hAnsiTheme="majorBidi" w:cstheme="majorBidi"/>
                <w:sz w:val="16"/>
                <w:szCs w:val="16"/>
                <w:rtl/>
              </w:rPr>
            </w:pPr>
            <w:r w:rsidRPr="001F6B66">
              <w:rPr>
                <w:rFonts w:asciiTheme="majorBidi" w:hAnsiTheme="majorBidi" w:cstheme="majorBidi"/>
                <w:b/>
                <w:bCs/>
                <w:sz w:val="16"/>
                <w:szCs w:val="16"/>
              </w:rPr>
              <w:t>Rasht</w:t>
            </w:r>
          </w:p>
        </w:tc>
        <w:tc>
          <w:tcPr>
            <w:tcW w:w="627" w:type="dxa"/>
            <w:tcBorders>
              <w:left w:val="single" w:sz="4" w:space="0" w:color="auto"/>
              <w:bottom w:val="single" w:sz="4" w:space="0" w:color="auto"/>
            </w:tcBorders>
            <w:shd w:val="clear" w:color="auto" w:fill="F6E984"/>
            <w:tcMar>
              <w:top w:w="15" w:type="dxa"/>
              <w:left w:w="15" w:type="dxa"/>
              <w:bottom w:w="0" w:type="dxa"/>
              <w:right w:w="15" w:type="dxa"/>
            </w:tcMar>
            <w:vAlign w:val="center"/>
            <w:hideMark/>
          </w:tcPr>
          <w:p w14:paraId="7928382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29.41</w:t>
            </w:r>
          </w:p>
        </w:tc>
        <w:tc>
          <w:tcPr>
            <w:tcW w:w="514" w:type="dxa"/>
            <w:tcBorders>
              <w:bottom w:val="single" w:sz="4" w:space="0" w:color="auto"/>
            </w:tcBorders>
            <w:shd w:val="clear" w:color="auto" w:fill="D6DF82"/>
            <w:tcMar>
              <w:top w:w="15" w:type="dxa"/>
              <w:left w:w="15" w:type="dxa"/>
              <w:bottom w:w="0" w:type="dxa"/>
              <w:right w:w="15" w:type="dxa"/>
            </w:tcMar>
            <w:vAlign w:val="center"/>
            <w:hideMark/>
          </w:tcPr>
          <w:p w14:paraId="16FE801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69.45</w:t>
            </w:r>
          </w:p>
        </w:tc>
        <w:tc>
          <w:tcPr>
            <w:tcW w:w="428" w:type="dxa"/>
            <w:tcBorders>
              <w:bottom w:val="single" w:sz="4" w:space="0" w:color="auto"/>
            </w:tcBorders>
            <w:shd w:val="clear" w:color="auto" w:fill="F6E984"/>
            <w:tcMar>
              <w:top w:w="15" w:type="dxa"/>
              <w:left w:w="15" w:type="dxa"/>
              <w:bottom w:w="0" w:type="dxa"/>
              <w:right w:w="15" w:type="dxa"/>
            </w:tcMar>
            <w:vAlign w:val="center"/>
            <w:hideMark/>
          </w:tcPr>
          <w:p w14:paraId="3C83CEA3"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16.91</w:t>
            </w:r>
          </w:p>
        </w:tc>
        <w:tc>
          <w:tcPr>
            <w:tcW w:w="486" w:type="dxa"/>
            <w:gridSpan w:val="2"/>
            <w:tcBorders>
              <w:bottom w:val="single" w:sz="4" w:space="0" w:color="auto"/>
            </w:tcBorders>
            <w:shd w:val="clear" w:color="auto" w:fill="FBAC78"/>
            <w:tcMar>
              <w:top w:w="15" w:type="dxa"/>
              <w:left w:w="15" w:type="dxa"/>
              <w:bottom w:w="0" w:type="dxa"/>
              <w:right w:w="15" w:type="dxa"/>
            </w:tcMar>
            <w:vAlign w:val="center"/>
            <w:hideMark/>
          </w:tcPr>
          <w:p w14:paraId="279B217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2.01</w:t>
            </w:r>
          </w:p>
        </w:tc>
        <w:tc>
          <w:tcPr>
            <w:tcW w:w="530" w:type="dxa"/>
            <w:tcBorders>
              <w:bottom w:val="single" w:sz="4" w:space="0" w:color="auto"/>
            </w:tcBorders>
            <w:shd w:val="clear" w:color="auto" w:fill="63BE7B"/>
            <w:tcMar>
              <w:top w:w="15" w:type="dxa"/>
              <w:left w:w="15" w:type="dxa"/>
              <w:bottom w:w="0" w:type="dxa"/>
              <w:right w:w="15" w:type="dxa"/>
            </w:tcMar>
            <w:vAlign w:val="center"/>
            <w:hideMark/>
          </w:tcPr>
          <w:p w14:paraId="05600C22"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0.10</w:t>
            </w:r>
          </w:p>
        </w:tc>
        <w:tc>
          <w:tcPr>
            <w:tcW w:w="643" w:type="dxa"/>
            <w:tcBorders>
              <w:bottom w:val="single" w:sz="4" w:space="0" w:color="auto"/>
            </w:tcBorders>
            <w:shd w:val="clear" w:color="auto" w:fill="F9816F"/>
            <w:tcMar>
              <w:top w:w="15" w:type="dxa"/>
              <w:left w:w="15" w:type="dxa"/>
              <w:bottom w:w="0" w:type="dxa"/>
              <w:right w:w="15" w:type="dxa"/>
            </w:tcMar>
            <w:vAlign w:val="center"/>
            <w:hideMark/>
          </w:tcPr>
          <w:p w14:paraId="50BE1A6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0.15</w:t>
            </w:r>
          </w:p>
        </w:tc>
        <w:tc>
          <w:tcPr>
            <w:tcW w:w="600" w:type="dxa"/>
            <w:tcBorders>
              <w:bottom w:val="single" w:sz="4" w:space="0" w:color="auto"/>
            </w:tcBorders>
            <w:shd w:val="clear" w:color="auto" w:fill="88C97E"/>
            <w:tcMar>
              <w:top w:w="15" w:type="dxa"/>
              <w:left w:w="15" w:type="dxa"/>
              <w:bottom w:w="0" w:type="dxa"/>
              <w:right w:w="15" w:type="dxa"/>
            </w:tcMar>
            <w:vAlign w:val="center"/>
            <w:hideMark/>
          </w:tcPr>
          <w:p w14:paraId="280838D7"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949.42</w:t>
            </w:r>
          </w:p>
        </w:tc>
        <w:tc>
          <w:tcPr>
            <w:tcW w:w="961" w:type="dxa"/>
            <w:tcBorders>
              <w:bottom w:val="single" w:sz="4" w:space="0" w:color="auto"/>
            </w:tcBorders>
            <w:shd w:val="clear" w:color="auto" w:fill="63BE7B"/>
            <w:tcMar>
              <w:top w:w="15" w:type="dxa"/>
              <w:left w:w="15" w:type="dxa"/>
              <w:bottom w:w="0" w:type="dxa"/>
              <w:right w:w="15" w:type="dxa"/>
            </w:tcMar>
            <w:vAlign w:val="center"/>
            <w:hideMark/>
          </w:tcPr>
          <w:p w14:paraId="5E794BE6"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3188.70</w:t>
            </w:r>
          </w:p>
        </w:tc>
        <w:tc>
          <w:tcPr>
            <w:tcW w:w="586" w:type="dxa"/>
            <w:tcBorders>
              <w:bottom w:val="single" w:sz="4" w:space="0" w:color="auto"/>
            </w:tcBorders>
            <w:shd w:val="clear" w:color="auto" w:fill="FFEB84"/>
            <w:tcMar>
              <w:top w:w="15" w:type="dxa"/>
              <w:left w:w="15" w:type="dxa"/>
              <w:bottom w:w="0" w:type="dxa"/>
              <w:right w:w="15" w:type="dxa"/>
            </w:tcMar>
            <w:vAlign w:val="center"/>
            <w:hideMark/>
          </w:tcPr>
          <w:p w14:paraId="6E618E7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66.32</w:t>
            </w:r>
          </w:p>
        </w:tc>
        <w:tc>
          <w:tcPr>
            <w:tcW w:w="625" w:type="dxa"/>
            <w:tcBorders>
              <w:bottom w:val="single" w:sz="4" w:space="0" w:color="auto"/>
            </w:tcBorders>
            <w:shd w:val="clear" w:color="auto" w:fill="A2D17F"/>
            <w:tcMar>
              <w:top w:w="15" w:type="dxa"/>
              <w:left w:w="15" w:type="dxa"/>
              <w:bottom w:w="0" w:type="dxa"/>
              <w:right w:w="15" w:type="dxa"/>
            </w:tcMar>
            <w:vAlign w:val="center"/>
            <w:hideMark/>
          </w:tcPr>
          <w:p w14:paraId="2FA287BA"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14.71</w:t>
            </w:r>
          </w:p>
        </w:tc>
        <w:tc>
          <w:tcPr>
            <w:tcW w:w="565" w:type="dxa"/>
            <w:tcBorders>
              <w:bottom w:val="single" w:sz="4" w:space="0" w:color="auto"/>
            </w:tcBorders>
            <w:shd w:val="clear" w:color="auto" w:fill="FBEA84"/>
            <w:tcMar>
              <w:top w:w="15" w:type="dxa"/>
              <w:left w:w="15" w:type="dxa"/>
              <w:bottom w:w="0" w:type="dxa"/>
              <w:right w:w="15" w:type="dxa"/>
            </w:tcMar>
            <w:vAlign w:val="center"/>
            <w:hideMark/>
          </w:tcPr>
          <w:p w14:paraId="093DBC05"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441.18</w:t>
            </w:r>
          </w:p>
        </w:tc>
        <w:tc>
          <w:tcPr>
            <w:tcW w:w="608" w:type="dxa"/>
            <w:tcBorders>
              <w:bottom w:val="single" w:sz="4" w:space="0" w:color="auto"/>
            </w:tcBorders>
            <w:shd w:val="clear" w:color="auto" w:fill="F98D71"/>
            <w:tcMar>
              <w:top w:w="15" w:type="dxa"/>
              <w:left w:w="15" w:type="dxa"/>
              <w:bottom w:w="0" w:type="dxa"/>
              <w:right w:w="15" w:type="dxa"/>
            </w:tcMar>
            <w:vAlign w:val="center"/>
            <w:hideMark/>
          </w:tcPr>
          <w:p w14:paraId="2062D04E"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22.08</w:t>
            </w:r>
          </w:p>
        </w:tc>
        <w:tc>
          <w:tcPr>
            <w:tcW w:w="954" w:type="dxa"/>
            <w:tcBorders>
              <w:bottom w:val="single" w:sz="4" w:space="0" w:color="auto"/>
              <w:right w:val="single" w:sz="4" w:space="0" w:color="auto"/>
            </w:tcBorders>
            <w:shd w:val="clear" w:color="auto" w:fill="FDD17F"/>
            <w:tcMar>
              <w:top w:w="15" w:type="dxa"/>
              <w:left w:w="15" w:type="dxa"/>
              <w:bottom w:w="0" w:type="dxa"/>
              <w:right w:w="15" w:type="dxa"/>
            </w:tcMar>
            <w:vAlign w:val="center"/>
            <w:hideMark/>
          </w:tcPr>
          <w:p w14:paraId="09DDF491" w14:textId="77777777" w:rsidR="00A90805" w:rsidRPr="001F6B66" w:rsidRDefault="00A90805" w:rsidP="00430D73">
            <w:pPr>
              <w:bidi w:val="0"/>
              <w:jc w:val="center"/>
              <w:rPr>
                <w:rFonts w:asciiTheme="majorBidi" w:hAnsiTheme="majorBidi" w:cstheme="majorBidi"/>
                <w:sz w:val="14"/>
                <w:szCs w:val="14"/>
                <w:rtl/>
              </w:rPr>
            </w:pPr>
            <w:r w:rsidRPr="001F6B66">
              <w:rPr>
                <w:rFonts w:asciiTheme="majorBidi" w:hAnsiTheme="majorBidi" w:cstheme="majorBidi"/>
                <w:sz w:val="14"/>
                <w:szCs w:val="14"/>
              </w:rPr>
              <w:t>4.49</w:t>
            </w:r>
            <w:commentRangeEnd w:id="2"/>
            <w:r w:rsidR="00027DAD">
              <w:rPr>
                <w:rStyle w:val="CommentReference"/>
              </w:rPr>
              <w:commentReference w:id="2"/>
            </w:r>
          </w:p>
        </w:tc>
      </w:tr>
    </w:tbl>
    <w:p w14:paraId="3909AE18" w14:textId="77777777" w:rsidR="00A90805" w:rsidRDefault="00E57A3A" w:rsidP="00A90805">
      <w:pPr>
        <w:bidi w:val="0"/>
        <w:jc w:val="lowKashida"/>
        <w:rPr>
          <w:rFonts w:asciiTheme="majorBidi" w:hAnsiTheme="majorBidi" w:cstheme="majorBidi"/>
          <w:sz w:val="24"/>
          <w:szCs w:val="24"/>
        </w:rPr>
      </w:pPr>
      <w:r>
        <w:rPr>
          <w:rFonts w:asciiTheme="majorBidi" w:hAnsiTheme="majorBidi" w:cstheme="majorBidi"/>
          <w:noProof/>
          <w:sz w:val="24"/>
          <w:szCs w:val="24"/>
          <w:lang w:bidi="ar-SA"/>
        </w:rPr>
        <w:drawing>
          <wp:inline distT="0" distB="0" distL="0" distR="0" wp14:anchorId="304866ED" wp14:editId="64A14EDD">
            <wp:extent cx="3114185" cy="30176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952" cy="308717"/>
                    </a:xfrm>
                    <a:prstGeom prst="rect">
                      <a:avLst/>
                    </a:prstGeom>
                    <a:noFill/>
                  </pic:spPr>
                </pic:pic>
              </a:graphicData>
            </a:graphic>
          </wp:inline>
        </w:drawing>
      </w:r>
    </w:p>
    <w:p w14:paraId="4368A0B1" w14:textId="77777777" w:rsidR="00027DAD" w:rsidRDefault="00027DAD" w:rsidP="00027DAD">
      <w:pPr>
        <w:bidi w:val="0"/>
        <w:jc w:val="lowKashida"/>
        <w:rPr>
          <w:rFonts w:asciiTheme="majorBidi" w:hAnsiTheme="majorBidi" w:cstheme="majorBidi"/>
          <w:sz w:val="24"/>
          <w:szCs w:val="24"/>
        </w:rPr>
      </w:pPr>
    </w:p>
    <w:p w14:paraId="1FE97534"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4.5- </w:t>
      </w:r>
      <w:r w:rsidR="00A90805" w:rsidRPr="006B752A">
        <w:rPr>
          <w:rFonts w:asciiTheme="majorBidi" w:hAnsiTheme="majorBidi" w:cstheme="majorBidi"/>
          <w:b/>
          <w:bCs/>
          <w:sz w:val="24"/>
          <w:szCs w:val="24"/>
        </w:rPr>
        <w:t>Ranking of cities in terms of the livelihood of Iranian Muslim citizens</w:t>
      </w:r>
    </w:p>
    <w:p w14:paraId="5A4209A1" w14:textId="77777777" w:rsidR="00A90805" w:rsidRPr="006B752A"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The results of the TOPSIS technique for the 8 indicators of the "Livelihoods of Iranian Muslim Citizens" show that Yazd Metropolis rank</w:t>
      </w:r>
      <w:r>
        <w:rPr>
          <w:rFonts w:asciiTheme="majorBidi" w:hAnsiTheme="majorBidi" w:cstheme="majorBidi"/>
          <w:sz w:val="24"/>
          <w:szCs w:val="24"/>
        </w:rPr>
        <w:t>ed</w:t>
      </w:r>
      <w:r w:rsidRPr="006B752A">
        <w:rPr>
          <w:rFonts w:asciiTheme="majorBidi" w:hAnsiTheme="majorBidi" w:cstheme="majorBidi"/>
          <w:sz w:val="24"/>
          <w:szCs w:val="24"/>
        </w:rPr>
        <w:t xml:space="preserve"> first, followed by Rasht, Ahvaz, and Tabriz metropolises, with a very small difference between them, respectively. Al</w:t>
      </w:r>
      <w:bookmarkStart w:id="3" w:name="_GoBack"/>
      <w:bookmarkEnd w:id="3"/>
      <w:r w:rsidRPr="006B752A">
        <w:rPr>
          <w:rFonts w:asciiTheme="majorBidi" w:hAnsiTheme="majorBidi" w:cstheme="majorBidi"/>
          <w:sz w:val="24"/>
          <w:szCs w:val="24"/>
        </w:rPr>
        <w:t>so, Shiraz and Kermanshah metropolises obtained the last ranks, respectively. Table (4) shows the results.</w:t>
      </w:r>
    </w:p>
    <w:p w14:paraId="3278591B" w14:textId="77777777" w:rsidR="00E57A3A" w:rsidRDefault="00A90805" w:rsidP="00E57A3A">
      <w:pPr>
        <w:bidi w:val="0"/>
        <w:jc w:val="center"/>
        <w:rPr>
          <w:rFonts w:asciiTheme="majorBidi" w:hAnsiTheme="majorBidi" w:cstheme="majorBidi"/>
          <w:sz w:val="18"/>
          <w:szCs w:val="18"/>
        </w:rPr>
      </w:pPr>
      <w:r w:rsidRPr="004A7F3E">
        <w:rPr>
          <w:rFonts w:asciiTheme="majorBidi" w:hAnsiTheme="majorBidi" w:cstheme="majorBidi"/>
          <w:sz w:val="18"/>
          <w:szCs w:val="18"/>
          <w:highlight w:val="yellow"/>
        </w:rPr>
        <w:t>Table (4). The constitutive indicators of the "livelihood of Iranian Muslim citizens" pillar</w:t>
      </w:r>
    </w:p>
    <w:tbl>
      <w:tblPr>
        <w:bidiVisual/>
        <w:tblW w:w="4967" w:type="pct"/>
        <w:jc w:val="center"/>
        <w:tblCellMar>
          <w:left w:w="0" w:type="dxa"/>
          <w:right w:w="0" w:type="dxa"/>
        </w:tblCellMar>
        <w:tblLook w:val="0600" w:firstRow="0" w:lastRow="0" w:firstColumn="0" w:lastColumn="0" w:noHBand="1" w:noVBand="1"/>
      </w:tblPr>
      <w:tblGrid>
        <w:gridCol w:w="1022"/>
        <w:gridCol w:w="1246"/>
        <w:gridCol w:w="859"/>
        <w:gridCol w:w="664"/>
        <w:gridCol w:w="884"/>
        <w:gridCol w:w="1121"/>
        <w:gridCol w:w="1238"/>
        <w:gridCol w:w="965"/>
        <w:gridCol w:w="1001"/>
      </w:tblGrid>
      <w:tr w:rsidR="00A90805" w:rsidRPr="001F6B66" w14:paraId="129C3537" w14:textId="77777777" w:rsidTr="00CC1393">
        <w:trPr>
          <w:trHeight w:val="267"/>
          <w:jc w:val="center"/>
        </w:trPr>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F1EB3" w14:textId="77777777" w:rsidR="00A90805" w:rsidRPr="00E57A3A" w:rsidRDefault="00A90805" w:rsidP="00A90805">
            <w:pPr>
              <w:bidi w:val="0"/>
              <w:jc w:val="center"/>
              <w:rPr>
                <w:rFonts w:asciiTheme="majorBidi" w:hAnsiTheme="majorBidi" w:cstheme="majorBidi"/>
                <w:b/>
                <w:bCs/>
                <w:sz w:val="16"/>
                <w:szCs w:val="16"/>
                <w:rtl/>
              </w:rPr>
            </w:pPr>
            <w:commentRangeStart w:id="4"/>
            <w:r w:rsidRPr="00E57A3A">
              <w:rPr>
                <w:rFonts w:asciiTheme="majorBidi" w:hAnsiTheme="majorBidi" w:cstheme="majorBidi"/>
                <w:b/>
                <w:bCs/>
                <w:sz w:val="16"/>
                <w:szCs w:val="16"/>
              </w:rPr>
              <w:t>Description</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99437" w14:textId="77777777" w:rsidR="00A90805" w:rsidRPr="00CA6FE9" w:rsidRDefault="00A90805" w:rsidP="00A90805">
            <w:pPr>
              <w:bidi w:val="0"/>
              <w:jc w:val="center"/>
              <w:rPr>
                <w:rFonts w:asciiTheme="majorBidi" w:hAnsiTheme="majorBidi" w:cstheme="majorBidi"/>
                <w:b/>
                <w:bCs/>
                <w:sz w:val="16"/>
                <w:szCs w:val="16"/>
                <w:rtl/>
              </w:rPr>
            </w:pPr>
            <w:r w:rsidRPr="00CA6FE9">
              <w:rPr>
                <w:rFonts w:asciiTheme="majorBidi" w:eastAsia="Times New Roman" w:hAnsiTheme="majorBidi" w:cstheme="majorBidi"/>
                <w:b/>
                <w:bCs/>
                <w:color w:val="000000"/>
                <w:sz w:val="16"/>
                <w:szCs w:val="16"/>
              </w:rPr>
              <w:t xml:space="preserve">Subsistence, </w:t>
            </w:r>
            <w:r w:rsidR="00CC1393" w:rsidRPr="00CA6FE9">
              <w:rPr>
                <w:rFonts w:asciiTheme="majorBidi" w:eastAsia="Times New Roman" w:hAnsiTheme="majorBidi" w:cstheme="majorBidi"/>
                <w:b/>
                <w:bCs/>
                <w:color w:val="000000"/>
                <w:sz w:val="16"/>
                <w:szCs w:val="16"/>
              </w:rPr>
              <w:t>Jobs, and Affordab</w:t>
            </w:r>
            <w:r w:rsidRPr="00CA6FE9">
              <w:rPr>
                <w:rFonts w:asciiTheme="majorBidi" w:eastAsia="Times New Roman" w:hAnsiTheme="majorBidi" w:cstheme="majorBidi"/>
                <w:b/>
                <w:bCs/>
                <w:color w:val="000000"/>
                <w:sz w:val="16"/>
                <w:szCs w:val="16"/>
              </w:rPr>
              <w:t>ility</w:t>
            </w:r>
          </w:p>
        </w:tc>
        <w:tc>
          <w:tcPr>
            <w:tcW w:w="3741" w:type="pct"/>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7DDFE" w14:textId="77777777" w:rsidR="00A90805" w:rsidRPr="00CA6FE9" w:rsidRDefault="00A90805" w:rsidP="00A90805">
            <w:pPr>
              <w:bidi w:val="0"/>
              <w:spacing w:after="0" w:line="240" w:lineRule="auto"/>
              <w:jc w:val="center"/>
              <w:rPr>
                <w:rFonts w:asciiTheme="majorBidi" w:eastAsia="Times New Roman" w:hAnsiTheme="majorBidi" w:cstheme="majorBidi"/>
                <w:b/>
                <w:bCs/>
                <w:color w:val="000000"/>
                <w:sz w:val="16"/>
                <w:szCs w:val="16"/>
                <w:rtl/>
              </w:rPr>
            </w:pPr>
            <w:r w:rsidRPr="00CA6FE9">
              <w:rPr>
                <w:rFonts w:asciiTheme="majorBidi" w:eastAsia="Times New Roman" w:hAnsiTheme="majorBidi" w:cstheme="majorBidi"/>
                <w:b/>
                <w:bCs/>
                <w:color w:val="000000"/>
                <w:sz w:val="16"/>
                <w:szCs w:val="16"/>
              </w:rPr>
              <w:t xml:space="preserve">Well-being and </w:t>
            </w:r>
            <w:r w:rsidR="00CC1393" w:rsidRPr="00CA6FE9">
              <w:rPr>
                <w:rFonts w:asciiTheme="majorBidi" w:eastAsia="Times New Roman" w:hAnsiTheme="majorBidi" w:cstheme="majorBidi"/>
                <w:b/>
                <w:bCs/>
                <w:color w:val="000000"/>
                <w:sz w:val="16"/>
                <w:szCs w:val="16"/>
              </w:rPr>
              <w:t>Health</w:t>
            </w:r>
          </w:p>
        </w:tc>
      </w:tr>
      <w:tr w:rsidR="00A90805" w:rsidRPr="001F6B66" w14:paraId="7DBD3BA1" w14:textId="77777777" w:rsidTr="00E57A3A">
        <w:trPr>
          <w:trHeight w:val="249"/>
          <w:jc w:val="center"/>
        </w:trPr>
        <w:tc>
          <w:tcPr>
            <w:tcW w:w="56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22D97" w14:textId="77777777" w:rsidR="00A90805" w:rsidRPr="001F6B66" w:rsidRDefault="00A90805" w:rsidP="00A90805">
            <w:pPr>
              <w:bidi w:val="0"/>
              <w:jc w:val="center"/>
              <w:rPr>
                <w:rFonts w:asciiTheme="majorBidi" w:hAnsiTheme="majorBidi" w:cstheme="majorBidi"/>
                <w:sz w:val="18"/>
                <w:szCs w:val="18"/>
              </w:rPr>
            </w:pP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BAC96" w14:textId="77777777" w:rsidR="00A90805" w:rsidRPr="00CA6FE9" w:rsidRDefault="00A90805" w:rsidP="00A90805">
            <w:pPr>
              <w:spacing w:after="0" w:line="240" w:lineRule="auto"/>
              <w:jc w:val="center"/>
              <w:rPr>
                <w:rFonts w:asciiTheme="majorBidi" w:eastAsia="Times New Roman" w:hAnsiTheme="majorBidi" w:cstheme="majorBidi"/>
                <w:b/>
                <w:bCs/>
                <w:color w:val="000000"/>
                <w:sz w:val="16"/>
                <w:szCs w:val="16"/>
                <w:rtl/>
              </w:rPr>
            </w:pPr>
            <w:r w:rsidRPr="00CA6FE9">
              <w:rPr>
                <w:rFonts w:asciiTheme="majorBidi" w:eastAsia="Times New Roman" w:hAnsiTheme="majorBidi" w:cstheme="majorBidi"/>
                <w:b/>
                <w:bCs/>
                <w:color w:val="000000"/>
                <w:sz w:val="16"/>
                <w:szCs w:val="16"/>
              </w:rPr>
              <w:t xml:space="preserve">Social </w:t>
            </w:r>
            <w:r w:rsidR="00CC1393" w:rsidRPr="00CA6FE9">
              <w:rPr>
                <w:rFonts w:asciiTheme="majorBidi" w:eastAsia="Times New Roman" w:hAnsiTheme="majorBidi" w:cstheme="majorBidi"/>
                <w:b/>
                <w:bCs/>
                <w:color w:val="000000"/>
                <w:sz w:val="16"/>
                <w:szCs w:val="16"/>
              </w:rPr>
              <w:t>Supports</w:t>
            </w:r>
          </w:p>
        </w:tc>
        <w:tc>
          <w:tcPr>
            <w:tcW w:w="1337"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8A8D9" w14:textId="77777777" w:rsidR="00A90805" w:rsidRPr="00CA6FE9" w:rsidRDefault="00A90805" w:rsidP="00A90805">
            <w:pPr>
              <w:spacing w:after="0" w:line="240" w:lineRule="auto"/>
              <w:jc w:val="center"/>
              <w:rPr>
                <w:rFonts w:asciiTheme="majorBidi" w:eastAsia="Times New Roman" w:hAnsiTheme="majorBidi" w:cstheme="majorBidi"/>
                <w:b/>
                <w:bCs/>
                <w:color w:val="000000"/>
                <w:sz w:val="16"/>
                <w:szCs w:val="16"/>
                <w:rtl/>
              </w:rPr>
            </w:pPr>
            <w:r w:rsidRPr="00CA6FE9">
              <w:rPr>
                <w:rFonts w:asciiTheme="majorBidi" w:eastAsia="Times New Roman" w:hAnsiTheme="majorBidi" w:cstheme="majorBidi"/>
                <w:b/>
                <w:bCs/>
                <w:color w:val="000000"/>
                <w:sz w:val="16"/>
                <w:szCs w:val="16"/>
              </w:rPr>
              <w:t xml:space="preserve">Guarantee of </w:t>
            </w:r>
            <w:r w:rsidR="00CC1393" w:rsidRPr="00CA6FE9">
              <w:rPr>
                <w:rFonts w:asciiTheme="majorBidi" w:eastAsia="Times New Roman" w:hAnsiTheme="majorBidi" w:cstheme="majorBidi"/>
                <w:b/>
                <w:bCs/>
                <w:color w:val="000000"/>
                <w:sz w:val="16"/>
                <w:szCs w:val="16"/>
              </w:rPr>
              <w:t>Survival</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242B5" w14:textId="77777777" w:rsidR="00A90805" w:rsidRPr="00CA6FE9" w:rsidRDefault="00A90805" w:rsidP="00A90805">
            <w:pPr>
              <w:spacing w:after="0" w:line="240" w:lineRule="auto"/>
              <w:jc w:val="center"/>
              <w:rPr>
                <w:rFonts w:asciiTheme="majorBidi" w:eastAsia="Times New Roman" w:hAnsiTheme="majorBidi" w:cstheme="majorBidi"/>
                <w:b/>
                <w:bCs/>
                <w:color w:val="000000"/>
                <w:sz w:val="16"/>
                <w:szCs w:val="16"/>
              </w:rPr>
            </w:pPr>
            <w:r w:rsidRPr="00CA6FE9">
              <w:rPr>
                <w:rFonts w:asciiTheme="majorBidi" w:eastAsia="Times New Roman" w:hAnsiTheme="majorBidi" w:cstheme="majorBidi"/>
                <w:b/>
                <w:bCs/>
                <w:color w:val="000000"/>
                <w:sz w:val="16"/>
                <w:szCs w:val="16"/>
              </w:rPr>
              <w:t xml:space="preserve">Improvement of </w:t>
            </w:r>
            <w:r w:rsidR="00CC1393" w:rsidRPr="00CA6FE9">
              <w:rPr>
                <w:rFonts w:asciiTheme="majorBidi" w:eastAsia="Times New Roman" w:hAnsiTheme="majorBidi" w:cstheme="majorBidi"/>
                <w:b/>
                <w:bCs/>
                <w:color w:val="000000"/>
                <w:sz w:val="16"/>
                <w:szCs w:val="16"/>
              </w:rPr>
              <w:t>Survival</w:t>
            </w:r>
          </w:p>
        </w:tc>
        <w:tc>
          <w:tcPr>
            <w:tcW w:w="122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5E43B" w14:textId="77777777" w:rsidR="00A90805" w:rsidRPr="00CA6FE9" w:rsidRDefault="00A90805" w:rsidP="00A90805">
            <w:pPr>
              <w:bidi w:val="0"/>
              <w:jc w:val="center"/>
              <w:rPr>
                <w:rFonts w:asciiTheme="majorBidi" w:hAnsiTheme="majorBidi" w:cstheme="majorBidi"/>
                <w:sz w:val="16"/>
                <w:szCs w:val="16"/>
                <w:rtl/>
              </w:rPr>
            </w:pPr>
            <w:r w:rsidRPr="00CA6FE9">
              <w:rPr>
                <w:rFonts w:asciiTheme="majorBidi" w:hAnsiTheme="majorBidi" w:cstheme="majorBidi"/>
                <w:b/>
                <w:bCs/>
                <w:sz w:val="16"/>
                <w:szCs w:val="16"/>
              </w:rPr>
              <w:t xml:space="preserve">Quality of </w:t>
            </w:r>
            <w:r w:rsidR="00CC1393" w:rsidRPr="00CA6FE9">
              <w:rPr>
                <w:rFonts w:asciiTheme="majorBidi" w:hAnsiTheme="majorBidi" w:cstheme="majorBidi"/>
                <w:b/>
                <w:bCs/>
                <w:sz w:val="16"/>
                <w:szCs w:val="16"/>
              </w:rPr>
              <w:t>Nutrition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19A68" w14:textId="77777777" w:rsidR="00A90805" w:rsidRPr="00CA6FE9" w:rsidRDefault="00A90805" w:rsidP="00A90805">
            <w:pPr>
              <w:bidi w:val="0"/>
              <w:jc w:val="center"/>
              <w:rPr>
                <w:rFonts w:asciiTheme="majorBidi" w:hAnsiTheme="majorBidi" w:cstheme="majorBidi"/>
                <w:sz w:val="16"/>
                <w:szCs w:val="16"/>
                <w:rtl/>
              </w:rPr>
            </w:pPr>
            <w:r w:rsidRPr="00CA6FE9">
              <w:rPr>
                <w:rFonts w:asciiTheme="majorBidi" w:hAnsiTheme="majorBidi" w:cstheme="majorBidi"/>
                <w:b/>
                <w:bCs/>
                <w:sz w:val="16"/>
                <w:szCs w:val="16"/>
              </w:rPr>
              <w:t xml:space="preserve">Mental </w:t>
            </w:r>
            <w:r w:rsidR="00CC1393" w:rsidRPr="00CA6FE9">
              <w:rPr>
                <w:rFonts w:asciiTheme="majorBidi" w:hAnsiTheme="majorBidi" w:cstheme="majorBidi"/>
                <w:b/>
                <w:bCs/>
                <w:sz w:val="16"/>
                <w:szCs w:val="16"/>
              </w:rPr>
              <w:t>Health</w:t>
            </w:r>
          </w:p>
        </w:tc>
      </w:tr>
      <w:tr w:rsidR="00A90805" w:rsidRPr="001F6B66" w14:paraId="090CABC0" w14:textId="77777777" w:rsidTr="00E57A3A">
        <w:trPr>
          <w:trHeight w:val="364"/>
          <w:jc w:val="center"/>
        </w:trPr>
        <w:tc>
          <w:tcPr>
            <w:tcW w:w="56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58400" w14:textId="77777777" w:rsidR="00A90805" w:rsidRPr="001F6B66" w:rsidRDefault="00A90805" w:rsidP="00A90805">
            <w:pPr>
              <w:bidi w:val="0"/>
              <w:jc w:val="center"/>
              <w:rPr>
                <w:rFonts w:asciiTheme="majorBidi" w:hAnsiTheme="majorBidi" w:cstheme="majorBidi"/>
                <w:sz w:val="18"/>
                <w:szCs w:val="18"/>
              </w:rPr>
            </w:pP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5DF38" w14:textId="77777777" w:rsidR="00A90805" w:rsidRPr="00CA6FE9" w:rsidRDefault="00A90805" w:rsidP="00A90805">
            <w:pPr>
              <w:spacing w:after="0" w:line="240" w:lineRule="auto"/>
              <w:jc w:val="center"/>
              <w:rPr>
                <w:rFonts w:asciiTheme="majorBidi" w:eastAsia="Times New Roman" w:hAnsiTheme="majorBidi" w:cstheme="majorBidi"/>
                <w:color w:val="000000"/>
                <w:sz w:val="16"/>
                <w:szCs w:val="16"/>
                <w:rtl/>
              </w:rPr>
            </w:pPr>
            <w:r w:rsidRPr="00CA6FE9">
              <w:rPr>
                <w:rFonts w:asciiTheme="majorBidi" w:eastAsia="Times New Roman" w:hAnsiTheme="majorBidi" w:cstheme="majorBidi"/>
                <w:color w:val="000000"/>
                <w:sz w:val="16"/>
                <w:szCs w:val="16"/>
              </w:rPr>
              <w:t>Insurance coverage</w:t>
            </w:r>
          </w:p>
        </w:tc>
        <w:tc>
          <w:tcPr>
            <w:tcW w:w="1337"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164C7" w14:textId="77777777" w:rsidR="00A90805" w:rsidRPr="00CA6FE9" w:rsidRDefault="00A90805" w:rsidP="00A90805">
            <w:pPr>
              <w:bidi w:val="0"/>
              <w:spacing w:after="0" w:line="240" w:lineRule="auto"/>
              <w:jc w:val="center"/>
              <w:rPr>
                <w:rFonts w:asciiTheme="majorBidi" w:eastAsia="Times New Roman" w:hAnsiTheme="majorBidi" w:cstheme="majorBidi"/>
                <w:color w:val="000000"/>
                <w:sz w:val="16"/>
                <w:szCs w:val="16"/>
                <w:rtl/>
              </w:rPr>
            </w:pPr>
            <w:r w:rsidRPr="00CA6FE9">
              <w:rPr>
                <w:rFonts w:asciiTheme="majorBidi" w:eastAsia="Times New Roman" w:hAnsiTheme="majorBidi" w:cstheme="majorBidi"/>
                <w:color w:val="000000"/>
                <w:sz w:val="16"/>
                <w:szCs w:val="16"/>
              </w:rPr>
              <w:t>Life expectancy and healthcare infrastructure</w:t>
            </w:r>
          </w:p>
        </w:tc>
        <w:tc>
          <w:tcPr>
            <w:tcW w:w="6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DC78" w14:textId="77777777" w:rsidR="00A90805" w:rsidRPr="00CA6FE9" w:rsidRDefault="00A90805" w:rsidP="00A90805">
            <w:pPr>
              <w:bidi w:val="0"/>
              <w:spacing w:after="0" w:line="240" w:lineRule="auto"/>
              <w:jc w:val="center"/>
              <w:rPr>
                <w:rFonts w:asciiTheme="majorBidi" w:eastAsia="Times New Roman" w:hAnsiTheme="majorBidi" w:cstheme="majorBidi"/>
                <w:color w:val="000000"/>
                <w:sz w:val="16"/>
                <w:szCs w:val="16"/>
              </w:rPr>
            </w:pPr>
            <w:r w:rsidRPr="00CA6FE9">
              <w:rPr>
                <w:rFonts w:asciiTheme="majorBidi" w:eastAsia="Times New Roman" w:hAnsiTheme="majorBidi" w:cstheme="majorBidi"/>
                <w:color w:val="000000"/>
                <w:sz w:val="16"/>
                <w:szCs w:val="16"/>
              </w:rPr>
              <w:t>Exhilaration, well-being, and exercise</w:t>
            </w:r>
          </w:p>
        </w:tc>
        <w:tc>
          <w:tcPr>
            <w:tcW w:w="122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DA795" w14:textId="77777777" w:rsidR="00A90805" w:rsidRPr="00CA6FE9" w:rsidRDefault="00A90805" w:rsidP="00A90805">
            <w:pPr>
              <w:spacing w:after="0" w:line="240" w:lineRule="auto"/>
              <w:jc w:val="center"/>
              <w:rPr>
                <w:rFonts w:asciiTheme="majorBidi" w:eastAsia="Times New Roman" w:hAnsiTheme="majorBidi" w:cstheme="majorBidi"/>
                <w:color w:val="000000"/>
                <w:sz w:val="16"/>
                <w:szCs w:val="16"/>
              </w:rPr>
            </w:pPr>
            <w:r w:rsidRPr="00CA6FE9">
              <w:rPr>
                <w:rFonts w:asciiTheme="majorBidi" w:eastAsia="Times New Roman" w:hAnsiTheme="majorBidi" w:cstheme="majorBidi"/>
                <w:color w:val="000000"/>
                <w:sz w:val="16"/>
                <w:szCs w:val="16"/>
              </w:rPr>
              <w:t>Eating habits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2DD9D" w14:textId="77777777" w:rsidR="00A90805" w:rsidRPr="00CA6FE9" w:rsidRDefault="00A90805" w:rsidP="00A90805">
            <w:pPr>
              <w:bidi w:val="0"/>
              <w:jc w:val="center"/>
              <w:rPr>
                <w:rFonts w:asciiTheme="majorBidi" w:hAnsiTheme="majorBidi" w:cstheme="majorBidi"/>
                <w:sz w:val="16"/>
                <w:szCs w:val="16"/>
              </w:rPr>
            </w:pPr>
            <w:r w:rsidRPr="00CA6FE9">
              <w:rPr>
                <w:rFonts w:asciiTheme="majorBidi" w:eastAsia="Times New Roman" w:hAnsiTheme="majorBidi" w:cstheme="majorBidi"/>
                <w:color w:val="000000"/>
                <w:sz w:val="16"/>
                <w:szCs w:val="16"/>
              </w:rPr>
              <w:t>Effective protection of life and health</w:t>
            </w:r>
          </w:p>
        </w:tc>
      </w:tr>
      <w:tr w:rsidR="00E57A3A" w:rsidRPr="001F6B66" w14:paraId="7305706F" w14:textId="77777777" w:rsidTr="00E57A3A">
        <w:trPr>
          <w:cantSplit/>
          <w:trHeight w:val="1594"/>
          <w:jc w:val="center"/>
        </w:trPr>
        <w:tc>
          <w:tcPr>
            <w:tcW w:w="56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5A4D0" w14:textId="77777777" w:rsidR="00A90805" w:rsidRPr="001F6B66" w:rsidRDefault="00A90805" w:rsidP="00A90805">
            <w:pPr>
              <w:bidi w:val="0"/>
              <w:jc w:val="center"/>
              <w:rPr>
                <w:rFonts w:asciiTheme="majorBidi" w:hAnsiTheme="majorBidi" w:cstheme="majorBidi"/>
                <w:sz w:val="18"/>
                <w:szCs w:val="18"/>
              </w:rPr>
            </w:pPr>
          </w:p>
        </w:tc>
        <w:tc>
          <w:tcPr>
            <w:tcW w:w="692"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2D30A504" w14:textId="77777777" w:rsidR="00A90805" w:rsidRPr="00E57A3A" w:rsidRDefault="00A90805" w:rsidP="00E57A3A">
            <w:pPr>
              <w:bidi w:val="0"/>
              <w:spacing w:after="0"/>
              <w:ind w:left="113" w:right="113"/>
              <w:jc w:val="center"/>
              <w:rPr>
                <w:rFonts w:asciiTheme="majorBidi" w:hAnsiTheme="majorBidi" w:cstheme="majorBidi"/>
                <w:color w:val="000000"/>
                <w:sz w:val="16"/>
                <w:szCs w:val="16"/>
                <w:rtl/>
              </w:rPr>
            </w:pPr>
            <w:r w:rsidRPr="00E57A3A">
              <w:rPr>
                <w:rFonts w:asciiTheme="majorBidi" w:hAnsiTheme="majorBidi" w:cstheme="majorBidi"/>
                <w:color w:val="000000"/>
                <w:sz w:val="16"/>
                <w:szCs w:val="16"/>
              </w:rPr>
              <w:t>The number of people covered by social security insurance/total population (inverse)</w:t>
            </w:r>
          </w:p>
        </w:tc>
        <w:tc>
          <w:tcPr>
            <w:tcW w:w="477"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3E37620B" w14:textId="77777777" w:rsidR="00A90805" w:rsidRPr="00E57A3A" w:rsidRDefault="00A90805" w:rsidP="00E57A3A">
            <w:pPr>
              <w:spacing w:after="0" w:line="240" w:lineRule="auto"/>
              <w:ind w:left="113" w:right="113"/>
              <w:jc w:val="center"/>
              <w:rPr>
                <w:rFonts w:asciiTheme="majorBidi" w:eastAsia="Times New Roman" w:hAnsiTheme="majorBidi" w:cstheme="majorBidi"/>
                <w:color w:val="000000"/>
                <w:sz w:val="16"/>
                <w:szCs w:val="16"/>
                <w:rtl/>
              </w:rPr>
            </w:pPr>
            <w:r w:rsidRPr="00E57A3A">
              <w:rPr>
                <w:rFonts w:asciiTheme="majorBidi" w:eastAsia="Times New Roman" w:hAnsiTheme="majorBidi" w:cstheme="majorBidi"/>
                <w:color w:val="000000"/>
                <w:sz w:val="16"/>
                <w:szCs w:val="16"/>
              </w:rPr>
              <w:t>Average life expectancy</w:t>
            </w:r>
          </w:p>
        </w:tc>
        <w:tc>
          <w:tcPr>
            <w:tcW w:w="369"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6DB926CC" w14:textId="77777777" w:rsidR="00A90805" w:rsidRPr="00E57A3A" w:rsidRDefault="00A90805" w:rsidP="00E57A3A">
            <w:pPr>
              <w:spacing w:after="0" w:line="240" w:lineRule="auto"/>
              <w:ind w:left="113" w:right="113"/>
              <w:jc w:val="center"/>
              <w:rPr>
                <w:rFonts w:asciiTheme="majorBidi" w:eastAsia="Times New Roman" w:hAnsiTheme="majorBidi" w:cstheme="majorBidi"/>
                <w:color w:val="000000"/>
                <w:sz w:val="16"/>
                <w:szCs w:val="16"/>
                <w:rtl/>
              </w:rPr>
            </w:pPr>
            <w:r w:rsidRPr="00E57A3A">
              <w:rPr>
                <w:rFonts w:asciiTheme="majorBidi" w:eastAsia="Times New Roman" w:hAnsiTheme="majorBidi" w:cstheme="majorBidi"/>
                <w:color w:val="000000"/>
                <w:sz w:val="16"/>
                <w:szCs w:val="16"/>
              </w:rPr>
              <w:t>Hospital bed per capita</w:t>
            </w:r>
          </w:p>
        </w:tc>
        <w:tc>
          <w:tcPr>
            <w:tcW w:w="491"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7312420A" w14:textId="77777777" w:rsidR="00A90805" w:rsidRPr="00E57A3A" w:rsidRDefault="00A90805" w:rsidP="00E57A3A">
            <w:pPr>
              <w:bidi w:val="0"/>
              <w:spacing w:after="0"/>
              <w:ind w:left="113" w:right="113"/>
              <w:jc w:val="center"/>
              <w:rPr>
                <w:rFonts w:asciiTheme="majorBidi" w:hAnsiTheme="majorBidi" w:cstheme="majorBidi"/>
                <w:color w:val="000000"/>
                <w:sz w:val="16"/>
                <w:szCs w:val="16"/>
                <w:rtl/>
              </w:rPr>
            </w:pPr>
            <w:r w:rsidRPr="00E57A3A">
              <w:rPr>
                <w:rFonts w:asciiTheme="majorBidi" w:hAnsiTheme="majorBidi" w:cstheme="majorBidi"/>
                <w:color w:val="000000"/>
                <w:sz w:val="16"/>
                <w:szCs w:val="16"/>
              </w:rPr>
              <w:t>Under 5 mortality rate per 100,000 successful births (inverse)</w:t>
            </w:r>
          </w:p>
        </w:tc>
        <w:tc>
          <w:tcPr>
            <w:tcW w:w="623"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1E7C630F" w14:textId="77777777" w:rsidR="00A90805" w:rsidRPr="00E57A3A" w:rsidRDefault="00A90805" w:rsidP="00E57A3A">
            <w:pPr>
              <w:bidi w:val="0"/>
              <w:spacing w:after="0"/>
              <w:ind w:left="113" w:right="113"/>
              <w:jc w:val="center"/>
              <w:rPr>
                <w:rFonts w:asciiTheme="majorBidi" w:hAnsiTheme="majorBidi" w:cstheme="majorBidi"/>
                <w:color w:val="000000"/>
                <w:sz w:val="16"/>
                <w:szCs w:val="16"/>
                <w:rtl/>
              </w:rPr>
            </w:pPr>
            <w:r w:rsidRPr="00E57A3A">
              <w:rPr>
                <w:rFonts w:asciiTheme="majorBidi" w:hAnsiTheme="majorBidi" w:cstheme="majorBidi"/>
                <w:color w:val="000000"/>
                <w:sz w:val="16"/>
                <w:szCs w:val="16"/>
              </w:rPr>
              <w:t xml:space="preserve">The number of </w:t>
            </w:r>
            <w:proofErr w:type="spellStart"/>
            <w:r w:rsidRPr="00E57A3A">
              <w:rPr>
                <w:rFonts w:asciiTheme="majorBidi" w:hAnsiTheme="majorBidi" w:cstheme="majorBidi"/>
                <w:color w:val="000000"/>
                <w:sz w:val="16"/>
                <w:szCs w:val="16"/>
              </w:rPr>
              <w:t>Pahlevani</w:t>
            </w:r>
            <w:proofErr w:type="spellEnd"/>
            <w:r w:rsidRPr="00E57A3A">
              <w:rPr>
                <w:rFonts w:asciiTheme="majorBidi" w:hAnsiTheme="majorBidi" w:cstheme="majorBidi"/>
                <w:color w:val="000000"/>
                <w:sz w:val="16"/>
                <w:szCs w:val="16"/>
              </w:rPr>
              <w:t xml:space="preserve"> and Zurkhaneh athletes per 100,000 people</w:t>
            </w:r>
          </w:p>
        </w:tc>
        <w:tc>
          <w:tcPr>
            <w:tcW w:w="688"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24F0FFCE" w14:textId="77777777" w:rsidR="00A90805" w:rsidRPr="00E57A3A" w:rsidRDefault="00A90805" w:rsidP="00E57A3A">
            <w:pPr>
              <w:spacing w:after="0"/>
              <w:ind w:left="113" w:right="113"/>
              <w:jc w:val="center"/>
              <w:rPr>
                <w:rFonts w:asciiTheme="majorBidi" w:hAnsiTheme="majorBidi" w:cstheme="majorBidi"/>
                <w:color w:val="000000"/>
                <w:sz w:val="16"/>
                <w:szCs w:val="16"/>
              </w:rPr>
            </w:pPr>
            <w:r w:rsidRPr="00E57A3A">
              <w:rPr>
                <w:rFonts w:asciiTheme="majorBidi" w:hAnsiTheme="majorBidi" w:cstheme="majorBidi"/>
                <w:color w:val="000000"/>
                <w:sz w:val="16"/>
                <w:szCs w:val="16"/>
              </w:rPr>
              <w:t>The number of drinking water subscribers/the number of residential units</w:t>
            </w:r>
          </w:p>
        </w:tc>
        <w:tc>
          <w:tcPr>
            <w:tcW w:w="536"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4C925502" w14:textId="77777777" w:rsidR="00A90805" w:rsidRPr="00E57A3A" w:rsidRDefault="00A90805" w:rsidP="00E57A3A">
            <w:pPr>
              <w:bidi w:val="0"/>
              <w:spacing w:after="0"/>
              <w:ind w:left="113" w:right="113"/>
              <w:jc w:val="center"/>
              <w:rPr>
                <w:rFonts w:asciiTheme="majorBidi" w:hAnsiTheme="majorBidi" w:cstheme="majorBidi"/>
                <w:color w:val="000000"/>
                <w:sz w:val="16"/>
                <w:szCs w:val="16"/>
                <w:rtl/>
              </w:rPr>
            </w:pPr>
            <w:r w:rsidRPr="00E57A3A">
              <w:rPr>
                <w:rFonts w:asciiTheme="majorBidi" w:hAnsiTheme="majorBidi" w:cstheme="majorBidi"/>
                <w:color w:val="000000"/>
                <w:sz w:val="16"/>
                <w:szCs w:val="16"/>
              </w:rPr>
              <w:t>The number of fast food and unhealthy restaurants per 100,000 people (inverse)</w:t>
            </w:r>
          </w:p>
        </w:tc>
        <w:tc>
          <w:tcPr>
            <w:tcW w:w="556" w:type="pct"/>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textDirection w:val="btLr"/>
            <w:vAlign w:val="center"/>
            <w:hideMark/>
          </w:tcPr>
          <w:p w14:paraId="24D3F908" w14:textId="77777777" w:rsidR="00A90805" w:rsidRPr="00E57A3A" w:rsidRDefault="00A90805" w:rsidP="00E57A3A">
            <w:pPr>
              <w:spacing w:after="0"/>
              <w:ind w:left="113" w:right="113"/>
              <w:jc w:val="center"/>
              <w:rPr>
                <w:rFonts w:asciiTheme="majorBidi" w:hAnsiTheme="majorBidi" w:cstheme="majorBidi"/>
                <w:color w:val="000000"/>
                <w:sz w:val="16"/>
                <w:szCs w:val="16"/>
              </w:rPr>
            </w:pPr>
            <w:r w:rsidRPr="00E57A3A">
              <w:rPr>
                <w:rFonts w:asciiTheme="majorBidi" w:eastAsia="Times New Roman" w:hAnsiTheme="majorBidi" w:cstheme="majorBidi"/>
                <w:color w:val="000000"/>
                <w:sz w:val="16"/>
                <w:szCs w:val="16"/>
              </w:rPr>
              <w:t>The number of psychiatrists</w:t>
            </w:r>
            <w:r w:rsidRPr="00E57A3A">
              <w:rPr>
                <w:rFonts w:asciiTheme="majorBidi" w:hAnsiTheme="majorBidi" w:cstheme="majorBidi"/>
                <w:color w:val="000000"/>
                <w:sz w:val="16"/>
                <w:szCs w:val="16"/>
              </w:rPr>
              <w:t xml:space="preserve"> per 100,000 people</w:t>
            </w:r>
          </w:p>
        </w:tc>
      </w:tr>
      <w:tr w:rsidR="00E57A3A" w:rsidRPr="001F6B66" w14:paraId="6C0A46B8" w14:textId="77777777" w:rsidTr="00E57A3A">
        <w:trPr>
          <w:trHeight w:val="278"/>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32B74BEF" w14:textId="77777777" w:rsidR="00A90805" w:rsidRPr="00E57A3A" w:rsidRDefault="00A90805" w:rsidP="00A90805">
            <w:pPr>
              <w:bidi w:val="0"/>
              <w:jc w:val="center"/>
              <w:rPr>
                <w:rFonts w:asciiTheme="majorBidi" w:hAnsiTheme="majorBidi" w:cstheme="majorBidi"/>
                <w:b/>
                <w:bCs/>
                <w:sz w:val="16"/>
                <w:szCs w:val="16"/>
                <w:rtl/>
              </w:rPr>
            </w:pPr>
            <w:r w:rsidRPr="00E57A3A">
              <w:rPr>
                <w:rFonts w:asciiTheme="majorBidi" w:hAnsiTheme="majorBidi" w:cstheme="majorBidi"/>
                <w:b/>
                <w:bCs/>
                <w:sz w:val="16"/>
                <w:szCs w:val="16"/>
              </w:rPr>
              <w:t>Isfahan</w:t>
            </w:r>
          </w:p>
        </w:tc>
        <w:tc>
          <w:tcPr>
            <w:tcW w:w="692" w:type="pct"/>
            <w:tcBorders>
              <w:top w:val="single" w:sz="4" w:space="0" w:color="auto"/>
              <w:left w:val="single" w:sz="4" w:space="0" w:color="auto"/>
            </w:tcBorders>
            <w:shd w:val="clear" w:color="auto" w:fill="82C77C"/>
            <w:tcMar>
              <w:top w:w="15" w:type="dxa"/>
              <w:left w:w="15" w:type="dxa"/>
              <w:bottom w:w="0" w:type="dxa"/>
              <w:right w:w="15" w:type="dxa"/>
            </w:tcMar>
            <w:vAlign w:val="center"/>
            <w:hideMark/>
          </w:tcPr>
          <w:p w14:paraId="3CE8E22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0.3</w:t>
            </w:r>
          </w:p>
        </w:tc>
        <w:tc>
          <w:tcPr>
            <w:tcW w:w="477" w:type="pct"/>
            <w:tcBorders>
              <w:top w:val="single" w:sz="4" w:space="0" w:color="auto"/>
            </w:tcBorders>
            <w:shd w:val="clear" w:color="auto" w:fill="63BE7B"/>
            <w:tcMar>
              <w:top w:w="15" w:type="dxa"/>
              <w:left w:w="15" w:type="dxa"/>
              <w:bottom w:w="0" w:type="dxa"/>
              <w:right w:w="15" w:type="dxa"/>
            </w:tcMar>
            <w:vAlign w:val="center"/>
            <w:hideMark/>
          </w:tcPr>
          <w:p w14:paraId="4D397D5D"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76.2</w:t>
            </w:r>
          </w:p>
        </w:tc>
        <w:tc>
          <w:tcPr>
            <w:tcW w:w="369" w:type="pct"/>
            <w:tcBorders>
              <w:top w:val="single" w:sz="4" w:space="0" w:color="auto"/>
            </w:tcBorders>
            <w:shd w:val="clear" w:color="auto" w:fill="F1E784"/>
            <w:tcMar>
              <w:top w:w="15" w:type="dxa"/>
              <w:left w:w="15" w:type="dxa"/>
              <w:bottom w:w="0" w:type="dxa"/>
              <w:right w:w="15" w:type="dxa"/>
            </w:tcMar>
            <w:vAlign w:val="center"/>
            <w:hideMark/>
          </w:tcPr>
          <w:p w14:paraId="318B2849"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2.34</w:t>
            </w:r>
          </w:p>
        </w:tc>
        <w:tc>
          <w:tcPr>
            <w:tcW w:w="491" w:type="pct"/>
            <w:tcBorders>
              <w:top w:val="single" w:sz="4" w:space="0" w:color="auto"/>
            </w:tcBorders>
            <w:shd w:val="clear" w:color="auto" w:fill="F8696B"/>
            <w:tcMar>
              <w:top w:w="15" w:type="dxa"/>
              <w:left w:w="15" w:type="dxa"/>
              <w:bottom w:w="0" w:type="dxa"/>
              <w:right w:w="15" w:type="dxa"/>
            </w:tcMar>
            <w:vAlign w:val="center"/>
            <w:hideMark/>
          </w:tcPr>
          <w:p w14:paraId="429547A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6.3</w:t>
            </w:r>
          </w:p>
        </w:tc>
        <w:tc>
          <w:tcPr>
            <w:tcW w:w="623" w:type="pct"/>
            <w:tcBorders>
              <w:top w:val="single" w:sz="4" w:space="0" w:color="auto"/>
            </w:tcBorders>
            <w:shd w:val="clear" w:color="auto" w:fill="FCC27C"/>
            <w:tcMar>
              <w:top w:w="15" w:type="dxa"/>
              <w:left w:w="15" w:type="dxa"/>
              <w:bottom w:w="0" w:type="dxa"/>
              <w:right w:w="15" w:type="dxa"/>
            </w:tcMar>
            <w:vAlign w:val="center"/>
            <w:hideMark/>
          </w:tcPr>
          <w:p w14:paraId="73EA5796"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16.32</w:t>
            </w:r>
          </w:p>
        </w:tc>
        <w:tc>
          <w:tcPr>
            <w:tcW w:w="688" w:type="pct"/>
            <w:tcBorders>
              <w:top w:val="single" w:sz="4" w:space="0" w:color="auto"/>
            </w:tcBorders>
            <w:shd w:val="clear" w:color="auto" w:fill="F8696B"/>
            <w:tcMar>
              <w:top w:w="15" w:type="dxa"/>
              <w:left w:w="15" w:type="dxa"/>
              <w:bottom w:w="0" w:type="dxa"/>
              <w:right w:w="15" w:type="dxa"/>
            </w:tcMar>
            <w:vAlign w:val="center"/>
            <w:hideMark/>
          </w:tcPr>
          <w:p w14:paraId="002EFCB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0.63</w:t>
            </w:r>
          </w:p>
        </w:tc>
        <w:tc>
          <w:tcPr>
            <w:tcW w:w="536" w:type="pct"/>
            <w:tcBorders>
              <w:top w:val="single" w:sz="4" w:space="0" w:color="auto"/>
            </w:tcBorders>
            <w:shd w:val="clear" w:color="auto" w:fill="EEE683"/>
            <w:tcMar>
              <w:top w:w="15" w:type="dxa"/>
              <w:left w:w="15" w:type="dxa"/>
              <w:bottom w:w="0" w:type="dxa"/>
              <w:right w:w="15" w:type="dxa"/>
            </w:tcMar>
            <w:vAlign w:val="center"/>
            <w:hideMark/>
          </w:tcPr>
          <w:p w14:paraId="25A2EA8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61.19</w:t>
            </w:r>
          </w:p>
        </w:tc>
        <w:tc>
          <w:tcPr>
            <w:tcW w:w="556" w:type="pct"/>
            <w:tcBorders>
              <w:top w:val="single" w:sz="4" w:space="0" w:color="auto"/>
              <w:right w:val="single" w:sz="4" w:space="0" w:color="auto"/>
            </w:tcBorders>
            <w:shd w:val="clear" w:color="auto" w:fill="F8696B"/>
            <w:tcMar>
              <w:top w:w="15" w:type="dxa"/>
              <w:left w:w="15" w:type="dxa"/>
              <w:bottom w:w="0" w:type="dxa"/>
              <w:right w:w="15" w:type="dxa"/>
            </w:tcMar>
            <w:vAlign w:val="center"/>
            <w:hideMark/>
          </w:tcPr>
          <w:p w14:paraId="760D01C8"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2.24</w:t>
            </w:r>
          </w:p>
        </w:tc>
      </w:tr>
      <w:tr w:rsidR="00E57A3A" w:rsidRPr="001F6B66" w14:paraId="57BBE761"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614804CA"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Ahvaz</w:t>
            </w:r>
          </w:p>
        </w:tc>
        <w:tc>
          <w:tcPr>
            <w:tcW w:w="692" w:type="pct"/>
            <w:tcBorders>
              <w:left w:val="single" w:sz="4" w:space="0" w:color="auto"/>
            </w:tcBorders>
            <w:shd w:val="clear" w:color="auto" w:fill="FCAA78"/>
            <w:tcMar>
              <w:top w:w="15" w:type="dxa"/>
              <w:left w:w="15" w:type="dxa"/>
              <w:bottom w:w="0" w:type="dxa"/>
              <w:right w:w="15" w:type="dxa"/>
            </w:tcMar>
            <w:vAlign w:val="center"/>
            <w:hideMark/>
          </w:tcPr>
          <w:p w14:paraId="22ECB4A4"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0.72</w:t>
            </w:r>
          </w:p>
        </w:tc>
        <w:tc>
          <w:tcPr>
            <w:tcW w:w="477" w:type="pct"/>
            <w:shd w:val="clear" w:color="auto" w:fill="F98770"/>
            <w:tcMar>
              <w:top w:w="15" w:type="dxa"/>
              <w:left w:w="15" w:type="dxa"/>
              <w:bottom w:w="0" w:type="dxa"/>
              <w:right w:w="15" w:type="dxa"/>
            </w:tcMar>
            <w:vAlign w:val="center"/>
            <w:hideMark/>
          </w:tcPr>
          <w:p w14:paraId="6DDAC9B2"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72.6</w:t>
            </w:r>
          </w:p>
        </w:tc>
        <w:tc>
          <w:tcPr>
            <w:tcW w:w="369" w:type="pct"/>
            <w:shd w:val="clear" w:color="auto" w:fill="63BE7B"/>
            <w:tcMar>
              <w:top w:w="15" w:type="dxa"/>
              <w:left w:w="15" w:type="dxa"/>
              <w:bottom w:w="0" w:type="dxa"/>
              <w:right w:w="15" w:type="dxa"/>
            </w:tcMar>
            <w:vAlign w:val="center"/>
            <w:hideMark/>
          </w:tcPr>
          <w:p w14:paraId="7D78B4D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5.1</w:t>
            </w:r>
          </w:p>
        </w:tc>
        <w:tc>
          <w:tcPr>
            <w:tcW w:w="491" w:type="pct"/>
            <w:shd w:val="clear" w:color="auto" w:fill="FFEB84"/>
            <w:tcMar>
              <w:top w:w="15" w:type="dxa"/>
              <w:left w:w="15" w:type="dxa"/>
              <w:bottom w:w="0" w:type="dxa"/>
              <w:right w:w="15" w:type="dxa"/>
            </w:tcMar>
            <w:vAlign w:val="center"/>
            <w:hideMark/>
          </w:tcPr>
          <w:p w14:paraId="1ABF5E3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0.02</w:t>
            </w:r>
          </w:p>
        </w:tc>
        <w:tc>
          <w:tcPr>
            <w:tcW w:w="623" w:type="pct"/>
            <w:shd w:val="clear" w:color="auto" w:fill="FBEA84"/>
            <w:tcMar>
              <w:top w:w="15" w:type="dxa"/>
              <w:left w:w="15" w:type="dxa"/>
              <w:bottom w:w="0" w:type="dxa"/>
              <w:right w:w="15" w:type="dxa"/>
            </w:tcMar>
            <w:vAlign w:val="center"/>
            <w:hideMark/>
          </w:tcPr>
          <w:p w14:paraId="3A8E85C0"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47.52</w:t>
            </w:r>
          </w:p>
        </w:tc>
        <w:tc>
          <w:tcPr>
            <w:tcW w:w="688" w:type="pct"/>
            <w:shd w:val="clear" w:color="auto" w:fill="9ACE7F"/>
            <w:tcMar>
              <w:top w:w="15" w:type="dxa"/>
              <w:left w:w="15" w:type="dxa"/>
              <w:bottom w:w="0" w:type="dxa"/>
              <w:right w:w="15" w:type="dxa"/>
            </w:tcMar>
            <w:vAlign w:val="center"/>
            <w:hideMark/>
          </w:tcPr>
          <w:p w14:paraId="08ADF6D0"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1.2</w:t>
            </w:r>
          </w:p>
        </w:tc>
        <w:tc>
          <w:tcPr>
            <w:tcW w:w="536" w:type="pct"/>
            <w:shd w:val="clear" w:color="auto" w:fill="9ACE7E"/>
            <w:tcMar>
              <w:top w:w="15" w:type="dxa"/>
              <w:left w:w="15" w:type="dxa"/>
              <w:bottom w:w="0" w:type="dxa"/>
              <w:right w:w="15" w:type="dxa"/>
            </w:tcMar>
            <w:vAlign w:val="center"/>
            <w:hideMark/>
          </w:tcPr>
          <w:p w14:paraId="14E237C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40.39</w:t>
            </w:r>
          </w:p>
        </w:tc>
        <w:tc>
          <w:tcPr>
            <w:tcW w:w="556" w:type="pct"/>
            <w:tcBorders>
              <w:right w:val="single" w:sz="4" w:space="0" w:color="auto"/>
            </w:tcBorders>
            <w:shd w:val="clear" w:color="auto" w:fill="FCB77A"/>
            <w:tcMar>
              <w:top w:w="15" w:type="dxa"/>
              <w:left w:w="15" w:type="dxa"/>
              <w:bottom w:w="0" w:type="dxa"/>
              <w:right w:w="15" w:type="dxa"/>
            </w:tcMar>
            <w:vAlign w:val="center"/>
            <w:hideMark/>
          </w:tcPr>
          <w:p w14:paraId="4583435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3.56</w:t>
            </w:r>
          </w:p>
        </w:tc>
      </w:tr>
      <w:tr w:rsidR="00E57A3A" w:rsidRPr="001F6B66" w14:paraId="30D33BF9"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5EA84E9A"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Tabriz</w:t>
            </w:r>
          </w:p>
        </w:tc>
        <w:tc>
          <w:tcPr>
            <w:tcW w:w="692" w:type="pct"/>
            <w:tcBorders>
              <w:left w:val="single" w:sz="4" w:space="0" w:color="auto"/>
            </w:tcBorders>
            <w:shd w:val="clear" w:color="auto" w:fill="FA8D72"/>
            <w:tcMar>
              <w:top w:w="15" w:type="dxa"/>
              <w:left w:w="15" w:type="dxa"/>
              <w:bottom w:w="0" w:type="dxa"/>
              <w:right w:w="15" w:type="dxa"/>
            </w:tcMar>
            <w:vAlign w:val="center"/>
            <w:hideMark/>
          </w:tcPr>
          <w:p w14:paraId="79DC460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0.77</w:t>
            </w:r>
          </w:p>
        </w:tc>
        <w:tc>
          <w:tcPr>
            <w:tcW w:w="477" w:type="pct"/>
            <w:shd w:val="clear" w:color="auto" w:fill="FCBA7A"/>
            <w:tcMar>
              <w:top w:w="15" w:type="dxa"/>
              <w:left w:w="15" w:type="dxa"/>
              <w:bottom w:w="0" w:type="dxa"/>
              <w:right w:w="15" w:type="dxa"/>
            </w:tcMar>
            <w:vAlign w:val="center"/>
            <w:hideMark/>
          </w:tcPr>
          <w:p w14:paraId="127783D1"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73.41</w:t>
            </w:r>
          </w:p>
        </w:tc>
        <w:tc>
          <w:tcPr>
            <w:tcW w:w="369" w:type="pct"/>
            <w:shd w:val="clear" w:color="auto" w:fill="FCC27C"/>
            <w:tcMar>
              <w:top w:w="15" w:type="dxa"/>
              <w:left w:w="15" w:type="dxa"/>
              <w:bottom w:w="0" w:type="dxa"/>
              <w:right w:w="15" w:type="dxa"/>
            </w:tcMar>
            <w:vAlign w:val="center"/>
            <w:hideMark/>
          </w:tcPr>
          <w:p w14:paraId="0E08936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1.7</w:t>
            </w:r>
          </w:p>
        </w:tc>
        <w:tc>
          <w:tcPr>
            <w:tcW w:w="491" w:type="pct"/>
            <w:shd w:val="clear" w:color="auto" w:fill="FFEB84"/>
            <w:tcMar>
              <w:top w:w="15" w:type="dxa"/>
              <w:left w:w="15" w:type="dxa"/>
              <w:bottom w:w="0" w:type="dxa"/>
              <w:right w:w="15" w:type="dxa"/>
            </w:tcMar>
            <w:vAlign w:val="center"/>
            <w:hideMark/>
          </w:tcPr>
          <w:p w14:paraId="7A0BFC9B"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0.007</w:t>
            </w:r>
          </w:p>
        </w:tc>
        <w:tc>
          <w:tcPr>
            <w:tcW w:w="623" w:type="pct"/>
            <w:shd w:val="clear" w:color="auto" w:fill="FCC27C"/>
            <w:tcMar>
              <w:top w:w="15" w:type="dxa"/>
              <w:left w:w="15" w:type="dxa"/>
              <w:bottom w:w="0" w:type="dxa"/>
              <w:right w:w="15" w:type="dxa"/>
            </w:tcMar>
            <w:vAlign w:val="center"/>
            <w:hideMark/>
          </w:tcPr>
          <w:p w14:paraId="38E6C1D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16.42</w:t>
            </w:r>
          </w:p>
        </w:tc>
        <w:tc>
          <w:tcPr>
            <w:tcW w:w="688" w:type="pct"/>
            <w:shd w:val="clear" w:color="auto" w:fill="63BE7B"/>
            <w:tcMar>
              <w:top w:w="15" w:type="dxa"/>
              <w:left w:w="15" w:type="dxa"/>
              <w:bottom w:w="0" w:type="dxa"/>
              <w:right w:w="15" w:type="dxa"/>
            </w:tcMar>
            <w:vAlign w:val="center"/>
            <w:hideMark/>
          </w:tcPr>
          <w:p w14:paraId="07A8295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1.34</w:t>
            </w:r>
          </w:p>
        </w:tc>
        <w:tc>
          <w:tcPr>
            <w:tcW w:w="536" w:type="pct"/>
            <w:shd w:val="clear" w:color="auto" w:fill="92CB7D"/>
            <w:tcMar>
              <w:top w:w="15" w:type="dxa"/>
              <w:left w:w="15" w:type="dxa"/>
              <w:bottom w:w="0" w:type="dxa"/>
              <w:right w:w="15" w:type="dxa"/>
            </w:tcMar>
            <w:vAlign w:val="center"/>
            <w:hideMark/>
          </w:tcPr>
          <w:p w14:paraId="59475B61"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38.49</w:t>
            </w:r>
          </w:p>
        </w:tc>
        <w:tc>
          <w:tcPr>
            <w:tcW w:w="556" w:type="pct"/>
            <w:tcBorders>
              <w:right w:val="single" w:sz="4" w:space="0" w:color="auto"/>
            </w:tcBorders>
            <w:shd w:val="clear" w:color="auto" w:fill="93CC7E"/>
            <w:tcMar>
              <w:top w:w="15" w:type="dxa"/>
              <w:left w:w="15" w:type="dxa"/>
              <w:bottom w:w="0" w:type="dxa"/>
              <w:right w:w="15" w:type="dxa"/>
            </w:tcMar>
            <w:vAlign w:val="center"/>
            <w:hideMark/>
          </w:tcPr>
          <w:p w14:paraId="2189717B"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7.70</w:t>
            </w:r>
          </w:p>
        </w:tc>
      </w:tr>
      <w:tr w:rsidR="00E57A3A" w:rsidRPr="001F6B66" w14:paraId="57AA01C7"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32B09374"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Tehran</w:t>
            </w:r>
          </w:p>
        </w:tc>
        <w:tc>
          <w:tcPr>
            <w:tcW w:w="692" w:type="pct"/>
            <w:tcBorders>
              <w:left w:val="single" w:sz="4" w:space="0" w:color="auto"/>
            </w:tcBorders>
            <w:shd w:val="clear" w:color="auto" w:fill="F8696B"/>
            <w:tcMar>
              <w:top w:w="15" w:type="dxa"/>
              <w:left w:w="15" w:type="dxa"/>
              <w:bottom w:w="0" w:type="dxa"/>
              <w:right w:w="15" w:type="dxa"/>
            </w:tcMar>
            <w:vAlign w:val="center"/>
            <w:hideMark/>
          </w:tcPr>
          <w:p w14:paraId="3B15945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0.83</w:t>
            </w:r>
          </w:p>
        </w:tc>
        <w:tc>
          <w:tcPr>
            <w:tcW w:w="477" w:type="pct"/>
            <w:shd w:val="clear" w:color="auto" w:fill="6FC27C"/>
            <w:tcMar>
              <w:top w:w="15" w:type="dxa"/>
              <w:left w:w="15" w:type="dxa"/>
              <w:bottom w:w="0" w:type="dxa"/>
              <w:right w:w="15" w:type="dxa"/>
            </w:tcMar>
            <w:vAlign w:val="center"/>
            <w:hideMark/>
          </w:tcPr>
          <w:p w14:paraId="45E9C21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76.05</w:t>
            </w:r>
          </w:p>
        </w:tc>
        <w:tc>
          <w:tcPr>
            <w:tcW w:w="369" w:type="pct"/>
            <w:shd w:val="clear" w:color="auto" w:fill="FED980"/>
            <w:tcMar>
              <w:top w:w="15" w:type="dxa"/>
              <w:left w:w="15" w:type="dxa"/>
              <w:bottom w:w="0" w:type="dxa"/>
              <w:right w:w="15" w:type="dxa"/>
            </w:tcMar>
            <w:vAlign w:val="center"/>
            <w:hideMark/>
          </w:tcPr>
          <w:p w14:paraId="33C72A4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1.9</w:t>
            </w:r>
          </w:p>
        </w:tc>
        <w:tc>
          <w:tcPr>
            <w:tcW w:w="491" w:type="pct"/>
            <w:shd w:val="clear" w:color="auto" w:fill="FFEB84"/>
            <w:tcMar>
              <w:top w:w="15" w:type="dxa"/>
              <w:left w:w="15" w:type="dxa"/>
              <w:bottom w:w="0" w:type="dxa"/>
              <w:right w:w="15" w:type="dxa"/>
            </w:tcMar>
            <w:vAlign w:val="center"/>
            <w:hideMark/>
          </w:tcPr>
          <w:p w14:paraId="7AAD6AF6"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0.008</w:t>
            </w:r>
          </w:p>
        </w:tc>
        <w:tc>
          <w:tcPr>
            <w:tcW w:w="623" w:type="pct"/>
            <w:shd w:val="clear" w:color="auto" w:fill="F8696B"/>
            <w:tcMar>
              <w:top w:w="15" w:type="dxa"/>
              <w:left w:w="15" w:type="dxa"/>
              <w:bottom w:w="0" w:type="dxa"/>
              <w:right w:w="15" w:type="dxa"/>
            </w:tcMar>
            <w:vAlign w:val="center"/>
            <w:hideMark/>
          </w:tcPr>
          <w:p w14:paraId="69ED4DA9"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3.72</w:t>
            </w:r>
          </w:p>
        </w:tc>
        <w:tc>
          <w:tcPr>
            <w:tcW w:w="688" w:type="pct"/>
            <w:shd w:val="clear" w:color="auto" w:fill="96CD7E"/>
            <w:tcMar>
              <w:top w:w="15" w:type="dxa"/>
              <w:left w:w="15" w:type="dxa"/>
              <w:bottom w:w="0" w:type="dxa"/>
              <w:right w:w="15" w:type="dxa"/>
            </w:tcMar>
            <w:vAlign w:val="center"/>
            <w:hideMark/>
          </w:tcPr>
          <w:p w14:paraId="4FC9349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1.21</w:t>
            </w:r>
          </w:p>
        </w:tc>
        <w:tc>
          <w:tcPr>
            <w:tcW w:w="536" w:type="pct"/>
            <w:shd w:val="clear" w:color="auto" w:fill="F8696B"/>
            <w:tcMar>
              <w:top w:w="15" w:type="dxa"/>
              <w:left w:w="15" w:type="dxa"/>
              <w:bottom w:w="0" w:type="dxa"/>
              <w:right w:w="15" w:type="dxa"/>
            </w:tcMar>
            <w:vAlign w:val="center"/>
            <w:hideMark/>
          </w:tcPr>
          <w:p w14:paraId="74F484A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166.38</w:t>
            </w:r>
          </w:p>
        </w:tc>
        <w:tc>
          <w:tcPr>
            <w:tcW w:w="556" w:type="pct"/>
            <w:tcBorders>
              <w:right w:val="single" w:sz="4" w:space="0" w:color="auto"/>
            </w:tcBorders>
            <w:shd w:val="clear" w:color="auto" w:fill="FFEB84"/>
            <w:tcMar>
              <w:top w:w="15" w:type="dxa"/>
              <w:left w:w="15" w:type="dxa"/>
              <w:bottom w:w="0" w:type="dxa"/>
              <w:right w:w="15" w:type="dxa"/>
            </w:tcMar>
            <w:vAlign w:val="center"/>
            <w:hideMark/>
          </w:tcPr>
          <w:p w14:paraId="639148FD"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4.34</w:t>
            </w:r>
          </w:p>
        </w:tc>
      </w:tr>
      <w:tr w:rsidR="00E57A3A" w:rsidRPr="001F6B66" w14:paraId="5E60C498"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30131067"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Shiraz</w:t>
            </w:r>
          </w:p>
        </w:tc>
        <w:tc>
          <w:tcPr>
            <w:tcW w:w="692" w:type="pct"/>
            <w:tcBorders>
              <w:left w:val="single" w:sz="4" w:space="0" w:color="auto"/>
            </w:tcBorders>
            <w:shd w:val="clear" w:color="auto" w:fill="63BE7B"/>
            <w:tcMar>
              <w:top w:w="15" w:type="dxa"/>
              <w:left w:w="15" w:type="dxa"/>
              <w:bottom w:w="0" w:type="dxa"/>
              <w:right w:w="15" w:type="dxa"/>
            </w:tcMar>
            <w:vAlign w:val="center"/>
            <w:hideMark/>
          </w:tcPr>
          <w:p w14:paraId="6669027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0.22</w:t>
            </w:r>
          </w:p>
        </w:tc>
        <w:tc>
          <w:tcPr>
            <w:tcW w:w="477" w:type="pct"/>
            <w:shd w:val="clear" w:color="auto" w:fill="FFEB84"/>
            <w:tcMar>
              <w:top w:w="15" w:type="dxa"/>
              <w:left w:w="15" w:type="dxa"/>
              <w:bottom w:w="0" w:type="dxa"/>
              <w:right w:w="15" w:type="dxa"/>
            </w:tcMar>
            <w:vAlign w:val="center"/>
            <w:hideMark/>
          </w:tcPr>
          <w:p w14:paraId="6590F1F6"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74.2</w:t>
            </w:r>
          </w:p>
        </w:tc>
        <w:tc>
          <w:tcPr>
            <w:tcW w:w="369" w:type="pct"/>
            <w:shd w:val="clear" w:color="auto" w:fill="FA9974"/>
            <w:tcMar>
              <w:top w:w="15" w:type="dxa"/>
              <w:left w:w="15" w:type="dxa"/>
              <w:bottom w:w="0" w:type="dxa"/>
              <w:right w:w="15" w:type="dxa"/>
            </w:tcMar>
            <w:vAlign w:val="center"/>
            <w:hideMark/>
          </w:tcPr>
          <w:p w14:paraId="049F5CF0"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1.33</w:t>
            </w:r>
          </w:p>
        </w:tc>
        <w:tc>
          <w:tcPr>
            <w:tcW w:w="491" w:type="pct"/>
            <w:shd w:val="clear" w:color="auto" w:fill="D8DF81"/>
            <w:tcMar>
              <w:top w:w="15" w:type="dxa"/>
              <w:left w:w="15" w:type="dxa"/>
              <w:bottom w:w="0" w:type="dxa"/>
              <w:right w:w="15" w:type="dxa"/>
            </w:tcMar>
            <w:vAlign w:val="center"/>
            <w:hideMark/>
          </w:tcPr>
          <w:p w14:paraId="70BD0C3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0.006</w:t>
            </w:r>
          </w:p>
        </w:tc>
        <w:tc>
          <w:tcPr>
            <w:tcW w:w="623" w:type="pct"/>
            <w:shd w:val="clear" w:color="auto" w:fill="FDCB7D"/>
            <w:tcMar>
              <w:top w:w="15" w:type="dxa"/>
              <w:left w:w="15" w:type="dxa"/>
              <w:bottom w:w="0" w:type="dxa"/>
              <w:right w:w="15" w:type="dxa"/>
            </w:tcMar>
            <w:vAlign w:val="center"/>
            <w:hideMark/>
          </w:tcPr>
          <w:p w14:paraId="1F8BBB69"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17.58</w:t>
            </w:r>
          </w:p>
        </w:tc>
        <w:tc>
          <w:tcPr>
            <w:tcW w:w="688" w:type="pct"/>
            <w:shd w:val="clear" w:color="auto" w:fill="FA8E72"/>
            <w:tcMar>
              <w:top w:w="15" w:type="dxa"/>
              <w:left w:w="15" w:type="dxa"/>
              <w:bottom w:w="0" w:type="dxa"/>
              <w:right w:w="15" w:type="dxa"/>
            </w:tcMar>
            <w:vAlign w:val="center"/>
            <w:hideMark/>
          </w:tcPr>
          <w:p w14:paraId="4EA15B9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0.72</w:t>
            </w:r>
          </w:p>
        </w:tc>
        <w:tc>
          <w:tcPr>
            <w:tcW w:w="536" w:type="pct"/>
            <w:shd w:val="clear" w:color="auto" w:fill="EBE582"/>
            <w:tcMar>
              <w:top w:w="15" w:type="dxa"/>
              <w:left w:w="15" w:type="dxa"/>
              <w:bottom w:w="0" w:type="dxa"/>
              <w:right w:w="15" w:type="dxa"/>
            </w:tcMar>
            <w:vAlign w:val="center"/>
            <w:hideMark/>
          </w:tcPr>
          <w:p w14:paraId="1F44D09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60.43</w:t>
            </w:r>
          </w:p>
        </w:tc>
        <w:tc>
          <w:tcPr>
            <w:tcW w:w="556" w:type="pct"/>
            <w:tcBorders>
              <w:right w:val="single" w:sz="4" w:space="0" w:color="auto"/>
            </w:tcBorders>
            <w:shd w:val="clear" w:color="auto" w:fill="D8E082"/>
            <w:tcMar>
              <w:top w:w="15" w:type="dxa"/>
              <w:left w:w="15" w:type="dxa"/>
              <w:bottom w:w="0" w:type="dxa"/>
              <w:right w:w="15" w:type="dxa"/>
            </w:tcMar>
            <w:vAlign w:val="center"/>
            <w:hideMark/>
          </w:tcPr>
          <w:p w14:paraId="2E03AF1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5.62</w:t>
            </w:r>
          </w:p>
        </w:tc>
      </w:tr>
      <w:tr w:rsidR="00E57A3A" w:rsidRPr="001F6B66" w14:paraId="6DB6EAA0"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4162E0BF"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Qom</w:t>
            </w:r>
          </w:p>
        </w:tc>
        <w:tc>
          <w:tcPr>
            <w:tcW w:w="692" w:type="pct"/>
            <w:tcBorders>
              <w:left w:val="single" w:sz="4" w:space="0" w:color="auto"/>
            </w:tcBorders>
            <w:shd w:val="clear" w:color="auto" w:fill="FFDA81"/>
            <w:tcMar>
              <w:top w:w="15" w:type="dxa"/>
              <w:left w:w="15" w:type="dxa"/>
              <w:bottom w:w="0" w:type="dxa"/>
              <w:right w:w="15" w:type="dxa"/>
            </w:tcMar>
            <w:vAlign w:val="center"/>
            <w:hideMark/>
          </w:tcPr>
          <w:p w14:paraId="0954DDF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0.64</w:t>
            </w:r>
          </w:p>
        </w:tc>
        <w:tc>
          <w:tcPr>
            <w:tcW w:w="477" w:type="pct"/>
            <w:shd w:val="clear" w:color="auto" w:fill="FCC27C"/>
            <w:tcMar>
              <w:top w:w="15" w:type="dxa"/>
              <w:left w:w="15" w:type="dxa"/>
              <w:bottom w:w="0" w:type="dxa"/>
              <w:right w:w="15" w:type="dxa"/>
            </w:tcMar>
            <w:vAlign w:val="center"/>
            <w:hideMark/>
          </w:tcPr>
          <w:p w14:paraId="17D36F99"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73.55</w:t>
            </w:r>
          </w:p>
        </w:tc>
        <w:tc>
          <w:tcPr>
            <w:tcW w:w="369" w:type="pct"/>
            <w:shd w:val="clear" w:color="auto" w:fill="FFEB84"/>
            <w:tcMar>
              <w:top w:w="15" w:type="dxa"/>
              <w:left w:w="15" w:type="dxa"/>
              <w:bottom w:w="0" w:type="dxa"/>
              <w:right w:w="15" w:type="dxa"/>
            </w:tcMar>
            <w:vAlign w:val="center"/>
            <w:hideMark/>
          </w:tcPr>
          <w:p w14:paraId="256CFC8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2.06</w:t>
            </w:r>
          </w:p>
        </w:tc>
        <w:tc>
          <w:tcPr>
            <w:tcW w:w="491" w:type="pct"/>
            <w:shd w:val="clear" w:color="auto" w:fill="B1D47F"/>
            <w:tcMar>
              <w:top w:w="15" w:type="dxa"/>
              <w:left w:w="15" w:type="dxa"/>
              <w:bottom w:w="0" w:type="dxa"/>
              <w:right w:w="15" w:type="dxa"/>
            </w:tcMar>
            <w:vAlign w:val="center"/>
            <w:hideMark/>
          </w:tcPr>
          <w:p w14:paraId="61208681"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0.005</w:t>
            </w:r>
          </w:p>
        </w:tc>
        <w:tc>
          <w:tcPr>
            <w:tcW w:w="623" w:type="pct"/>
            <w:shd w:val="clear" w:color="auto" w:fill="F4E884"/>
            <w:tcMar>
              <w:top w:w="15" w:type="dxa"/>
              <w:left w:w="15" w:type="dxa"/>
              <w:bottom w:w="0" w:type="dxa"/>
              <w:right w:w="15" w:type="dxa"/>
            </w:tcMar>
            <w:vAlign w:val="center"/>
            <w:hideMark/>
          </w:tcPr>
          <w:p w14:paraId="37D4FD4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83.25</w:t>
            </w:r>
          </w:p>
        </w:tc>
        <w:tc>
          <w:tcPr>
            <w:tcW w:w="688" w:type="pct"/>
            <w:shd w:val="clear" w:color="auto" w:fill="FBAC77"/>
            <w:tcMar>
              <w:top w:w="15" w:type="dxa"/>
              <w:left w:w="15" w:type="dxa"/>
              <w:bottom w:w="0" w:type="dxa"/>
              <w:right w:w="15" w:type="dxa"/>
            </w:tcMar>
            <w:vAlign w:val="center"/>
            <w:hideMark/>
          </w:tcPr>
          <w:p w14:paraId="01061EC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0.79</w:t>
            </w:r>
          </w:p>
        </w:tc>
        <w:tc>
          <w:tcPr>
            <w:tcW w:w="536" w:type="pct"/>
            <w:shd w:val="clear" w:color="auto" w:fill="63BE7B"/>
            <w:tcMar>
              <w:top w:w="15" w:type="dxa"/>
              <w:left w:w="15" w:type="dxa"/>
              <w:bottom w:w="0" w:type="dxa"/>
              <w:right w:w="15" w:type="dxa"/>
            </w:tcMar>
            <w:vAlign w:val="center"/>
            <w:hideMark/>
          </w:tcPr>
          <w:p w14:paraId="62D8A8A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26.64</w:t>
            </w:r>
          </w:p>
        </w:tc>
        <w:tc>
          <w:tcPr>
            <w:tcW w:w="556" w:type="pct"/>
            <w:tcBorders>
              <w:right w:val="single" w:sz="4" w:space="0" w:color="auto"/>
            </w:tcBorders>
            <w:shd w:val="clear" w:color="auto" w:fill="CEDD82"/>
            <w:tcMar>
              <w:top w:w="15" w:type="dxa"/>
              <w:left w:w="15" w:type="dxa"/>
              <w:bottom w:w="0" w:type="dxa"/>
              <w:right w:w="15" w:type="dxa"/>
            </w:tcMar>
            <w:vAlign w:val="center"/>
            <w:hideMark/>
          </w:tcPr>
          <w:p w14:paraId="2CCA7352"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5.91</w:t>
            </w:r>
          </w:p>
        </w:tc>
      </w:tr>
      <w:tr w:rsidR="00E57A3A" w:rsidRPr="001F6B66" w14:paraId="14B50557"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1D53F42A"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Karaj</w:t>
            </w:r>
          </w:p>
        </w:tc>
        <w:tc>
          <w:tcPr>
            <w:tcW w:w="692" w:type="pct"/>
            <w:tcBorders>
              <w:left w:val="single" w:sz="4" w:space="0" w:color="auto"/>
            </w:tcBorders>
            <w:shd w:val="clear" w:color="auto" w:fill="FFEB84"/>
            <w:tcMar>
              <w:top w:w="15" w:type="dxa"/>
              <w:left w:w="15" w:type="dxa"/>
              <w:bottom w:w="0" w:type="dxa"/>
              <w:right w:w="15" w:type="dxa"/>
            </w:tcMar>
            <w:vAlign w:val="center"/>
            <w:hideMark/>
          </w:tcPr>
          <w:p w14:paraId="38CAA26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0.61</w:t>
            </w:r>
          </w:p>
        </w:tc>
        <w:tc>
          <w:tcPr>
            <w:tcW w:w="477" w:type="pct"/>
            <w:shd w:val="clear" w:color="auto" w:fill="FFEB84"/>
            <w:tcMar>
              <w:top w:w="15" w:type="dxa"/>
              <w:left w:w="15" w:type="dxa"/>
              <w:bottom w:w="0" w:type="dxa"/>
              <w:right w:w="15" w:type="dxa"/>
            </w:tcMar>
            <w:vAlign w:val="center"/>
            <w:hideMark/>
          </w:tcPr>
          <w:p w14:paraId="50C6587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74.19</w:t>
            </w:r>
          </w:p>
        </w:tc>
        <w:tc>
          <w:tcPr>
            <w:tcW w:w="369" w:type="pct"/>
            <w:shd w:val="clear" w:color="auto" w:fill="F8696B"/>
            <w:tcMar>
              <w:top w:w="15" w:type="dxa"/>
              <w:left w:w="15" w:type="dxa"/>
              <w:bottom w:w="0" w:type="dxa"/>
              <w:right w:w="15" w:type="dxa"/>
            </w:tcMar>
            <w:vAlign w:val="center"/>
            <w:hideMark/>
          </w:tcPr>
          <w:p w14:paraId="643D76EB"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0.9</w:t>
            </w:r>
          </w:p>
        </w:tc>
        <w:tc>
          <w:tcPr>
            <w:tcW w:w="491" w:type="pct"/>
            <w:shd w:val="clear" w:color="auto" w:fill="FFEB84"/>
            <w:tcMar>
              <w:top w:w="15" w:type="dxa"/>
              <w:left w:w="15" w:type="dxa"/>
              <w:bottom w:w="0" w:type="dxa"/>
              <w:right w:w="15" w:type="dxa"/>
            </w:tcMar>
            <w:vAlign w:val="center"/>
            <w:hideMark/>
          </w:tcPr>
          <w:p w14:paraId="2508087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0.008</w:t>
            </w:r>
          </w:p>
        </w:tc>
        <w:tc>
          <w:tcPr>
            <w:tcW w:w="623" w:type="pct"/>
            <w:shd w:val="clear" w:color="auto" w:fill="FCEA84"/>
            <w:tcMar>
              <w:top w:w="15" w:type="dxa"/>
              <w:left w:w="15" w:type="dxa"/>
              <w:bottom w:w="0" w:type="dxa"/>
              <w:right w:w="15" w:type="dxa"/>
            </w:tcMar>
            <w:vAlign w:val="center"/>
            <w:hideMark/>
          </w:tcPr>
          <w:p w14:paraId="403970B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43.96</w:t>
            </w:r>
          </w:p>
        </w:tc>
        <w:tc>
          <w:tcPr>
            <w:tcW w:w="688" w:type="pct"/>
            <w:shd w:val="clear" w:color="auto" w:fill="FFEB84"/>
            <w:tcMar>
              <w:top w:w="15" w:type="dxa"/>
              <w:left w:w="15" w:type="dxa"/>
              <w:bottom w:w="0" w:type="dxa"/>
              <w:right w:w="15" w:type="dxa"/>
            </w:tcMar>
            <w:vAlign w:val="center"/>
            <w:hideMark/>
          </w:tcPr>
          <w:p w14:paraId="76A5A16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0.94</w:t>
            </w:r>
          </w:p>
        </w:tc>
        <w:tc>
          <w:tcPr>
            <w:tcW w:w="536" w:type="pct"/>
            <w:shd w:val="clear" w:color="auto" w:fill="FFDF82"/>
            <w:tcMar>
              <w:top w:w="15" w:type="dxa"/>
              <w:left w:w="15" w:type="dxa"/>
              <w:bottom w:w="0" w:type="dxa"/>
              <w:right w:w="15" w:type="dxa"/>
            </w:tcMar>
            <w:vAlign w:val="center"/>
            <w:hideMark/>
          </w:tcPr>
          <w:p w14:paraId="4B2EABFD"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75.35</w:t>
            </w:r>
          </w:p>
        </w:tc>
        <w:tc>
          <w:tcPr>
            <w:tcW w:w="556" w:type="pct"/>
            <w:tcBorders>
              <w:right w:val="single" w:sz="4" w:space="0" w:color="auto"/>
            </w:tcBorders>
            <w:shd w:val="clear" w:color="auto" w:fill="FEDA80"/>
            <w:tcMar>
              <w:top w:w="15" w:type="dxa"/>
              <w:left w:w="15" w:type="dxa"/>
              <w:bottom w:w="0" w:type="dxa"/>
              <w:right w:w="15" w:type="dxa"/>
            </w:tcMar>
            <w:vAlign w:val="center"/>
            <w:hideMark/>
          </w:tcPr>
          <w:p w14:paraId="5888D736"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4.14</w:t>
            </w:r>
          </w:p>
        </w:tc>
      </w:tr>
      <w:tr w:rsidR="00E57A3A" w:rsidRPr="001F6B66" w14:paraId="4841C816"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7F9AA275"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Kermanshah</w:t>
            </w:r>
          </w:p>
        </w:tc>
        <w:tc>
          <w:tcPr>
            <w:tcW w:w="692" w:type="pct"/>
            <w:tcBorders>
              <w:left w:val="single" w:sz="4" w:space="0" w:color="auto"/>
            </w:tcBorders>
            <w:shd w:val="clear" w:color="auto" w:fill="A7D17E"/>
            <w:tcMar>
              <w:top w:w="15" w:type="dxa"/>
              <w:left w:w="15" w:type="dxa"/>
              <w:bottom w:w="0" w:type="dxa"/>
              <w:right w:w="15" w:type="dxa"/>
            </w:tcMar>
            <w:vAlign w:val="center"/>
            <w:hideMark/>
          </w:tcPr>
          <w:p w14:paraId="6A576A1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0.39</w:t>
            </w:r>
          </w:p>
        </w:tc>
        <w:tc>
          <w:tcPr>
            <w:tcW w:w="477" w:type="pct"/>
            <w:shd w:val="clear" w:color="auto" w:fill="F8696B"/>
            <w:tcMar>
              <w:top w:w="15" w:type="dxa"/>
              <w:left w:w="15" w:type="dxa"/>
              <w:bottom w:w="0" w:type="dxa"/>
              <w:right w:w="15" w:type="dxa"/>
            </w:tcMar>
            <w:vAlign w:val="center"/>
            <w:hideMark/>
          </w:tcPr>
          <w:p w14:paraId="368F1EC6"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72.11</w:t>
            </w:r>
          </w:p>
        </w:tc>
        <w:tc>
          <w:tcPr>
            <w:tcW w:w="369" w:type="pct"/>
            <w:shd w:val="clear" w:color="auto" w:fill="FBA175"/>
            <w:tcMar>
              <w:top w:w="15" w:type="dxa"/>
              <w:left w:w="15" w:type="dxa"/>
              <w:bottom w:w="0" w:type="dxa"/>
              <w:right w:w="15" w:type="dxa"/>
            </w:tcMar>
            <w:vAlign w:val="center"/>
            <w:hideMark/>
          </w:tcPr>
          <w:p w14:paraId="2B9C60E8"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1.4</w:t>
            </w:r>
          </w:p>
        </w:tc>
        <w:tc>
          <w:tcPr>
            <w:tcW w:w="491" w:type="pct"/>
            <w:shd w:val="clear" w:color="auto" w:fill="FFEB84"/>
            <w:tcMar>
              <w:top w:w="15" w:type="dxa"/>
              <w:left w:w="15" w:type="dxa"/>
              <w:bottom w:w="0" w:type="dxa"/>
              <w:right w:w="15" w:type="dxa"/>
            </w:tcMar>
            <w:vAlign w:val="center"/>
            <w:hideMark/>
          </w:tcPr>
          <w:p w14:paraId="293E68F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0.04</w:t>
            </w:r>
          </w:p>
        </w:tc>
        <w:tc>
          <w:tcPr>
            <w:tcW w:w="623" w:type="pct"/>
            <w:shd w:val="clear" w:color="auto" w:fill="FFEB84"/>
            <w:tcMar>
              <w:top w:w="15" w:type="dxa"/>
              <w:left w:w="15" w:type="dxa"/>
              <w:bottom w:w="0" w:type="dxa"/>
              <w:right w:w="15" w:type="dxa"/>
            </w:tcMar>
            <w:vAlign w:val="center"/>
            <w:hideMark/>
          </w:tcPr>
          <w:p w14:paraId="5A4EA16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22.08</w:t>
            </w:r>
          </w:p>
        </w:tc>
        <w:tc>
          <w:tcPr>
            <w:tcW w:w="688" w:type="pct"/>
            <w:shd w:val="clear" w:color="auto" w:fill="FCB479"/>
            <w:tcMar>
              <w:top w:w="15" w:type="dxa"/>
              <w:left w:w="15" w:type="dxa"/>
              <w:bottom w:w="0" w:type="dxa"/>
              <w:right w:w="15" w:type="dxa"/>
            </w:tcMar>
            <w:vAlign w:val="center"/>
            <w:hideMark/>
          </w:tcPr>
          <w:p w14:paraId="1592D10D"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0.81</w:t>
            </w:r>
          </w:p>
        </w:tc>
        <w:tc>
          <w:tcPr>
            <w:tcW w:w="536" w:type="pct"/>
            <w:shd w:val="clear" w:color="auto" w:fill="FFE784"/>
            <w:tcMar>
              <w:top w:w="15" w:type="dxa"/>
              <w:left w:w="15" w:type="dxa"/>
              <w:bottom w:w="0" w:type="dxa"/>
              <w:right w:w="15" w:type="dxa"/>
            </w:tcMar>
            <w:vAlign w:val="center"/>
            <w:hideMark/>
          </w:tcPr>
          <w:p w14:paraId="3C6A910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68.66</w:t>
            </w:r>
          </w:p>
        </w:tc>
        <w:tc>
          <w:tcPr>
            <w:tcW w:w="556" w:type="pct"/>
            <w:tcBorders>
              <w:right w:val="single" w:sz="4" w:space="0" w:color="auto"/>
            </w:tcBorders>
            <w:shd w:val="clear" w:color="auto" w:fill="FCEA84"/>
            <w:tcMar>
              <w:top w:w="15" w:type="dxa"/>
              <w:left w:w="15" w:type="dxa"/>
              <w:bottom w:w="0" w:type="dxa"/>
              <w:right w:w="15" w:type="dxa"/>
            </w:tcMar>
            <w:vAlign w:val="center"/>
            <w:hideMark/>
          </w:tcPr>
          <w:p w14:paraId="5F4A80F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4.54</w:t>
            </w:r>
          </w:p>
        </w:tc>
      </w:tr>
      <w:tr w:rsidR="00E57A3A" w:rsidRPr="001F6B66" w14:paraId="63188CA2"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1EA5DDB8"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Mashhad</w:t>
            </w:r>
          </w:p>
        </w:tc>
        <w:tc>
          <w:tcPr>
            <w:tcW w:w="692" w:type="pct"/>
            <w:tcBorders>
              <w:left w:val="single" w:sz="4" w:space="0" w:color="auto"/>
            </w:tcBorders>
            <w:shd w:val="clear" w:color="auto" w:fill="E3E282"/>
            <w:tcMar>
              <w:top w:w="15" w:type="dxa"/>
              <w:left w:w="15" w:type="dxa"/>
              <w:bottom w:w="0" w:type="dxa"/>
              <w:right w:w="15" w:type="dxa"/>
            </w:tcMar>
            <w:vAlign w:val="center"/>
            <w:hideMark/>
          </w:tcPr>
          <w:p w14:paraId="5C379AA2"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0.54</w:t>
            </w:r>
          </w:p>
        </w:tc>
        <w:tc>
          <w:tcPr>
            <w:tcW w:w="477" w:type="pct"/>
            <w:shd w:val="clear" w:color="auto" w:fill="FEE883"/>
            <w:tcMar>
              <w:top w:w="15" w:type="dxa"/>
              <w:left w:w="15" w:type="dxa"/>
              <w:bottom w:w="0" w:type="dxa"/>
              <w:right w:w="15" w:type="dxa"/>
            </w:tcMar>
            <w:vAlign w:val="center"/>
            <w:hideMark/>
          </w:tcPr>
          <w:p w14:paraId="5C341AE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74.15</w:t>
            </w:r>
          </w:p>
        </w:tc>
        <w:tc>
          <w:tcPr>
            <w:tcW w:w="369" w:type="pct"/>
            <w:shd w:val="clear" w:color="auto" w:fill="FFEB84"/>
            <w:tcMar>
              <w:top w:w="15" w:type="dxa"/>
              <w:left w:w="15" w:type="dxa"/>
              <w:bottom w:w="0" w:type="dxa"/>
              <w:right w:w="15" w:type="dxa"/>
            </w:tcMar>
            <w:vAlign w:val="center"/>
            <w:hideMark/>
          </w:tcPr>
          <w:p w14:paraId="55FA13B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2.06</w:t>
            </w:r>
          </w:p>
        </w:tc>
        <w:tc>
          <w:tcPr>
            <w:tcW w:w="491" w:type="pct"/>
            <w:shd w:val="clear" w:color="auto" w:fill="B1D47F"/>
            <w:tcMar>
              <w:top w:w="15" w:type="dxa"/>
              <w:left w:w="15" w:type="dxa"/>
              <w:bottom w:w="0" w:type="dxa"/>
              <w:right w:w="15" w:type="dxa"/>
            </w:tcMar>
            <w:vAlign w:val="center"/>
            <w:hideMark/>
          </w:tcPr>
          <w:p w14:paraId="75D466D1"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0.005</w:t>
            </w:r>
          </w:p>
        </w:tc>
        <w:tc>
          <w:tcPr>
            <w:tcW w:w="623" w:type="pct"/>
            <w:shd w:val="clear" w:color="auto" w:fill="FDD27F"/>
            <w:tcMar>
              <w:top w:w="15" w:type="dxa"/>
              <w:left w:w="15" w:type="dxa"/>
              <w:bottom w:w="0" w:type="dxa"/>
              <w:right w:w="15" w:type="dxa"/>
            </w:tcMar>
            <w:vAlign w:val="center"/>
            <w:hideMark/>
          </w:tcPr>
          <w:p w14:paraId="7079575C"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18.61</w:t>
            </w:r>
          </w:p>
        </w:tc>
        <w:tc>
          <w:tcPr>
            <w:tcW w:w="688" w:type="pct"/>
            <w:shd w:val="clear" w:color="auto" w:fill="F4E884"/>
            <w:tcMar>
              <w:top w:w="15" w:type="dxa"/>
              <w:left w:w="15" w:type="dxa"/>
              <w:bottom w:w="0" w:type="dxa"/>
              <w:right w:w="15" w:type="dxa"/>
            </w:tcMar>
            <w:vAlign w:val="center"/>
            <w:hideMark/>
          </w:tcPr>
          <w:p w14:paraId="7A1952F0"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0.97</w:t>
            </w:r>
          </w:p>
        </w:tc>
        <w:tc>
          <w:tcPr>
            <w:tcW w:w="536" w:type="pct"/>
            <w:shd w:val="clear" w:color="auto" w:fill="FFEB84"/>
            <w:tcMar>
              <w:top w:w="15" w:type="dxa"/>
              <w:left w:w="15" w:type="dxa"/>
              <w:bottom w:w="0" w:type="dxa"/>
              <w:right w:w="15" w:type="dxa"/>
            </w:tcMar>
            <w:vAlign w:val="center"/>
            <w:hideMark/>
          </w:tcPr>
          <w:p w14:paraId="388FBE6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65.31</w:t>
            </w:r>
          </w:p>
        </w:tc>
        <w:tc>
          <w:tcPr>
            <w:tcW w:w="556" w:type="pct"/>
            <w:tcBorders>
              <w:right w:val="single" w:sz="4" w:space="0" w:color="auto"/>
            </w:tcBorders>
            <w:shd w:val="clear" w:color="auto" w:fill="FDC77D"/>
            <w:tcMar>
              <w:top w:w="15" w:type="dxa"/>
              <w:left w:w="15" w:type="dxa"/>
              <w:bottom w:w="0" w:type="dxa"/>
              <w:right w:w="15" w:type="dxa"/>
            </w:tcMar>
            <w:vAlign w:val="center"/>
            <w:hideMark/>
          </w:tcPr>
          <w:p w14:paraId="7D87F03F"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3.82</w:t>
            </w:r>
          </w:p>
        </w:tc>
      </w:tr>
      <w:tr w:rsidR="00E57A3A" w:rsidRPr="001F6B66" w14:paraId="7343E09E"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3FD8047C"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Yazd</w:t>
            </w:r>
          </w:p>
        </w:tc>
        <w:tc>
          <w:tcPr>
            <w:tcW w:w="692" w:type="pct"/>
            <w:tcBorders>
              <w:left w:val="single" w:sz="4" w:space="0" w:color="auto"/>
            </w:tcBorders>
            <w:shd w:val="clear" w:color="auto" w:fill="EFE683"/>
            <w:tcMar>
              <w:top w:w="15" w:type="dxa"/>
              <w:left w:w="15" w:type="dxa"/>
              <w:bottom w:w="0" w:type="dxa"/>
              <w:right w:w="15" w:type="dxa"/>
            </w:tcMar>
            <w:vAlign w:val="center"/>
            <w:hideMark/>
          </w:tcPr>
          <w:p w14:paraId="5D30D68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0.57</w:t>
            </w:r>
          </w:p>
        </w:tc>
        <w:tc>
          <w:tcPr>
            <w:tcW w:w="477" w:type="pct"/>
            <w:shd w:val="clear" w:color="auto" w:fill="D9E182"/>
            <w:tcMar>
              <w:top w:w="15" w:type="dxa"/>
              <w:left w:w="15" w:type="dxa"/>
              <w:bottom w:w="0" w:type="dxa"/>
              <w:right w:w="15" w:type="dxa"/>
            </w:tcMar>
            <w:vAlign w:val="center"/>
            <w:hideMark/>
          </w:tcPr>
          <w:p w14:paraId="35A2A57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74.68</w:t>
            </w:r>
          </w:p>
        </w:tc>
        <w:tc>
          <w:tcPr>
            <w:tcW w:w="369" w:type="pct"/>
            <w:shd w:val="clear" w:color="auto" w:fill="F3E884"/>
            <w:tcMar>
              <w:top w:w="15" w:type="dxa"/>
              <w:left w:w="15" w:type="dxa"/>
              <w:bottom w:w="0" w:type="dxa"/>
              <w:right w:w="15" w:type="dxa"/>
            </w:tcMar>
            <w:vAlign w:val="center"/>
            <w:hideMark/>
          </w:tcPr>
          <w:p w14:paraId="3BB3082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2.3</w:t>
            </w:r>
          </w:p>
        </w:tc>
        <w:tc>
          <w:tcPr>
            <w:tcW w:w="491" w:type="pct"/>
            <w:shd w:val="clear" w:color="auto" w:fill="63BE7B"/>
            <w:tcMar>
              <w:top w:w="15" w:type="dxa"/>
              <w:left w:w="15" w:type="dxa"/>
              <w:bottom w:w="0" w:type="dxa"/>
              <w:right w:w="15" w:type="dxa"/>
            </w:tcMar>
            <w:vAlign w:val="center"/>
            <w:hideMark/>
          </w:tcPr>
          <w:p w14:paraId="5E4C5093"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0.003</w:t>
            </w:r>
          </w:p>
        </w:tc>
        <w:tc>
          <w:tcPr>
            <w:tcW w:w="623" w:type="pct"/>
            <w:shd w:val="clear" w:color="auto" w:fill="7BC57D"/>
            <w:tcMar>
              <w:top w:w="15" w:type="dxa"/>
              <w:left w:w="15" w:type="dxa"/>
              <w:bottom w:w="0" w:type="dxa"/>
              <w:right w:w="15" w:type="dxa"/>
            </w:tcMar>
            <w:vAlign w:val="center"/>
            <w:hideMark/>
          </w:tcPr>
          <w:p w14:paraId="30BC0F24"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755.18</w:t>
            </w:r>
          </w:p>
        </w:tc>
        <w:tc>
          <w:tcPr>
            <w:tcW w:w="688" w:type="pct"/>
            <w:shd w:val="clear" w:color="auto" w:fill="FEDE81"/>
            <w:tcMar>
              <w:top w:w="15" w:type="dxa"/>
              <w:left w:w="15" w:type="dxa"/>
              <w:bottom w:w="0" w:type="dxa"/>
              <w:right w:w="15" w:type="dxa"/>
            </w:tcMar>
            <w:vAlign w:val="center"/>
            <w:hideMark/>
          </w:tcPr>
          <w:p w14:paraId="399D9598"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0.91</w:t>
            </w:r>
          </w:p>
        </w:tc>
        <w:tc>
          <w:tcPr>
            <w:tcW w:w="536" w:type="pct"/>
            <w:shd w:val="clear" w:color="auto" w:fill="FB9674"/>
            <w:tcMar>
              <w:top w:w="15" w:type="dxa"/>
              <w:left w:w="15" w:type="dxa"/>
              <w:bottom w:w="0" w:type="dxa"/>
              <w:right w:w="15" w:type="dxa"/>
            </w:tcMar>
            <w:vAlign w:val="center"/>
            <w:hideMark/>
          </w:tcPr>
          <w:p w14:paraId="6D80C6ED"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132.16</w:t>
            </w:r>
          </w:p>
        </w:tc>
        <w:tc>
          <w:tcPr>
            <w:tcW w:w="556" w:type="pct"/>
            <w:tcBorders>
              <w:right w:val="single" w:sz="4" w:space="0" w:color="auto"/>
            </w:tcBorders>
            <w:shd w:val="clear" w:color="auto" w:fill="FBA276"/>
            <w:tcMar>
              <w:top w:w="15" w:type="dxa"/>
              <w:left w:w="15" w:type="dxa"/>
              <w:bottom w:w="0" w:type="dxa"/>
              <w:right w:w="15" w:type="dxa"/>
            </w:tcMar>
            <w:vAlign w:val="center"/>
            <w:hideMark/>
          </w:tcPr>
          <w:p w14:paraId="005C62B8"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3.21</w:t>
            </w:r>
          </w:p>
        </w:tc>
      </w:tr>
      <w:tr w:rsidR="00E57A3A" w:rsidRPr="001F6B66" w14:paraId="4291DFAD" w14:textId="77777777" w:rsidTr="00E57A3A">
        <w:trPr>
          <w:trHeight w:val="296"/>
          <w:jc w:val="center"/>
        </w:trPr>
        <w:tc>
          <w:tcPr>
            <w:tcW w:w="568" w:type="pct"/>
            <w:tcBorders>
              <w:top w:val="single" w:sz="4" w:space="0" w:color="000000"/>
              <w:left w:val="single" w:sz="4" w:space="0" w:color="000000"/>
              <w:bottom w:val="single" w:sz="4" w:space="0" w:color="000000"/>
              <w:right w:val="single" w:sz="4" w:space="0" w:color="auto"/>
            </w:tcBorders>
            <w:shd w:val="clear" w:color="auto" w:fill="F2F2F2"/>
            <w:tcMar>
              <w:top w:w="15" w:type="dxa"/>
              <w:left w:w="15" w:type="dxa"/>
              <w:bottom w:w="0" w:type="dxa"/>
              <w:right w:w="15" w:type="dxa"/>
            </w:tcMar>
            <w:vAlign w:val="center"/>
            <w:hideMark/>
          </w:tcPr>
          <w:p w14:paraId="0E0CFAF3" w14:textId="77777777" w:rsidR="00A90805" w:rsidRPr="00E57A3A" w:rsidRDefault="00A90805" w:rsidP="00A90805">
            <w:pPr>
              <w:bidi w:val="0"/>
              <w:jc w:val="center"/>
              <w:rPr>
                <w:rFonts w:asciiTheme="majorBidi" w:hAnsiTheme="majorBidi" w:cstheme="majorBidi"/>
                <w:sz w:val="16"/>
                <w:szCs w:val="16"/>
                <w:rtl/>
              </w:rPr>
            </w:pPr>
            <w:r w:rsidRPr="00E57A3A">
              <w:rPr>
                <w:rFonts w:asciiTheme="majorBidi" w:hAnsiTheme="majorBidi" w:cstheme="majorBidi"/>
                <w:b/>
                <w:bCs/>
                <w:sz w:val="16"/>
                <w:szCs w:val="16"/>
              </w:rPr>
              <w:t>Rasht</w:t>
            </w:r>
          </w:p>
        </w:tc>
        <w:tc>
          <w:tcPr>
            <w:tcW w:w="692" w:type="pct"/>
            <w:tcBorders>
              <w:left w:val="single" w:sz="4" w:space="0" w:color="auto"/>
              <w:bottom w:val="single" w:sz="4" w:space="0" w:color="auto"/>
            </w:tcBorders>
            <w:shd w:val="clear" w:color="auto" w:fill="FFE082"/>
            <w:tcMar>
              <w:top w:w="15" w:type="dxa"/>
              <w:left w:w="15" w:type="dxa"/>
              <w:bottom w:w="0" w:type="dxa"/>
              <w:right w:w="15" w:type="dxa"/>
            </w:tcMar>
            <w:vAlign w:val="center"/>
            <w:hideMark/>
          </w:tcPr>
          <w:p w14:paraId="2303ED35"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0.63</w:t>
            </w:r>
          </w:p>
        </w:tc>
        <w:tc>
          <w:tcPr>
            <w:tcW w:w="477" w:type="pct"/>
            <w:tcBorders>
              <w:bottom w:val="single" w:sz="4" w:space="0" w:color="auto"/>
            </w:tcBorders>
            <w:shd w:val="clear" w:color="auto" w:fill="E7E483"/>
            <w:tcMar>
              <w:top w:w="15" w:type="dxa"/>
              <w:left w:w="15" w:type="dxa"/>
              <w:bottom w:w="0" w:type="dxa"/>
              <w:right w:w="15" w:type="dxa"/>
            </w:tcMar>
            <w:vAlign w:val="center"/>
            <w:hideMark/>
          </w:tcPr>
          <w:p w14:paraId="68AFD52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74.51</w:t>
            </w:r>
          </w:p>
        </w:tc>
        <w:tc>
          <w:tcPr>
            <w:tcW w:w="369" w:type="pct"/>
            <w:tcBorders>
              <w:bottom w:val="single" w:sz="4" w:space="0" w:color="auto"/>
            </w:tcBorders>
            <w:shd w:val="clear" w:color="auto" w:fill="FAEA84"/>
            <w:tcMar>
              <w:top w:w="15" w:type="dxa"/>
              <w:left w:w="15" w:type="dxa"/>
              <w:bottom w:w="0" w:type="dxa"/>
              <w:right w:w="15" w:type="dxa"/>
            </w:tcMar>
            <w:vAlign w:val="center"/>
            <w:hideMark/>
          </w:tcPr>
          <w:p w14:paraId="3C923821"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2.17</w:t>
            </w:r>
          </w:p>
        </w:tc>
        <w:tc>
          <w:tcPr>
            <w:tcW w:w="491" w:type="pct"/>
            <w:tcBorders>
              <w:bottom w:val="single" w:sz="4" w:space="0" w:color="auto"/>
            </w:tcBorders>
            <w:shd w:val="clear" w:color="auto" w:fill="D8DF81"/>
            <w:tcMar>
              <w:top w:w="15" w:type="dxa"/>
              <w:left w:w="15" w:type="dxa"/>
              <w:bottom w:w="0" w:type="dxa"/>
              <w:right w:w="15" w:type="dxa"/>
            </w:tcMar>
            <w:vAlign w:val="center"/>
            <w:hideMark/>
          </w:tcPr>
          <w:p w14:paraId="50800B7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0.006</w:t>
            </w:r>
          </w:p>
        </w:tc>
        <w:tc>
          <w:tcPr>
            <w:tcW w:w="623" w:type="pct"/>
            <w:tcBorders>
              <w:bottom w:val="single" w:sz="4" w:space="0" w:color="auto"/>
            </w:tcBorders>
            <w:shd w:val="clear" w:color="auto" w:fill="63BE7B"/>
            <w:tcMar>
              <w:top w:w="15" w:type="dxa"/>
              <w:left w:w="15" w:type="dxa"/>
              <w:bottom w:w="0" w:type="dxa"/>
              <w:right w:w="15" w:type="dxa"/>
            </w:tcMar>
            <w:vAlign w:val="center"/>
            <w:hideMark/>
          </w:tcPr>
          <w:p w14:paraId="5B4517B8"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882.36</w:t>
            </w:r>
          </w:p>
        </w:tc>
        <w:tc>
          <w:tcPr>
            <w:tcW w:w="688" w:type="pct"/>
            <w:tcBorders>
              <w:bottom w:val="single" w:sz="4" w:space="0" w:color="auto"/>
            </w:tcBorders>
            <w:shd w:val="clear" w:color="auto" w:fill="FFEB84"/>
            <w:tcMar>
              <w:top w:w="15" w:type="dxa"/>
              <w:left w:w="15" w:type="dxa"/>
              <w:bottom w:w="0" w:type="dxa"/>
              <w:right w:w="15" w:type="dxa"/>
            </w:tcMar>
            <w:vAlign w:val="center"/>
            <w:hideMark/>
          </w:tcPr>
          <w:p w14:paraId="04ABC3DE"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0.94</w:t>
            </w:r>
          </w:p>
        </w:tc>
        <w:tc>
          <w:tcPr>
            <w:tcW w:w="536" w:type="pct"/>
            <w:tcBorders>
              <w:bottom w:val="single" w:sz="4" w:space="0" w:color="auto"/>
            </w:tcBorders>
            <w:shd w:val="clear" w:color="auto" w:fill="FB9574"/>
            <w:tcMar>
              <w:top w:w="15" w:type="dxa"/>
              <w:left w:w="15" w:type="dxa"/>
              <w:bottom w:w="0" w:type="dxa"/>
              <w:right w:w="15" w:type="dxa"/>
            </w:tcMar>
            <w:vAlign w:val="center"/>
            <w:hideMark/>
          </w:tcPr>
          <w:p w14:paraId="4C85BCD7"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132.35</w:t>
            </w:r>
          </w:p>
        </w:tc>
        <w:tc>
          <w:tcPr>
            <w:tcW w:w="556" w:type="pct"/>
            <w:tcBorders>
              <w:bottom w:val="single" w:sz="4" w:space="0" w:color="auto"/>
              <w:right w:val="single" w:sz="4" w:space="0" w:color="auto"/>
            </w:tcBorders>
            <w:shd w:val="clear" w:color="auto" w:fill="63BE7B"/>
            <w:tcMar>
              <w:top w:w="15" w:type="dxa"/>
              <w:left w:w="15" w:type="dxa"/>
              <w:bottom w:w="0" w:type="dxa"/>
              <w:right w:w="15" w:type="dxa"/>
            </w:tcMar>
            <w:vAlign w:val="center"/>
            <w:hideMark/>
          </w:tcPr>
          <w:p w14:paraId="41AA6FDA" w14:textId="77777777" w:rsidR="00A90805" w:rsidRPr="00E57A3A" w:rsidRDefault="00A90805" w:rsidP="00A90805">
            <w:pPr>
              <w:bidi w:val="0"/>
              <w:jc w:val="center"/>
              <w:rPr>
                <w:rFonts w:asciiTheme="majorBidi" w:hAnsiTheme="majorBidi" w:cstheme="majorBidi"/>
                <w:sz w:val="14"/>
                <w:szCs w:val="14"/>
                <w:rtl/>
              </w:rPr>
            </w:pPr>
            <w:r w:rsidRPr="00E57A3A">
              <w:rPr>
                <w:rFonts w:asciiTheme="majorBidi" w:hAnsiTheme="majorBidi" w:cstheme="majorBidi"/>
                <w:sz w:val="14"/>
                <w:szCs w:val="14"/>
              </w:rPr>
              <w:t>9.12</w:t>
            </w:r>
            <w:commentRangeEnd w:id="4"/>
            <w:r w:rsidR="00027DAD">
              <w:rPr>
                <w:rStyle w:val="CommentReference"/>
              </w:rPr>
              <w:commentReference w:id="4"/>
            </w:r>
          </w:p>
        </w:tc>
      </w:tr>
    </w:tbl>
    <w:p w14:paraId="713ED5BF" w14:textId="77777777" w:rsidR="00A90805" w:rsidRDefault="00E57A3A" w:rsidP="00E57A3A">
      <w:pPr>
        <w:bidi w:val="0"/>
        <w:rPr>
          <w:rFonts w:asciiTheme="majorBidi" w:hAnsiTheme="majorBidi" w:cstheme="majorBidi"/>
          <w:sz w:val="18"/>
          <w:szCs w:val="18"/>
        </w:rPr>
      </w:pPr>
      <w:r>
        <w:rPr>
          <w:rFonts w:asciiTheme="majorBidi" w:hAnsiTheme="majorBidi" w:cstheme="majorBidi"/>
          <w:noProof/>
          <w:sz w:val="24"/>
          <w:szCs w:val="24"/>
          <w:lang w:bidi="ar-SA"/>
        </w:rPr>
        <w:drawing>
          <wp:inline distT="0" distB="0" distL="0" distR="0" wp14:anchorId="1B5B5A0A" wp14:editId="1A99FEBD">
            <wp:extent cx="3114185" cy="30176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952" cy="308717"/>
                    </a:xfrm>
                    <a:prstGeom prst="rect">
                      <a:avLst/>
                    </a:prstGeom>
                    <a:noFill/>
                  </pic:spPr>
                </pic:pic>
              </a:graphicData>
            </a:graphic>
          </wp:inline>
        </w:drawing>
      </w:r>
    </w:p>
    <w:p w14:paraId="129B01CA" w14:textId="77777777" w:rsidR="00027DAD" w:rsidRPr="00A90805" w:rsidRDefault="00027DAD" w:rsidP="00027DAD">
      <w:pPr>
        <w:bidi w:val="0"/>
        <w:rPr>
          <w:rFonts w:asciiTheme="majorBidi" w:hAnsiTheme="majorBidi" w:cstheme="majorBidi"/>
          <w:sz w:val="18"/>
          <w:szCs w:val="18"/>
        </w:rPr>
      </w:pPr>
    </w:p>
    <w:p w14:paraId="5FA07088"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4.6- </w:t>
      </w:r>
      <w:r w:rsidR="00A90805" w:rsidRPr="006B752A">
        <w:rPr>
          <w:rFonts w:asciiTheme="majorBidi" w:hAnsiTheme="majorBidi" w:cstheme="majorBidi"/>
          <w:b/>
          <w:bCs/>
          <w:sz w:val="24"/>
          <w:szCs w:val="24"/>
        </w:rPr>
        <w:t xml:space="preserve">Ranking of </w:t>
      </w:r>
      <w:r w:rsidR="00C94042" w:rsidRPr="006B752A">
        <w:rPr>
          <w:rFonts w:asciiTheme="majorBidi" w:hAnsiTheme="majorBidi" w:cstheme="majorBidi"/>
          <w:b/>
          <w:bCs/>
          <w:sz w:val="24"/>
          <w:szCs w:val="24"/>
        </w:rPr>
        <w:t xml:space="preserve">Cities </w:t>
      </w:r>
      <w:r w:rsidR="00A90805" w:rsidRPr="006B752A">
        <w:rPr>
          <w:rFonts w:asciiTheme="majorBidi" w:hAnsiTheme="majorBidi" w:cstheme="majorBidi"/>
          <w:b/>
          <w:bCs/>
          <w:sz w:val="24"/>
          <w:szCs w:val="24"/>
        </w:rPr>
        <w:t xml:space="preserve">in </w:t>
      </w:r>
      <w:r w:rsidR="00C94042" w:rsidRPr="006B752A">
        <w:rPr>
          <w:rFonts w:asciiTheme="majorBidi" w:hAnsiTheme="majorBidi" w:cstheme="majorBidi"/>
          <w:b/>
          <w:bCs/>
          <w:sz w:val="24"/>
          <w:szCs w:val="24"/>
        </w:rPr>
        <w:t xml:space="preserve">Terms </w:t>
      </w:r>
      <w:r w:rsidR="00A90805" w:rsidRPr="006B752A">
        <w:rPr>
          <w:rFonts w:asciiTheme="majorBidi" w:hAnsiTheme="majorBidi" w:cstheme="majorBidi"/>
          <w:b/>
          <w:bCs/>
          <w:sz w:val="24"/>
          <w:szCs w:val="24"/>
        </w:rPr>
        <w:t xml:space="preserve">of the </w:t>
      </w:r>
      <w:r w:rsidR="00C94042" w:rsidRPr="006B752A">
        <w:rPr>
          <w:rFonts w:asciiTheme="majorBidi" w:hAnsiTheme="majorBidi" w:cstheme="majorBidi"/>
          <w:b/>
          <w:bCs/>
          <w:sz w:val="24"/>
          <w:szCs w:val="24"/>
        </w:rPr>
        <w:t>Interactions between Citizens</w:t>
      </w:r>
    </w:p>
    <w:p w14:paraId="2909FC8E" w14:textId="77777777" w:rsidR="00A90805"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The results of the TOPSIS technique for the 4 indicators of the "interactions between citizens" pillar show that Yazd Metropolis rank</w:t>
      </w:r>
      <w:r>
        <w:rPr>
          <w:rFonts w:asciiTheme="majorBidi" w:hAnsiTheme="majorBidi" w:cstheme="majorBidi"/>
          <w:sz w:val="24"/>
          <w:szCs w:val="24"/>
        </w:rPr>
        <w:t>ed</w:t>
      </w:r>
      <w:r w:rsidRPr="006B752A">
        <w:rPr>
          <w:rFonts w:asciiTheme="majorBidi" w:hAnsiTheme="majorBidi" w:cstheme="majorBidi"/>
          <w:sz w:val="24"/>
          <w:szCs w:val="24"/>
        </w:rPr>
        <w:t xml:space="preserve"> first, followed by Tehran, Isfahan, and Shiraz metropolises, with a very small difference between them, respectively. Also, Rasht and Kermanshah metropolises obtained the last ranks, respectively. In the following, the status of metropolises is analyzed and presented in terms of the constituent indicators of the "interactions between citizens" pillar. Figure (4) shows the results.</w:t>
      </w:r>
    </w:p>
    <w:p w14:paraId="7F2AA3AE" w14:textId="77777777" w:rsidR="006B58B7" w:rsidRDefault="006B58B7" w:rsidP="006B58B7">
      <w:pPr>
        <w:bidi w:val="0"/>
        <w:jc w:val="lowKashida"/>
        <w:rPr>
          <w:rFonts w:asciiTheme="majorBidi" w:hAnsiTheme="majorBidi" w:cstheme="majorBidi"/>
          <w:sz w:val="24"/>
          <w:szCs w:val="24"/>
        </w:rPr>
      </w:pPr>
      <w:commentRangeStart w:id="5"/>
      <w:r>
        <w:rPr>
          <w:rFonts w:asciiTheme="majorBidi" w:hAnsiTheme="majorBidi" w:cstheme="majorBidi"/>
          <w:noProof/>
          <w:sz w:val="24"/>
          <w:szCs w:val="24"/>
          <w:lang w:bidi="ar-SA"/>
        </w:rPr>
        <w:lastRenderedPageBreak/>
        <w:drawing>
          <wp:inline distT="0" distB="0" distL="0" distR="0" wp14:anchorId="68CDD1B0" wp14:editId="3AF24426">
            <wp:extent cx="5719445" cy="304637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76" b="1232"/>
                    <a:stretch/>
                  </pic:blipFill>
                  <pic:spPr bwMode="auto">
                    <a:xfrm>
                      <a:off x="0" y="0"/>
                      <a:ext cx="5734044" cy="3054146"/>
                    </a:xfrm>
                    <a:prstGeom prst="rect">
                      <a:avLst/>
                    </a:prstGeom>
                    <a:noFill/>
                    <a:ln>
                      <a:noFill/>
                    </a:ln>
                    <a:extLst>
                      <a:ext uri="{53640926-AAD7-44D8-BBD7-CCE9431645EC}">
                        <a14:shadowObscured xmlns:a14="http://schemas.microsoft.com/office/drawing/2010/main"/>
                      </a:ext>
                    </a:extLst>
                  </pic:spPr>
                </pic:pic>
              </a:graphicData>
            </a:graphic>
          </wp:inline>
        </w:drawing>
      </w:r>
      <w:commentRangeEnd w:id="5"/>
      <w:r w:rsidR="00027DAD">
        <w:rPr>
          <w:rStyle w:val="CommentReference"/>
        </w:rPr>
        <w:commentReference w:id="5"/>
      </w:r>
    </w:p>
    <w:p w14:paraId="21D65116" w14:textId="77777777" w:rsidR="00A90805" w:rsidRPr="00A90805" w:rsidRDefault="00A90805" w:rsidP="00A90805">
      <w:pPr>
        <w:bidi w:val="0"/>
        <w:jc w:val="center"/>
        <w:rPr>
          <w:rFonts w:asciiTheme="majorBidi" w:hAnsiTheme="majorBidi" w:cstheme="majorBidi"/>
          <w:sz w:val="18"/>
          <w:szCs w:val="18"/>
        </w:rPr>
      </w:pPr>
      <w:r w:rsidRPr="00CC1393">
        <w:rPr>
          <w:rFonts w:asciiTheme="majorBidi" w:hAnsiTheme="majorBidi" w:cstheme="majorBidi"/>
          <w:sz w:val="18"/>
          <w:szCs w:val="18"/>
          <w:highlight w:val="yellow"/>
        </w:rPr>
        <w:t>Figure (4). The result of integrating the indicators of the "interactions between citizens" pillar</w:t>
      </w:r>
    </w:p>
    <w:p w14:paraId="35F16AAC"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4.7- </w:t>
      </w:r>
      <w:r w:rsidR="00A90805" w:rsidRPr="006B752A">
        <w:rPr>
          <w:rFonts w:asciiTheme="majorBidi" w:hAnsiTheme="majorBidi" w:cstheme="majorBidi"/>
          <w:b/>
          <w:bCs/>
          <w:sz w:val="24"/>
          <w:szCs w:val="24"/>
        </w:rPr>
        <w:t xml:space="preserve">Ranking of </w:t>
      </w:r>
      <w:r w:rsidR="00C94042" w:rsidRPr="006B752A">
        <w:rPr>
          <w:rFonts w:asciiTheme="majorBidi" w:hAnsiTheme="majorBidi" w:cstheme="majorBidi"/>
          <w:b/>
          <w:bCs/>
          <w:sz w:val="24"/>
          <w:szCs w:val="24"/>
        </w:rPr>
        <w:t xml:space="preserve">Cities </w:t>
      </w:r>
      <w:r w:rsidR="00A90805" w:rsidRPr="006B752A">
        <w:rPr>
          <w:rFonts w:asciiTheme="majorBidi" w:hAnsiTheme="majorBidi" w:cstheme="majorBidi"/>
          <w:b/>
          <w:bCs/>
          <w:sz w:val="24"/>
          <w:szCs w:val="24"/>
        </w:rPr>
        <w:t xml:space="preserve">in </w:t>
      </w:r>
      <w:r w:rsidR="00C94042" w:rsidRPr="006B752A">
        <w:rPr>
          <w:rFonts w:asciiTheme="majorBidi" w:hAnsiTheme="majorBidi" w:cstheme="majorBidi"/>
          <w:b/>
          <w:bCs/>
          <w:sz w:val="24"/>
          <w:szCs w:val="24"/>
        </w:rPr>
        <w:t xml:space="preserve">Terms </w:t>
      </w:r>
      <w:r w:rsidR="00A90805" w:rsidRPr="006B752A">
        <w:rPr>
          <w:rFonts w:asciiTheme="majorBidi" w:hAnsiTheme="majorBidi" w:cstheme="majorBidi"/>
          <w:b/>
          <w:bCs/>
          <w:sz w:val="24"/>
          <w:szCs w:val="24"/>
        </w:rPr>
        <w:t xml:space="preserve">of the </w:t>
      </w:r>
      <w:r w:rsidR="00C94042" w:rsidRPr="006B752A">
        <w:rPr>
          <w:rFonts w:asciiTheme="majorBidi" w:hAnsiTheme="majorBidi" w:cstheme="majorBidi"/>
          <w:b/>
          <w:bCs/>
          <w:sz w:val="24"/>
          <w:szCs w:val="24"/>
        </w:rPr>
        <w:t xml:space="preserve">Interactions </w:t>
      </w:r>
      <w:r w:rsidR="00A90805">
        <w:rPr>
          <w:rFonts w:asciiTheme="majorBidi" w:hAnsiTheme="majorBidi" w:cstheme="majorBidi"/>
          <w:b/>
          <w:bCs/>
          <w:sz w:val="24"/>
          <w:szCs w:val="24"/>
        </w:rPr>
        <w:t xml:space="preserve">of the </w:t>
      </w:r>
      <w:r w:rsidR="00C94042">
        <w:rPr>
          <w:rFonts w:asciiTheme="majorBidi" w:hAnsiTheme="majorBidi" w:cstheme="majorBidi"/>
          <w:b/>
          <w:bCs/>
          <w:sz w:val="24"/>
          <w:szCs w:val="24"/>
        </w:rPr>
        <w:t>City</w:t>
      </w:r>
    </w:p>
    <w:p w14:paraId="09960C60" w14:textId="77777777" w:rsidR="00A90805"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The results of the TOPSIS technique for the 6 indicators of the "interactions of the city (interactions with other Iranian Muslims in the national and international arenas)" pillar show that Mashhad Metropolis rank</w:t>
      </w:r>
      <w:r>
        <w:rPr>
          <w:rFonts w:asciiTheme="majorBidi" w:hAnsiTheme="majorBidi" w:cstheme="majorBidi"/>
          <w:sz w:val="24"/>
          <w:szCs w:val="24"/>
        </w:rPr>
        <w:t>ed</w:t>
      </w:r>
      <w:r w:rsidRPr="006B752A">
        <w:rPr>
          <w:rFonts w:asciiTheme="majorBidi" w:hAnsiTheme="majorBidi" w:cstheme="majorBidi"/>
          <w:sz w:val="24"/>
          <w:szCs w:val="24"/>
        </w:rPr>
        <w:t xml:space="preserve"> first, followed by Tehran, Rasht, and Yazd metropolises, with a very small difference between them, respectively. Also, Karaj and Tabriz metropolises obtained the last ranks, respectively. In the following, the status of metropolises is analyzed and presented in terms of the constituent indicators of the "interactions of the city (interactions with other Iranian Muslims in the national and international arenas)" pillar. Figure (5) shows the results.</w:t>
      </w:r>
    </w:p>
    <w:p w14:paraId="5C6561B7" w14:textId="77777777" w:rsidR="00A90805" w:rsidRDefault="00B44026" w:rsidP="00A90805">
      <w:pPr>
        <w:bidi w:val="0"/>
        <w:jc w:val="center"/>
        <w:rPr>
          <w:rFonts w:asciiTheme="majorBidi" w:hAnsiTheme="majorBidi" w:cstheme="majorBidi"/>
          <w:sz w:val="24"/>
          <w:szCs w:val="24"/>
        </w:rPr>
      </w:pPr>
      <w:commentRangeStart w:id="6"/>
      <w:r>
        <w:rPr>
          <w:rFonts w:asciiTheme="majorBidi" w:hAnsiTheme="majorBidi" w:cstheme="majorBidi"/>
          <w:noProof/>
          <w:sz w:val="24"/>
          <w:szCs w:val="24"/>
          <w:lang w:bidi="ar-SA"/>
        </w:rPr>
        <w:lastRenderedPageBreak/>
        <w:drawing>
          <wp:inline distT="0" distB="0" distL="0" distR="0" wp14:anchorId="7B2D4ABB" wp14:editId="1398DB7A">
            <wp:extent cx="5698244" cy="3564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5" b="1396"/>
                    <a:stretch/>
                  </pic:blipFill>
                  <pic:spPr bwMode="auto">
                    <a:xfrm>
                      <a:off x="0" y="0"/>
                      <a:ext cx="5698244" cy="3564126"/>
                    </a:xfrm>
                    <a:prstGeom prst="rect">
                      <a:avLst/>
                    </a:prstGeom>
                    <a:noFill/>
                    <a:ln>
                      <a:noFill/>
                    </a:ln>
                    <a:extLst>
                      <a:ext uri="{53640926-AAD7-44D8-BBD7-CCE9431645EC}">
                        <a14:shadowObscured xmlns:a14="http://schemas.microsoft.com/office/drawing/2010/main"/>
                      </a:ext>
                    </a:extLst>
                  </pic:spPr>
                </pic:pic>
              </a:graphicData>
            </a:graphic>
          </wp:inline>
        </w:drawing>
      </w:r>
      <w:commentRangeEnd w:id="6"/>
      <w:r w:rsidR="00027DAD">
        <w:rPr>
          <w:rStyle w:val="CommentReference"/>
        </w:rPr>
        <w:commentReference w:id="6"/>
      </w:r>
    </w:p>
    <w:p w14:paraId="38629514" w14:textId="77777777" w:rsidR="00A90805" w:rsidRPr="00A90805" w:rsidRDefault="00A90805" w:rsidP="00A90805">
      <w:pPr>
        <w:bidi w:val="0"/>
        <w:jc w:val="center"/>
        <w:rPr>
          <w:rFonts w:asciiTheme="majorBidi" w:hAnsiTheme="majorBidi" w:cstheme="majorBidi"/>
          <w:sz w:val="18"/>
          <w:szCs w:val="18"/>
        </w:rPr>
      </w:pPr>
      <w:r w:rsidRPr="00377F32">
        <w:rPr>
          <w:rFonts w:asciiTheme="majorBidi" w:hAnsiTheme="majorBidi" w:cstheme="majorBidi"/>
          <w:sz w:val="18"/>
          <w:szCs w:val="18"/>
          <w:highlight w:val="yellow"/>
        </w:rPr>
        <w:t>Figure (5). The result of integrating the indicators of the "interactions of the city" pillar</w:t>
      </w:r>
    </w:p>
    <w:p w14:paraId="38FDF3D0"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4.8- </w:t>
      </w:r>
      <w:r w:rsidR="00A90805" w:rsidRPr="006B752A">
        <w:rPr>
          <w:rFonts w:asciiTheme="majorBidi" w:hAnsiTheme="majorBidi" w:cstheme="majorBidi"/>
          <w:b/>
          <w:bCs/>
          <w:sz w:val="24"/>
          <w:szCs w:val="24"/>
        </w:rPr>
        <w:t xml:space="preserve">Ranking of </w:t>
      </w:r>
      <w:r w:rsidR="00C94042" w:rsidRPr="006B752A">
        <w:rPr>
          <w:rFonts w:asciiTheme="majorBidi" w:hAnsiTheme="majorBidi" w:cstheme="majorBidi"/>
          <w:b/>
          <w:bCs/>
          <w:sz w:val="24"/>
          <w:szCs w:val="24"/>
        </w:rPr>
        <w:t xml:space="preserve">Cities </w:t>
      </w:r>
      <w:r w:rsidR="00A90805" w:rsidRPr="006B752A">
        <w:rPr>
          <w:rFonts w:asciiTheme="majorBidi" w:hAnsiTheme="majorBidi" w:cstheme="majorBidi"/>
          <w:b/>
          <w:bCs/>
          <w:sz w:val="24"/>
          <w:szCs w:val="24"/>
        </w:rPr>
        <w:t xml:space="preserve">in </w:t>
      </w:r>
      <w:r w:rsidR="00C94042" w:rsidRPr="006B752A">
        <w:rPr>
          <w:rFonts w:asciiTheme="majorBidi" w:hAnsiTheme="majorBidi" w:cstheme="majorBidi"/>
          <w:b/>
          <w:bCs/>
          <w:sz w:val="24"/>
          <w:szCs w:val="24"/>
        </w:rPr>
        <w:t xml:space="preserve">Terms </w:t>
      </w:r>
      <w:r w:rsidR="00A90805" w:rsidRPr="006B752A">
        <w:rPr>
          <w:rFonts w:asciiTheme="majorBidi" w:hAnsiTheme="majorBidi" w:cstheme="majorBidi"/>
          <w:b/>
          <w:bCs/>
          <w:sz w:val="24"/>
          <w:szCs w:val="24"/>
        </w:rPr>
        <w:t>of the "</w:t>
      </w:r>
      <w:r w:rsidR="00C94042" w:rsidRPr="006B752A">
        <w:rPr>
          <w:rFonts w:asciiTheme="majorBidi" w:hAnsiTheme="majorBidi" w:cstheme="majorBidi"/>
          <w:b/>
          <w:bCs/>
          <w:sz w:val="24"/>
          <w:szCs w:val="24"/>
        </w:rPr>
        <w:t>City Context" Pillar</w:t>
      </w:r>
    </w:p>
    <w:p w14:paraId="017F3A59" w14:textId="77777777" w:rsidR="00A90805" w:rsidRDefault="00A90805" w:rsidP="00A90805">
      <w:pPr>
        <w:bidi w:val="0"/>
        <w:jc w:val="lowKashida"/>
        <w:rPr>
          <w:rFonts w:asciiTheme="majorBidi" w:hAnsiTheme="majorBidi" w:cstheme="majorBidi"/>
          <w:sz w:val="24"/>
          <w:szCs w:val="24"/>
        </w:rPr>
      </w:pPr>
      <w:r w:rsidRPr="006B752A">
        <w:rPr>
          <w:rFonts w:asciiTheme="majorBidi" w:hAnsiTheme="majorBidi" w:cstheme="majorBidi"/>
          <w:sz w:val="24"/>
          <w:szCs w:val="24"/>
        </w:rPr>
        <w:t>The results of the TOPSIS technique for the 16 indicators of the "city context (city, as an arena for the excellence of citizens" pillar show that Mashhad metropolis ranked first, followed by Qom, Shiraz, and Tabriz metropolises, with a very small difference between them, respectively. Also, Kermanshah and Rasht metropolises obtained the last ranks, respectively. In the following, the status of the metropolises is analyzed and presented in terms of the constituent indicators of the "city context (city, as an arena for the excellence of citizens</w:t>
      </w:r>
      <w:r>
        <w:rPr>
          <w:rFonts w:asciiTheme="majorBidi" w:hAnsiTheme="majorBidi" w:cstheme="majorBidi"/>
          <w:sz w:val="24"/>
          <w:szCs w:val="24"/>
        </w:rPr>
        <w:t>)</w:t>
      </w:r>
      <w:r w:rsidRPr="006B752A">
        <w:rPr>
          <w:rFonts w:asciiTheme="majorBidi" w:hAnsiTheme="majorBidi" w:cstheme="majorBidi"/>
          <w:sz w:val="24"/>
          <w:szCs w:val="24"/>
        </w:rPr>
        <w:t>" pillar. Figure (6) shows the results.</w:t>
      </w:r>
    </w:p>
    <w:p w14:paraId="08EE1C43" w14:textId="77777777" w:rsidR="00A90805" w:rsidRPr="006B752A" w:rsidRDefault="00377F32" w:rsidP="00A90805">
      <w:pPr>
        <w:bidi w:val="0"/>
        <w:jc w:val="center"/>
        <w:rPr>
          <w:rFonts w:asciiTheme="majorBidi" w:hAnsiTheme="majorBidi" w:cstheme="majorBidi"/>
          <w:sz w:val="24"/>
          <w:szCs w:val="24"/>
        </w:rPr>
      </w:pPr>
      <w:commentRangeStart w:id="7"/>
      <w:r>
        <w:rPr>
          <w:rFonts w:asciiTheme="majorBidi" w:hAnsiTheme="majorBidi" w:cstheme="majorBidi"/>
          <w:noProof/>
          <w:sz w:val="24"/>
          <w:szCs w:val="24"/>
          <w:lang w:bidi="ar-SA"/>
        </w:rPr>
        <w:lastRenderedPageBreak/>
        <w:drawing>
          <wp:inline distT="0" distB="0" distL="0" distR="0" wp14:anchorId="6A288E64" wp14:editId="30EB7F93">
            <wp:extent cx="5750724" cy="349623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04" b="1260"/>
                    <a:stretch/>
                  </pic:blipFill>
                  <pic:spPr bwMode="auto">
                    <a:xfrm>
                      <a:off x="0" y="0"/>
                      <a:ext cx="5768832" cy="3507244"/>
                    </a:xfrm>
                    <a:prstGeom prst="rect">
                      <a:avLst/>
                    </a:prstGeom>
                    <a:noFill/>
                    <a:ln>
                      <a:noFill/>
                    </a:ln>
                    <a:extLst>
                      <a:ext uri="{53640926-AAD7-44D8-BBD7-CCE9431645EC}">
                        <a14:shadowObscured xmlns:a14="http://schemas.microsoft.com/office/drawing/2010/main"/>
                      </a:ext>
                    </a:extLst>
                  </pic:spPr>
                </pic:pic>
              </a:graphicData>
            </a:graphic>
          </wp:inline>
        </w:drawing>
      </w:r>
      <w:commentRangeEnd w:id="7"/>
      <w:r w:rsidR="00027DAD">
        <w:rPr>
          <w:rStyle w:val="CommentReference"/>
        </w:rPr>
        <w:commentReference w:id="7"/>
      </w:r>
    </w:p>
    <w:p w14:paraId="31BEE519" w14:textId="77777777" w:rsidR="00A90805" w:rsidRPr="00A90805" w:rsidRDefault="00A90805" w:rsidP="00A90805">
      <w:pPr>
        <w:bidi w:val="0"/>
        <w:jc w:val="center"/>
        <w:rPr>
          <w:rFonts w:asciiTheme="majorBidi" w:hAnsiTheme="majorBidi" w:cstheme="majorBidi"/>
          <w:sz w:val="18"/>
          <w:szCs w:val="18"/>
        </w:rPr>
      </w:pPr>
      <w:r w:rsidRPr="00377F32">
        <w:rPr>
          <w:rFonts w:asciiTheme="majorBidi" w:hAnsiTheme="majorBidi" w:cstheme="majorBidi"/>
          <w:sz w:val="18"/>
          <w:szCs w:val="18"/>
          <w:highlight w:val="yellow"/>
        </w:rPr>
        <w:t>Figure (6). The result of integrating the indicators of the "city context (city, as an arena for the excellence of citizens)" pillar</w:t>
      </w:r>
    </w:p>
    <w:p w14:paraId="0367BC40" w14:textId="77777777" w:rsidR="00A90805" w:rsidRPr="006B752A" w:rsidRDefault="00DC5761" w:rsidP="00DC5761">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4.9- </w:t>
      </w:r>
      <w:r w:rsidR="00A90805" w:rsidRPr="006B752A">
        <w:rPr>
          <w:rFonts w:asciiTheme="majorBidi" w:hAnsiTheme="majorBidi" w:cstheme="majorBidi"/>
          <w:b/>
          <w:bCs/>
          <w:sz w:val="24"/>
          <w:szCs w:val="24"/>
        </w:rPr>
        <w:t xml:space="preserve">Final </w:t>
      </w:r>
      <w:r w:rsidR="00C94042" w:rsidRPr="006B752A">
        <w:rPr>
          <w:rFonts w:asciiTheme="majorBidi" w:hAnsiTheme="majorBidi" w:cstheme="majorBidi"/>
          <w:b/>
          <w:bCs/>
          <w:sz w:val="24"/>
          <w:szCs w:val="24"/>
        </w:rPr>
        <w:t xml:space="preserve">Rankings </w:t>
      </w:r>
      <w:r w:rsidR="00A90805" w:rsidRPr="006B752A">
        <w:rPr>
          <w:rFonts w:asciiTheme="majorBidi" w:hAnsiTheme="majorBidi" w:cstheme="majorBidi"/>
          <w:b/>
          <w:bCs/>
          <w:sz w:val="24"/>
          <w:szCs w:val="24"/>
        </w:rPr>
        <w:t xml:space="preserve">of </w:t>
      </w:r>
      <w:r w:rsidR="00C94042" w:rsidRPr="006B752A">
        <w:rPr>
          <w:rFonts w:asciiTheme="majorBidi" w:hAnsiTheme="majorBidi" w:cstheme="majorBidi"/>
          <w:b/>
          <w:bCs/>
          <w:sz w:val="24"/>
          <w:szCs w:val="24"/>
        </w:rPr>
        <w:t>Cities</w:t>
      </w:r>
    </w:p>
    <w:p w14:paraId="3DAD9C02" w14:textId="77777777" w:rsidR="00A90805" w:rsidRPr="006B752A" w:rsidRDefault="00A90805" w:rsidP="00CC1393">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Finally, this section presents the final rankings of metropolises considering different pillars, components, and indexes using the TOPSIS technique. According to the TOPSIS technique, first, the decision matrix was formed. In the decision matrix, the rows include alternatives (here, metropolises) and the columns include the indicators of pillars. The cells of the matrix present the data extracted from various databases such as statistical yearbooks, etc. related to each indicator. Finally, in the last step, the similarity measure and the rankings of alternatives are calculated and presented. The similarity measure shows the score of each alternative, and the closer this measure is to one, the more superior the alternative is. </w:t>
      </w:r>
      <w:r w:rsidRPr="00CC1393">
        <w:rPr>
          <w:rFonts w:asciiTheme="majorBidi" w:hAnsiTheme="majorBidi" w:cstheme="majorBidi"/>
          <w:sz w:val="24"/>
          <w:szCs w:val="24"/>
          <w:highlight w:val="yellow"/>
        </w:rPr>
        <w:t>Table (</w:t>
      </w:r>
      <w:r w:rsidR="00CC1393" w:rsidRPr="00CC1393">
        <w:rPr>
          <w:rFonts w:asciiTheme="majorBidi" w:hAnsiTheme="majorBidi" w:cstheme="majorBidi"/>
          <w:sz w:val="24"/>
          <w:szCs w:val="24"/>
          <w:highlight w:val="yellow"/>
        </w:rPr>
        <w:t>5</w:t>
      </w:r>
      <w:r w:rsidRPr="00CC1393">
        <w:rPr>
          <w:rFonts w:asciiTheme="majorBidi" w:hAnsiTheme="majorBidi" w:cstheme="majorBidi"/>
          <w:sz w:val="24"/>
          <w:szCs w:val="24"/>
          <w:highlight w:val="yellow"/>
        </w:rPr>
        <w:t>)</w:t>
      </w:r>
      <w:r w:rsidRPr="006B752A">
        <w:rPr>
          <w:rFonts w:asciiTheme="majorBidi" w:hAnsiTheme="majorBidi" w:cstheme="majorBidi"/>
          <w:sz w:val="24"/>
          <w:szCs w:val="24"/>
        </w:rPr>
        <w:t xml:space="preserve"> shows the similarity measure and rankings of the alternatives (i.e. metropolises).</w:t>
      </w:r>
    </w:p>
    <w:p w14:paraId="4846D620" w14:textId="77777777" w:rsidR="00A90805" w:rsidRPr="00A90805" w:rsidRDefault="00A90805" w:rsidP="00A90805">
      <w:pPr>
        <w:bidi w:val="0"/>
        <w:jc w:val="center"/>
        <w:rPr>
          <w:rFonts w:asciiTheme="majorBidi" w:hAnsiTheme="majorBidi" w:cstheme="majorBidi"/>
          <w:sz w:val="18"/>
          <w:szCs w:val="18"/>
        </w:rPr>
      </w:pPr>
      <w:r w:rsidRPr="004A7F3E">
        <w:rPr>
          <w:rFonts w:asciiTheme="majorBidi" w:hAnsiTheme="majorBidi" w:cstheme="majorBidi"/>
          <w:sz w:val="18"/>
          <w:szCs w:val="18"/>
          <w:highlight w:val="yellow"/>
        </w:rPr>
        <w:t>Table (5). Similarity measure and rankings of alternatives</w:t>
      </w:r>
    </w:p>
    <w:tbl>
      <w:tblPr>
        <w:tblStyle w:val="TableGrid"/>
        <w:tblW w:w="0" w:type="auto"/>
        <w:jc w:val="center"/>
        <w:tblLook w:val="04A0" w:firstRow="1" w:lastRow="0" w:firstColumn="1" w:lastColumn="0" w:noHBand="0" w:noVBand="1"/>
      </w:tblPr>
      <w:tblGrid>
        <w:gridCol w:w="1696"/>
        <w:gridCol w:w="2169"/>
      </w:tblGrid>
      <w:tr w:rsidR="001F6B66" w:rsidRPr="001F6B66" w14:paraId="015FB703" w14:textId="77777777" w:rsidTr="001F6B66">
        <w:trPr>
          <w:jc w:val="center"/>
        </w:trPr>
        <w:tc>
          <w:tcPr>
            <w:tcW w:w="1696" w:type="dxa"/>
            <w:vAlign w:val="center"/>
          </w:tcPr>
          <w:p w14:paraId="6091603E" w14:textId="77777777" w:rsidR="001F6B66" w:rsidRPr="001F6B66" w:rsidRDefault="001F6B66" w:rsidP="001F6B66">
            <w:pPr>
              <w:bidi w:val="0"/>
              <w:jc w:val="center"/>
              <w:rPr>
                <w:rFonts w:asciiTheme="majorBidi" w:hAnsiTheme="majorBidi" w:cstheme="majorBidi"/>
                <w:b/>
                <w:bCs/>
              </w:rPr>
            </w:pPr>
            <w:r w:rsidRPr="001F6B66">
              <w:rPr>
                <w:rFonts w:asciiTheme="majorBidi" w:hAnsiTheme="majorBidi" w:cstheme="majorBidi"/>
                <w:b/>
                <w:bCs/>
              </w:rPr>
              <w:t>Cities</w:t>
            </w:r>
          </w:p>
        </w:tc>
        <w:tc>
          <w:tcPr>
            <w:tcW w:w="2169" w:type="dxa"/>
            <w:vAlign w:val="center"/>
          </w:tcPr>
          <w:p w14:paraId="44260377" w14:textId="77777777" w:rsidR="001F6B66" w:rsidRPr="001F6B66" w:rsidRDefault="001F6B66" w:rsidP="001F6B66">
            <w:pPr>
              <w:bidi w:val="0"/>
              <w:jc w:val="center"/>
              <w:rPr>
                <w:rFonts w:asciiTheme="majorBidi" w:hAnsiTheme="majorBidi" w:cstheme="majorBidi"/>
                <w:b/>
                <w:bCs/>
              </w:rPr>
            </w:pPr>
            <w:r w:rsidRPr="001F6B66">
              <w:rPr>
                <w:rFonts w:asciiTheme="majorBidi" w:hAnsiTheme="majorBidi" w:cstheme="majorBidi"/>
                <w:b/>
                <w:bCs/>
              </w:rPr>
              <w:t>Similarity Measure</w:t>
            </w:r>
          </w:p>
        </w:tc>
      </w:tr>
      <w:tr w:rsidR="00A90805" w:rsidRPr="001F6B66" w14:paraId="31B53CA9" w14:textId="77777777" w:rsidTr="001F6B66">
        <w:trPr>
          <w:jc w:val="center"/>
        </w:trPr>
        <w:tc>
          <w:tcPr>
            <w:tcW w:w="1696" w:type="dxa"/>
            <w:vAlign w:val="center"/>
          </w:tcPr>
          <w:p w14:paraId="4FFCAC34"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Isfahan</w:t>
            </w:r>
          </w:p>
        </w:tc>
        <w:tc>
          <w:tcPr>
            <w:tcW w:w="2169" w:type="dxa"/>
            <w:vAlign w:val="center"/>
          </w:tcPr>
          <w:p w14:paraId="2B6736FC"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0.311</w:t>
            </w:r>
          </w:p>
        </w:tc>
      </w:tr>
      <w:tr w:rsidR="00A90805" w:rsidRPr="001F6B66" w14:paraId="33C70FFB" w14:textId="77777777" w:rsidTr="001F6B66">
        <w:trPr>
          <w:jc w:val="center"/>
        </w:trPr>
        <w:tc>
          <w:tcPr>
            <w:tcW w:w="1696" w:type="dxa"/>
            <w:vAlign w:val="center"/>
          </w:tcPr>
          <w:p w14:paraId="10E4F471"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Ahvaz</w:t>
            </w:r>
          </w:p>
        </w:tc>
        <w:tc>
          <w:tcPr>
            <w:tcW w:w="2169" w:type="dxa"/>
            <w:vAlign w:val="center"/>
          </w:tcPr>
          <w:p w14:paraId="3A824CBF"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0.282</w:t>
            </w:r>
          </w:p>
        </w:tc>
      </w:tr>
      <w:tr w:rsidR="00A90805" w:rsidRPr="001F6B66" w14:paraId="3196079E" w14:textId="77777777" w:rsidTr="001F6B66">
        <w:trPr>
          <w:jc w:val="center"/>
        </w:trPr>
        <w:tc>
          <w:tcPr>
            <w:tcW w:w="1696" w:type="dxa"/>
            <w:vAlign w:val="center"/>
          </w:tcPr>
          <w:p w14:paraId="76BCECCB"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Tabriz</w:t>
            </w:r>
          </w:p>
        </w:tc>
        <w:tc>
          <w:tcPr>
            <w:tcW w:w="2169" w:type="dxa"/>
            <w:vAlign w:val="center"/>
          </w:tcPr>
          <w:p w14:paraId="48D51511"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0.344</w:t>
            </w:r>
          </w:p>
        </w:tc>
      </w:tr>
      <w:tr w:rsidR="00A90805" w:rsidRPr="001F6B66" w14:paraId="1645004E" w14:textId="77777777" w:rsidTr="001F6B66">
        <w:trPr>
          <w:jc w:val="center"/>
        </w:trPr>
        <w:tc>
          <w:tcPr>
            <w:tcW w:w="1696" w:type="dxa"/>
            <w:vAlign w:val="center"/>
          </w:tcPr>
          <w:p w14:paraId="63AEF517"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Tehran</w:t>
            </w:r>
          </w:p>
        </w:tc>
        <w:tc>
          <w:tcPr>
            <w:tcW w:w="2169" w:type="dxa"/>
            <w:vAlign w:val="center"/>
          </w:tcPr>
          <w:p w14:paraId="49FD5224"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0.344</w:t>
            </w:r>
          </w:p>
        </w:tc>
      </w:tr>
      <w:tr w:rsidR="00A90805" w:rsidRPr="001F6B66" w14:paraId="16E6F906" w14:textId="77777777" w:rsidTr="001F6B66">
        <w:trPr>
          <w:jc w:val="center"/>
        </w:trPr>
        <w:tc>
          <w:tcPr>
            <w:tcW w:w="1696" w:type="dxa"/>
            <w:vAlign w:val="center"/>
          </w:tcPr>
          <w:p w14:paraId="70295FEA"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Shiraz</w:t>
            </w:r>
          </w:p>
        </w:tc>
        <w:tc>
          <w:tcPr>
            <w:tcW w:w="2169" w:type="dxa"/>
            <w:vAlign w:val="center"/>
          </w:tcPr>
          <w:p w14:paraId="7E517AF5"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0.308</w:t>
            </w:r>
          </w:p>
        </w:tc>
      </w:tr>
      <w:tr w:rsidR="00A90805" w:rsidRPr="001F6B66" w14:paraId="00738FBC" w14:textId="77777777" w:rsidTr="001F6B66">
        <w:trPr>
          <w:jc w:val="center"/>
        </w:trPr>
        <w:tc>
          <w:tcPr>
            <w:tcW w:w="1696" w:type="dxa"/>
            <w:vAlign w:val="center"/>
          </w:tcPr>
          <w:p w14:paraId="35EC23F0"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Qom</w:t>
            </w:r>
          </w:p>
        </w:tc>
        <w:tc>
          <w:tcPr>
            <w:tcW w:w="2169" w:type="dxa"/>
            <w:vAlign w:val="center"/>
          </w:tcPr>
          <w:p w14:paraId="3F2B6FFA"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0.359</w:t>
            </w:r>
          </w:p>
        </w:tc>
      </w:tr>
      <w:tr w:rsidR="00A90805" w:rsidRPr="001F6B66" w14:paraId="134B2B95" w14:textId="77777777" w:rsidTr="001F6B66">
        <w:trPr>
          <w:jc w:val="center"/>
        </w:trPr>
        <w:tc>
          <w:tcPr>
            <w:tcW w:w="1696" w:type="dxa"/>
            <w:vAlign w:val="center"/>
          </w:tcPr>
          <w:p w14:paraId="6C5DBE77"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Karaj</w:t>
            </w:r>
          </w:p>
        </w:tc>
        <w:tc>
          <w:tcPr>
            <w:tcW w:w="2169" w:type="dxa"/>
            <w:vAlign w:val="center"/>
          </w:tcPr>
          <w:p w14:paraId="6360CAA6"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0.199</w:t>
            </w:r>
          </w:p>
        </w:tc>
      </w:tr>
      <w:tr w:rsidR="00A90805" w:rsidRPr="001F6B66" w14:paraId="7A893A17" w14:textId="77777777" w:rsidTr="001F6B66">
        <w:trPr>
          <w:jc w:val="center"/>
        </w:trPr>
        <w:tc>
          <w:tcPr>
            <w:tcW w:w="1696" w:type="dxa"/>
            <w:vAlign w:val="center"/>
          </w:tcPr>
          <w:p w14:paraId="45D3AE79"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Kermanshah</w:t>
            </w:r>
          </w:p>
        </w:tc>
        <w:tc>
          <w:tcPr>
            <w:tcW w:w="2169" w:type="dxa"/>
            <w:vAlign w:val="center"/>
          </w:tcPr>
          <w:p w14:paraId="64D92C66"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0.237</w:t>
            </w:r>
          </w:p>
        </w:tc>
      </w:tr>
      <w:tr w:rsidR="00A90805" w:rsidRPr="001F6B66" w14:paraId="3AF557A0" w14:textId="77777777" w:rsidTr="001F6B66">
        <w:trPr>
          <w:jc w:val="center"/>
        </w:trPr>
        <w:tc>
          <w:tcPr>
            <w:tcW w:w="1696" w:type="dxa"/>
            <w:vAlign w:val="center"/>
          </w:tcPr>
          <w:p w14:paraId="7D8679EA"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Mashhad</w:t>
            </w:r>
          </w:p>
        </w:tc>
        <w:tc>
          <w:tcPr>
            <w:tcW w:w="2169" w:type="dxa"/>
            <w:vAlign w:val="center"/>
          </w:tcPr>
          <w:p w14:paraId="2B000610"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0.377</w:t>
            </w:r>
          </w:p>
        </w:tc>
      </w:tr>
      <w:tr w:rsidR="00A90805" w:rsidRPr="001F6B66" w14:paraId="25A3BC53" w14:textId="77777777" w:rsidTr="001F6B66">
        <w:trPr>
          <w:jc w:val="center"/>
        </w:trPr>
        <w:tc>
          <w:tcPr>
            <w:tcW w:w="1696" w:type="dxa"/>
            <w:vAlign w:val="center"/>
          </w:tcPr>
          <w:p w14:paraId="712F575C"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Yazd</w:t>
            </w:r>
          </w:p>
        </w:tc>
        <w:tc>
          <w:tcPr>
            <w:tcW w:w="2169" w:type="dxa"/>
            <w:vAlign w:val="center"/>
          </w:tcPr>
          <w:p w14:paraId="40375424"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0.449</w:t>
            </w:r>
          </w:p>
        </w:tc>
      </w:tr>
      <w:tr w:rsidR="00A90805" w:rsidRPr="001F6B66" w14:paraId="0C1D105A" w14:textId="77777777" w:rsidTr="001F6B66">
        <w:trPr>
          <w:jc w:val="center"/>
        </w:trPr>
        <w:tc>
          <w:tcPr>
            <w:tcW w:w="1696" w:type="dxa"/>
            <w:vAlign w:val="center"/>
          </w:tcPr>
          <w:p w14:paraId="157C8E6D"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Rasht</w:t>
            </w:r>
          </w:p>
        </w:tc>
        <w:tc>
          <w:tcPr>
            <w:tcW w:w="2169" w:type="dxa"/>
            <w:vAlign w:val="center"/>
          </w:tcPr>
          <w:p w14:paraId="6670B001" w14:textId="77777777" w:rsidR="00A90805" w:rsidRPr="001F6B66" w:rsidRDefault="00A90805" w:rsidP="001F6B66">
            <w:pPr>
              <w:bidi w:val="0"/>
              <w:jc w:val="center"/>
              <w:rPr>
                <w:rFonts w:asciiTheme="majorBidi" w:hAnsiTheme="majorBidi" w:cstheme="majorBidi"/>
              </w:rPr>
            </w:pPr>
            <w:r w:rsidRPr="001F6B66">
              <w:rPr>
                <w:rFonts w:asciiTheme="majorBidi" w:hAnsiTheme="majorBidi" w:cstheme="majorBidi"/>
              </w:rPr>
              <w:t>0.375</w:t>
            </w:r>
          </w:p>
        </w:tc>
      </w:tr>
    </w:tbl>
    <w:p w14:paraId="5208F515" w14:textId="77777777" w:rsidR="00A90805" w:rsidRPr="006B752A" w:rsidRDefault="00A90805" w:rsidP="00A90805">
      <w:pPr>
        <w:bidi w:val="0"/>
        <w:jc w:val="lowKashida"/>
        <w:rPr>
          <w:rFonts w:asciiTheme="majorBidi" w:hAnsiTheme="majorBidi" w:cstheme="majorBidi"/>
          <w:sz w:val="24"/>
          <w:szCs w:val="24"/>
        </w:rPr>
      </w:pPr>
    </w:p>
    <w:p w14:paraId="3CAEFCCC" w14:textId="77777777" w:rsidR="00A90805" w:rsidRDefault="00A90805" w:rsidP="00A90805">
      <w:pPr>
        <w:bidi w:val="0"/>
        <w:jc w:val="lowKashida"/>
        <w:rPr>
          <w:rFonts w:asciiTheme="majorBidi" w:hAnsiTheme="majorBidi" w:cstheme="majorBidi"/>
          <w:sz w:val="24"/>
          <w:szCs w:val="24"/>
        </w:rPr>
      </w:pPr>
      <w:r>
        <w:rPr>
          <w:rFonts w:asciiTheme="majorBidi" w:hAnsiTheme="majorBidi" w:cstheme="majorBidi"/>
          <w:sz w:val="24"/>
          <w:szCs w:val="24"/>
        </w:rPr>
        <w:lastRenderedPageBreak/>
        <w:t>As Table (5</w:t>
      </w:r>
      <w:r w:rsidRPr="006B752A">
        <w:rPr>
          <w:rFonts w:asciiTheme="majorBidi" w:hAnsiTheme="majorBidi" w:cstheme="majorBidi"/>
          <w:sz w:val="24"/>
          <w:szCs w:val="24"/>
        </w:rPr>
        <w:t>) shows, based on the criteria and the indicators determined for each criterion and index, and the results of combining the criteria with the same weight, Yazd metropolis rank</w:t>
      </w:r>
      <w:r>
        <w:rPr>
          <w:rFonts w:asciiTheme="majorBidi" w:hAnsiTheme="majorBidi" w:cstheme="majorBidi"/>
          <w:sz w:val="24"/>
          <w:szCs w:val="24"/>
        </w:rPr>
        <w:t>ed</w:t>
      </w:r>
      <w:r w:rsidRPr="006B752A">
        <w:rPr>
          <w:rFonts w:asciiTheme="majorBidi" w:hAnsiTheme="majorBidi" w:cstheme="majorBidi"/>
          <w:sz w:val="24"/>
          <w:szCs w:val="24"/>
        </w:rPr>
        <w:t xml:space="preserve"> first, followed by Mashhad, and Rasht metropolises, respectively. Figure (7) shows the results of combining the criteria and the rankings of metropolises.</w:t>
      </w:r>
    </w:p>
    <w:p w14:paraId="2024F39B" w14:textId="77777777" w:rsidR="00A90805" w:rsidRPr="006B752A" w:rsidRDefault="00DE3993" w:rsidP="00A90805">
      <w:pPr>
        <w:bidi w:val="0"/>
        <w:jc w:val="center"/>
        <w:rPr>
          <w:rFonts w:asciiTheme="majorBidi" w:hAnsiTheme="majorBidi" w:cstheme="majorBidi"/>
          <w:sz w:val="24"/>
          <w:szCs w:val="24"/>
        </w:rPr>
      </w:pPr>
      <w:commentRangeStart w:id="8"/>
      <w:r>
        <w:rPr>
          <w:rFonts w:asciiTheme="majorBidi" w:hAnsiTheme="majorBidi" w:cstheme="majorBidi"/>
          <w:noProof/>
          <w:sz w:val="24"/>
          <w:szCs w:val="24"/>
          <w:lang w:bidi="ar-SA"/>
        </w:rPr>
        <w:drawing>
          <wp:inline distT="0" distB="0" distL="0" distR="0" wp14:anchorId="5589FDCC" wp14:editId="29DA5B52">
            <wp:extent cx="5702540" cy="346663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011" b="1014"/>
                    <a:stretch/>
                  </pic:blipFill>
                  <pic:spPr bwMode="auto">
                    <a:xfrm>
                      <a:off x="0" y="0"/>
                      <a:ext cx="5737632" cy="3487965"/>
                    </a:xfrm>
                    <a:prstGeom prst="rect">
                      <a:avLst/>
                    </a:prstGeom>
                    <a:noFill/>
                    <a:ln>
                      <a:noFill/>
                    </a:ln>
                    <a:extLst>
                      <a:ext uri="{53640926-AAD7-44D8-BBD7-CCE9431645EC}">
                        <a14:shadowObscured xmlns:a14="http://schemas.microsoft.com/office/drawing/2010/main"/>
                      </a:ext>
                    </a:extLst>
                  </pic:spPr>
                </pic:pic>
              </a:graphicData>
            </a:graphic>
          </wp:inline>
        </w:drawing>
      </w:r>
      <w:commentRangeEnd w:id="8"/>
      <w:r w:rsidR="00027DAD">
        <w:rPr>
          <w:rStyle w:val="CommentReference"/>
        </w:rPr>
        <w:commentReference w:id="8"/>
      </w:r>
    </w:p>
    <w:p w14:paraId="44A23E73" w14:textId="77777777" w:rsidR="00A90805" w:rsidRDefault="00A90805" w:rsidP="00A90805">
      <w:pPr>
        <w:bidi w:val="0"/>
        <w:jc w:val="center"/>
        <w:rPr>
          <w:rFonts w:asciiTheme="majorBidi" w:hAnsiTheme="majorBidi" w:cstheme="majorBidi"/>
          <w:sz w:val="18"/>
          <w:szCs w:val="18"/>
        </w:rPr>
      </w:pPr>
      <w:r w:rsidRPr="00377F32">
        <w:rPr>
          <w:rFonts w:asciiTheme="majorBidi" w:hAnsiTheme="majorBidi" w:cstheme="majorBidi"/>
          <w:sz w:val="18"/>
          <w:szCs w:val="18"/>
          <w:highlight w:val="yellow"/>
        </w:rPr>
        <w:t>Figure (7). The results of integrating the criteria and the final rankings of metropolises</w:t>
      </w:r>
    </w:p>
    <w:p w14:paraId="1F42A403" w14:textId="77777777" w:rsidR="00027DAD" w:rsidRPr="00A90805" w:rsidRDefault="00027DAD" w:rsidP="00027DAD">
      <w:pPr>
        <w:bidi w:val="0"/>
        <w:jc w:val="center"/>
        <w:rPr>
          <w:rFonts w:asciiTheme="majorBidi" w:hAnsiTheme="majorBidi" w:cstheme="majorBidi"/>
          <w:sz w:val="18"/>
          <w:szCs w:val="18"/>
        </w:rPr>
      </w:pPr>
    </w:p>
    <w:p w14:paraId="5A9ABF96" w14:textId="77777777" w:rsidR="00C10719" w:rsidRPr="00C10719" w:rsidRDefault="00DC5761" w:rsidP="00C10719">
      <w:pPr>
        <w:bidi w:val="0"/>
        <w:jc w:val="lowKashida"/>
        <w:rPr>
          <w:rFonts w:asciiTheme="majorBidi" w:hAnsiTheme="majorBidi" w:cstheme="majorBidi"/>
          <w:b/>
          <w:bCs/>
          <w:sz w:val="24"/>
          <w:szCs w:val="24"/>
        </w:rPr>
      </w:pPr>
      <w:r>
        <w:rPr>
          <w:rFonts w:asciiTheme="majorBidi" w:hAnsiTheme="majorBidi" w:cstheme="majorBidi"/>
          <w:b/>
          <w:bCs/>
          <w:sz w:val="24"/>
          <w:szCs w:val="24"/>
        </w:rPr>
        <w:t xml:space="preserve">5. </w:t>
      </w:r>
      <w:r w:rsidR="00A90805" w:rsidRPr="006B752A">
        <w:rPr>
          <w:rFonts w:asciiTheme="majorBidi" w:hAnsiTheme="majorBidi" w:cstheme="majorBidi"/>
          <w:b/>
          <w:bCs/>
          <w:sz w:val="24"/>
          <w:szCs w:val="24"/>
        </w:rPr>
        <w:t xml:space="preserve">Discussion and </w:t>
      </w:r>
      <w:r w:rsidR="00C94042" w:rsidRPr="006B752A">
        <w:rPr>
          <w:rFonts w:asciiTheme="majorBidi" w:hAnsiTheme="majorBidi" w:cstheme="majorBidi"/>
          <w:b/>
          <w:bCs/>
          <w:sz w:val="24"/>
          <w:szCs w:val="24"/>
        </w:rPr>
        <w:t>Conclusion</w:t>
      </w:r>
    </w:p>
    <w:p w14:paraId="7DB4B5AE" w14:textId="77777777" w:rsidR="00A90805" w:rsidRPr="001F6B66" w:rsidRDefault="00A90805" w:rsidP="00C10719">
      <w:pPr>
        <w:bidi w:val="0"/>
        <w:jc w:val="lowKashida"/>
        <w:rPr>
          <w:rFonts w:asciiTheme="majorBidi" w:hAnsiTheme="majorBidi" w:cstheme="majorBidi"/>
          <w:sz w:val="24"/>
          <w:szCs w:val="24"/>
        </w:rPr>
      </w:pPr>
      <w:r w:rsidRPr="001F6B66">
        <w:rPr>
          <w:rFonts w:asciiTheme="majorBidi" w:hAnsiTheme="majorBidi" w:cstheme="majorBidi"/>
          <w:sz w:val="24"/>
          <w:szCs w:val="24"/>
        </w:rPr>
        <w:t xml:space="preserve">According to the research findings, metropolises are regarded as the centers of progress on the national and international scales, and their permanent monitoring allows planning for their development and the elimination of their shortcomings in various fields. On the other hand, they must be evaluated and compared according to indigenous indicators and the value and cultural systems of the community where they are. The aforementioned necessities reveal the need for research in this field and to customize city ranking indicators according to the Islamic-Iranian worldview that combines both material and immaterial (spiritual) needs. Accordingly, considering the Islamic-Iranian perspective that can provide the ground for the realization of the Islamic-Iranian model of progress, the present research attempted to provide a theoretical model and an operational framework for city ranking on a national scale and ranked eleven Iranian metropolises in terms of the indexes extracted. For this purpose, first, the existing definitions of the concept, elements, and pillars were reviewed, and the components and systems of the city from an Islamic perspective, the intellectual paradigm forming the concept of an Islamic city, and the general characteristics and main values governing an ideal city from an Islamic perspective were described, and finally, the dimensions, components, and macro criteria were analyzed through content analysis, a conceptual model and a theoretical and operational framework for Islamic city ranking were developed, and 11 sample Iranian </w:t>
      </w:r>
      <w:r w:rsidRPr="001F6B66">
        <w:rPr>
          <w:rFonts w:asciiTheme="majorBidi" w:hAnsiTheme="majorBidi" w:cstheme="majorBidi"/>
          <w:sz w:val="24"/>
          <w:szCs w:val="24"/>
        </w:rPr>
        <w:lastRenderedPageBreak/>
        <w:t xml:space="preserve">metropolises were ranked using the TOPSIS technique. The results indicated that Yazd metropolis ranked first (with a score of 0.449), followed by Mashhad (with a score of 0.376) and Rasht (with a score of 0.375) metropolises, respectively. Among the reasons for this, one can mention the highest frequencies of endowments, </w:t>
      </w:r>
      <w:r w:rsidRPr="001F6B66">
        <w:rPr>
          <w:rFonts w:asciiTheme="majorBidi" w:hAnsiTheme="majorBidi" w:cstheme="majorBidi"/>
          <w:sz w:val="24"/>
          <w:szCs w:val="24"/>
          <w:shd w:val="clear" w:color="auto" w:fill="FFFFFF"/>
        </w:rPr>
        <w:t>confraternity</w:t>
      </w:r>
      <w:r w:rsidRPr="001F6B66">
        <w:rPr>
          <w:rFonts w:asciiTheme="majorBidi" w:hAnsiTheme="majorBidi" w:cstheme="majorBidi"/>
          <w:sz w:val="24"/>
          <w:szCs w:val="24"/>
        </w:rPr>
        <w:t xml:space="preserve"> (relative to Yazd's population), active charities, and </w:t>
      </w:r>
      <w:proofErr w:type="spellStart"/>
      <w:r w:rsidRPr="001F6B66">
        <w:rPr>
          <w:rFonts w:asciiTheme="majorBidi" w:hAnsiTheme="majorBidi" w:cstheme="majorBidi"/>
          <w:sz w:val="24"/>
          <w:szCs w:val="24"/>
        </w:rPr>
        <w:t>Pahlevani</w:t>
      </w:r>
      <w:proofErr w:type="spellEnd"/>
      <w:r w:rsidRPr="001F6B66">
        <w:rPr>
          <w:rFonts w:asciiTheme="majorBidi" w:hAnsiTheme="majorBidi" w:cstheme="majorBidi"/>
          <w:sz w:val="24"/>
          <w:szCs w:val="24"/>
        </w:rPr>
        <w:t xml:space="preserve"> and </w:t>
      </w:r>
      <w:r w:rsidR="00740D16" w:rsidRPr="001F6B66">
        <w:rPr>
          <w:rFonts w:asciiTheme="majorBidi" w:hAnsiTheme="majorBidi" w:cstheme="majorBidi"/>
          <w:sz w:val="24"/>
          <w:szCs w:val="24"/>
        </w:rPr>
        <w:t xml:space="preserve">Zurkhaneh </w:t>
      </w:r>
      <w:r w:rsidRPr="001F6B66">
        <w:rPr>
          <w:rFonts w:asciiTheme="majorBidi" w:hAnsiTheme="majorBidi" w:cstheme="majorBidi"/>
          <w:sz w:val="24"/>
          <w:szCs w:val="24"/>
        </w:rPr>
        <w:t xml:space="preserve">athletes in Yazd City. Also, regarding Mashhad City, one can refer to three important indicators: the number of seminary students, the capacity of guesthouses and hotels, and </w:t>
      </w:r>
      <w:r w:rsidRPr="006E612E">
        <w:rPr>
          <w:rFonts w:asciiTheme="majorBidi" w:hAnsiTheme="majorBidi" w:cstheme="majorBidi"/>
          <w:sz w:val="24"/>
          <w:szCs w:val="24"/>
        </w:rPr>
        <w:t xml:space="preserve">public endowments per capita. Regarding Rasht City, one can refer to the following indicators: the number of martyrs and disabled combatants of the Iran-Iraq war per 100,000 people and the number of </w:t>
      </w:r>
      <w:proofErr w:type="spellStart"/>
      <w:r w:rsidRPr="006E612E">
        <w:rPr>
          <w:rFonts w:asciiTheme="majorBidi" w:hAnsiTheme="majorBidi" w:cstheme="majorBidi"/>
          <w:sz w:val="24"/>
          <w:szCs w:val="24"/>
        </w:rPr>
        <w:t>Pahlevani</w:t>
      </w:r>
      <w:proofErr w:type="spellEnd"/>
      <w:r w:rsidRPr="006E612E">
        <w:rPr>
          <w:rFonts w:asciiTheme="majorBidi" w:hAnsiTheme="majorBidi" w:cstheme="majorBidi"/>
          <w:sz w:val="24"/>
          <w:szCs w:val="24"/>
        </w:rPr>
        <w:t xml:space="preserve"> and </w:t>
      </w:r>
      <w:r w:rsidR="00740D16" w:rsidRPr="006E612E">
        <w:rPr>
          <w:rFonts w:asciiTheme="majorBidi" w:hAnsiTheme="majorBidi" w:cstheme="majorBidi"/>
          <w:sz w:val="24"/>
          <w:szCs w:val="24"/>
        </w:rPr>
        <w:t xml:space="preserve">Zurkhaneh </w:t>
      </w:r>
      <w:r w:rsidRPr="006E612E">
        <w:rPr>
          <w:rFonts w:asciiTheme="majorBidi" w:hAnsiTheme="majorBidi" w:cstheme="majorBidi"/>
          <w:sz w:val="24"/>
          <w:szCs w:val="24"/>
        </w:rPr>
        <w:t>athletes. There is an important note here: the "internet usage" indicator has not been evaluated by cities so far despite its great importance. That is why it has been considered the same in all cities. A change in this important indicator may cause a change in the ranking results.</w:t>
      </w:r>
    </w:p>
    <w:p w14:paraId="6B702604" w14:textId="77777777" w:rsidR="00A90805" w:rsidRDefault="00A90805" w:rsidP="00C10719">
      <w:pPr>
        <w:bidi w:val="0"/>
        <w:jc w:val="lowKashida"/>
        <w:rPr>
          <w:rFonts w:asciiTheme="majorBidi" w:hAnsiTheme="majorBidi" w:cstheme="majorBidi"/>
          <w:sz w:val="24"/>
          <w:szCs w:val="24"/>
        </w:rPr>
      </w:pPr>
      <w:r w:rsidRPr="006B752A">
        <w:rPr>
          <w:rFonts w:asciiTheme="majorBidi" w:hAnsiTheme="majorBidi" w:cstheme="majorBidi"/>
          <w:sz w:val="24"/>
          <w:szCs w:val="24"/>
        </w:rPr>
        <w:t xml:space="preserve">The indicators extracted to rank Iranian metropolises can be generalized at regional and local levels. This was considered a research criterion during the extraction and evaluation of indicators, and it was tried to select indicators capable of being measured at the local level. It should be noted that the stated indicators have a </w:t>
      </w:r>
      <w:proofErr w:type="spellStart"/>
      <w:r w:rsidRPr="006B752A">
        <w:rPr>
          <w:rFonts w:asciiTheme="majorBidi" w:hAnsiTheme="majorBidi" w:cstheme="majorBidi"/>
          <w:sz w:val="24"/>
          <w:szCs w:val="24"/>
        </w:rPr>
        <w:t>promotive</w:t>
      </w:r>
      <w:proofErr w:type="spellEnd"/>
      <w:r w:rsidRPr="006B752A">
        <w:rPr>
          <w:rFonts w:asciiTheme="majorBidi" w:hAnsiTheme="majorBidi" w:cstheme="majorBidi"/>
          <w:sz w:val="24"/>
          <w:szCs w:val="24"/>
        </w:rPr>
        <w:t xml:space="preserve"> aspect and do not seek to judge the cities to find the superior one. They provide the necessary ground for removing neighborhood shortcomings and enhancing neighborhood progress based on Islamic principles. However, it should be noted that the mentioned indicators were extracted only to customize city ranking indicators and they are only for Iran. For other countries, it is required to identify similar indicators. Therefore, to implement the city ranking at the international level, it is required to revise the indicators and bring the proposed concepts closer to the international indicators. Finally, Figure (8) presents some suggestions in the form of a promotion document for the improvement and promotion of the eleven Iranian metropolises studied in this research.</w:t>
      </w:r>
    </w:p>
    <w:p w14:paraId="486F53CD" w14:textId="77777777" w:rsidR="00A90805" w:rsidRPr="006B752A" w:rsidRDefault="00D02847" w:rsidP="00A90805">
      <w:pPr>
        <w:bidi w:val="0"/>
        <w:jc w:val="lowKashida"/>
        <w:rPr>
          <w:rFonts w:asciiTheme="majorBidi" w:hAnsiTheme="majorBidi" w:cstheme="majorBidi"/>
          <w:sz w:val="24"/>
          <w:szCs w:val="24"/>
        </w:rPr>
      </w:pPr>
      <w:commentRangeStart w:id="9"/>
      <w:r>
        <w:rPr>
          <w:rFonts w:asciiTheme="majorBidi" w:hAnsiTheme="majorBidi" w:cstheme="majorBidi"/>
          <w:noProof/>
          <w:sz w:val="24"/>
          <w:szCs w:val="24"/>
          <w:lang w:bidi="ar-SA"/>
        </w:rPr>
        <w:drawing>
          <wp:inline distT="0" distB="0" distL="0" distR="0" wp14:anchorId="38EE14F5" wp14:editId="20A6CF60">
            <wp:extent cx="5753941" cy="326795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8433" cy="3276182"/>
                    </a:xfrm>
                    <a:prstGeom prst="rect">
                      <a:avLst/>
                    </a:prstGeom>
                    <a:noFill/>
                  </pic:spPr>
                </pic:pic>
              </a:graphicData>
            </a:graphic>
          </wp:inline>
        </w:drawing>
      </w:r>
      <w:commentRangeEnd w:id="9"/>
      <w:r w:rsidR="00C10719">
        <w:rPr>
          <w:rStyle w:val="CommentReference"/>
          <w:rtl/>
        </w:rPr>
        <w:commentReference w:id="9"/>
      </w:r>
    </w:p>
    <w:p w14:paraId="6C4E1A7E" w14:textId="49DCC4F2" w:rsidR="00C10719" w:rsidRPr="00A50AC2" w:rsidRDefault="00A90805" w:rsidP="00A50AC2">
      <w:pPr>
        <w:bidi w:val="0"/>
        <w:jc w:val="center"/>
        <w:rPr>
          <w:rFonts w:asciiTheme="majorBidi" w:hAnsiTheme="majorBidi" w:cstheme="majorBidi"/>
          <w:sz w:val="18"/>
          <w:szCs w:val="18"/>
          <w:rtl/>
        </w:rPr>
      </w:pPr>
      <w:r w:rsidRPr="00D02847">
        <w:rPr>
          <w:rFonts w:asciiTheme="majorBidi" w:hAnsiTheme="majorBidi" w:cstheme="majorBidi"/>
          <w:sz w:val="18"/>
          <w:szCs w:val="18"/>
          <w:highlight w:val="yellow"/>
        </w:rPr>
        <w:t>Figure (8). A promotion document for enhancing the rankings of the eleven Iranian metropolises studied in this research.</w:t>
      </w:r>
    </w:p>
    <w:p w14:paraId="0B5B5015" w14:textId="0F8285C4" w:rsidR="00C10719" w:rsidRDefault="00C10719" w:rsidP="00C10719">
      <w:pPr>
        <w:bidi w:val="0"/>
        <w:spacing w:before="100" w:beforeAutospacing="1" w:after="100" w:afterAutospacing="1" w:line="240" w:lineRule="auto"/>
        <w:jc w:val="both"/>
        <w:rPr>
          <w:rFonts w:ascii="Times New Roman" w:eastAsia="Times New Roman" w:hAnsi="Times New Roman" w:cs="B Mitra"/>
          <w:b/>
          <w:bCs/>
          <w:sz w:val="24"/>
          <w:szCs w:val="24"/>
          <w:highlight w:val="yellow"/>
        </w:rPr>
      </w:pPr>
      <w:r w:rsidRPr="00C10719">
        <w:rPr>
          <w:rFonts w:ascii="Times New Roman" w:eastAsia="Times New Roman" w:hAnsi="Times New Roman" w:cs="B Mitra"/>
          <w:b/>
          <w:bCs/>
          <w:sz w:val="24"/>
          <w:szCs w:val="24"/>
          <w:highlight w:val="yellow"/>
        </w:rPr>
        <w:lastRenderedPageBreak/>
        <w:t>Research Limitations:</w:t>
      </w:r>
    </w:p>
    <w:p w14:paraId="5EB81D56" w14:textId="77777777" w:rsidR="00886A83" w:rsidRPr="00886A83" w:rsidRDefault="00886A83" w:rsidP="00886A83">
      <w:pPr>
        <w:bidi w:val="0"/>
        <w:spacing w:before="100" w:beforeAutospacing="1" w:after="100" w:afterAutospacing="1" w:line="240" w:lineRule="auto"/>
        <w:jc w:val="both"/>
        <w:rPr>
          <w:rFonts w:ascii="Times New Roman" w:eastAsia="Times New Roman" w:hAnsi="Times New Roman" w:cs="Times New Roman"/>
          <w:sz w:val="24"/>
          <w:szCs w:val="24"/>
          <w:lang w:bidi="ar-SA"/>
        </w:rPr>
      </w:pPr>
      <w:r w:rsidRPr="00886A83">
        <w:rPr>
          <w:rFonts w:ascii="Times New Roman" w:eastAsia="Times New Roman" w:hAnsi="Times New Roman" w:cs="B Mitra"/>
          <w:sz w:val="24"/>
          <w:szCs w:val="24"/>
          <w:highlight w:val="yellow"/>
        </w:rPr>
        <w:t>This paper is due to novelty had a lot of challenges. Since the urban ranking index in this research is based on the context of the country’s base of study (based on the Iranian - Islamic perspective), the generalizability of these findings can only be examined in similar contexts. Therefore, other countries should be carefully prepared to use this research because of the existence of different interpretations of Islam, and present their specific rank indices. Also in relation to the effects of research on the society, it can be pointed out that the main purpose of the authors is attracting the attention of societies to the standards and norms of their background and the necessity of considering them in improving the quality of city and citizens. On the other hand, this paper was not able to compare its findings with other studies because of innovation in the field of context- based classification. This can be resolved by performing similar tasks in the next few years.</w:t>
      </w:r>
    </w:p>
    <w:p w14:paraId="6262D781" w14:textId="77777777" w:rsidR="00886A83" w:rsidRPr="00886A83" w:rsidRDefault="00886A83" w:rsidP="00886A83">
      <w:pPr>
        <w:bidi w:val="0"/>
        <w:spacing w:line="240" w:lineRule="auto"/>
        <w:jc w:val="lowKashida"/>
        <w:rPr>
          <w:rFonts w:ascii="Times New Roman" w:eastAsia="Times New Roman" w:hAnsi="Times New Roman" w:cs="B Mitra"/>
          <w:sz w:val="24"/>
          <w:szCs w:val="24"/>
          <w:highlight w:val="yellow"/>
          <w:rtl/>
        </w:rPr>
      </w:pPr>
      <w:r w:rsidRPr="00886A83">
        <w:rPr>
          <w:rFonts w:ascii="Times New Roman" w:eastAsia="Times New Roman" w:hAnsi="Times New Roman" w:cs="B Mitra"/>
          <w:sz w:val="24"/>
          <w:szCs w:val="24"/>
          <w:highlight w:val="yellow"/>
        </w:rPr>
        <w:t>In this paper, the definition of measure for some variables, because of novelty, requires comprehensive studies and taking advantage of the opinions of experts, in this regard, the authors measure the indices based on similar or equivalent ones. However, the unit of these measures can be discussed. In addition, the difficulty of access to updated and valid data in some measures in the general population of 11 cities was one of the main challenges to the authors. So that if there was no access to a measure, even in one city, that measure was generally excluded from the analysis process. The lack of some data and the absence of access to temporal variations caused some finding to be only partially interpreted. Some of the measures introduced in this study require deep social studies, including interviews and detailed questionnaires in selected cities, which due to time and cost, there was no possibility for their study. Therefore, in future research we suggest completing these measures.</w:t>
      </w:r>
    </w:p>
    <w:p w14:paraId="1D115B75" w14:textId="77777777" w:rsidR="00A50AC2" w:rsidRPr="00C10719" w:rsidRDefault="00A50AC2" w:rsidP="00C10719">
      <w:pPr>
        <w:spacing w:before="100" w:beforeAutospacing="1" w:after="100" w:afterAutospacing="1" w:line="240" w:lineRule="auto"/>
        <w:jc w:val="both"/>
        <w:rPr>
          <w:rFonts w:ascii="Times New Roman" w:eastAsia="Times New Roman" w:hAnsi="Times New Roman" w:cs="B Mitra"/>
          <w:sz w:val="24"/>
          <w:szCs w:val="24"/>
        </w:rPr>
      </w:pPr>
    </w:p>
    <w:p w14:paraId="3B8E04D1" w14:textId="77777777" w:rsidR="009B2C6D" w:rsidRPr="004A7F3E" w:rsidRDefault="00A90805" w:rsidP="004A7F3E">
      <w:pPr>
        <w:bidi w:val="0"/>
        <w:jc w:val="lowKashida"/>
        <w:rPr>
          <w:rFonts w:asciiTheme="majorBidi" w:hAnsiTheme="majorBidi" w:cstheme="majorBidi"/>
          <w:b/>
          <w:bCs/>
          <w:sz w:val="24"/>
          <w:szCs w:val="24"/>
        </w:rPr>
      </w:pPr>
      <w:r w:rsidRPr="00A90805">
        <w:rPr>
          <w:rFonts w:asciiTheme="majorBidi" w:hAnsiTheme="majorBidi" w:cstheme="majorBidi"/>
          <w:b/>
          <w:bCs/>
          <w:sz w:val="24"/>
          <w:szCs w:val="24"/>
        </w:rPr>
        <w:t>References</w:t>
      </w:r>
    </w:p>
    <w:p w14:paraId="525B8BAF"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Acuto</w:t>
      </w:r>
      <w:proofErr w:type="spellEnd"/>
      <w:r w:rsidRPr="009B2C6D">
        <w:rPr>
          <w:rFonts w:asciiTheme="majorBidi" w:eastAsia="Times New Roman" w:hAnsiTheme="majorBidi" w:cstheme="majorBidi"/>
          <w:sz w:val="24"/>
          <w:szCs w:val="24"/>
        </w:rPr>
        <w:t xml:space="preserve">, M., &amp; </w:t>
      </w:r>
      <w:proofErr w:type="spellStart"/>
      <w:r w:rsidRPr="009B2C6D">
        <w:rPr>
          <w:rFonts w:asciiTheme="majorBidi" w:eastAsia="Times New Roman" w:hAnsiTheme="majorBidi" w:cstheme="majorBidi"/>
          <w:sz w:val="24"/>
          <w:szCs w:val="24"/>
        </w:rPr>
        <w:t>Pejic</w:t>
      </w:r>
      <w:proofErr w:type="spellEnd"/>
      <w:r w:rsidRPr="009B2C6D">
        <w:rPr>
          <w:rFonts w:asciiTheme="majorBidi" w:eastAsia="Times New Roman" w:hAnsiTheme="majorBidi" w:cstheme="majorBidi"/>
          <w:sz w:val="24"/>
          <w:szCs w:val="24"/>
        </w:rPr>
        <w:t>, D. (2021). Shaping a global comparative imagination? Assessing the role of city rankings in the “global city” discourse. </w:t>
      </w:r>
      <w:r w:rsidRPr="009B2C6D">
        <w:rPr>
          <w:rFonts w:asciiTheme="majorBidi" w:eastAsia="Times New Roman" w:hAnsiTheme="majorBidi" w:cstheme="majorBidi"/>
          <w:i/>
          <w:iCs/>
          <w:sz w:val="24"/>
          <w:szCs w:val="24"/>
          <w:bdr w:val="single" w:sz="2" w:space="0" w:color="ECEDEE" w:frame="1"/>
        </w:rPr>
        <w:t>Area</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53</w:t>
      </w:r>
      <w:r w:rsidRPr="009B2C6D">
        <w:rPr>
          <w:rFonts w:asciiTheme="majorBidi" w:eastAsia="Times New Roman" w:hAnsiTheme="majorBidi" w:cstheme="majorBidi"/>
          <w:sz w:val="24"/>
          <w:szCs w:val="24"/>
        </w:rPr>
        <w:t>(2), 247–256. </w:t>
      </w:r>
      <w:hyperlink r:id="rId19" w:history="1">
        <w:r w:rsidRPr="009B2C6D">
          <w:rPr>
            <w:rStyle w:val="Hyperlink"/>
            <w:rFonts w:asciiTheme="majorBidi" w:eastAsia="Times New Roman" w:hAnsiTheme="majorBidi" w:cstheme="majorBidi"/>
            <w:sz w:val="24"/>
            <w:szCs w:val="24"/>
            <w:bdr w:val="single" w:sz="2" w:space="0" w:color="ECEDEE" w:frame="1"/>
          </w:rPr>
          <w:t>https://doi.org/10.1111/area.12710</w:t>
        </w:r>
      </w:hyperlink>
    </w:p>
    <w:p w14:paraId="1D0A9689"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Acuto</w:t>
      </w:r>
      <w:proofErr w:type="spellEnd"/>
      <w:r w:rsidRPr="009B2C6D">
        <w:rPr>
          <w:rFonts w:asciiTheme="majorBidi" w:eastAsia="Times New Roman" w:hAnsiTheme="majorBidi" w:cstheme="majorBidi"/>
          <w:sz w:val="24"/>
          <w:szCs w:val="24"/>
        </w:rPr>
        <w:t xml:space="preserve">, M., </w:t>
      </w:r>
      <w:proofErr w:type="spellStart"/>
      <w:r w:rsidRPr="009B2C6D">
        <w:rPr>
          <w:rFonts w:asciiTheme="majorBidi" w:eastAsia="Times New Roman" w:hAnsiTheme="majorBidi" w:cstheme="majorBidi"/>
          <w:sz w:val="24"/>
          <w:szCs w:val="24"/>
        </w:rPr>
        <w:t>Pejic</w:t>
      </w:r>
      <w:proofErr w:type="spellEnd"/>
      <w:r w:rsidRPr="009B2C6D">
        <w:rPr>
          <w:rFonts w:asciiTheme="majorBidi" w:eastAsia="Times New Roman" w:hAnsiTheme="majorBidi" w:cstheme="majorBidi"/>
          <w:sz w:val="24"/>
          <w:szCs w:val="24"/>
        </w:rPr>
        <w:t xml:space="preserve">, D., &amp; Briggs, J. (2021b). </w:t>
      </w:r>
      <w:r w:rsidR="00C94042" w:rsidRPr="009B2C6D">
        <w:rPr>
          <w:rFonts w:asciiTheme="majorBidi" w:eastAsia="Times New Roman" w:hAnsiTheme="majorBidi" w:cstheme="majorBidi"/>
          <w:sz w:val="24"/>
          <w:szCs w:val="24"/>
        </w:rPr>
        <w:t>Taking City Rankings Seriously</w:t>
      </w:r>
      <w:r w:rsidRPr="009B2C6D">
        <w:rPr>
          <w:rFonts w:asciiTheme="majorBidi" w:eastAsia="Times New Roman" w:hAnsiTheme="majorBidi" w:cstheme="majorBidi"/>
          <w:sz w:val="24"/>
          <w:szCs w:val="24"/>
        </w:rPr>
        <w:t>: Engaging with Benchmarking Practices in Global Urbanism. </w:t>
      </w:r>
      <w:r w:rsidRPr="009B2C6D">
        <w:rPr>
          <w:rFonts w:asciiTheme="majorBidi" w:eastAsia="Times New Roman" w:hAnsiTheme="majorBidi" w:cstheme="majorBidi"/>
          <w:i/>
          <w:iCs/>
          <w:sz w:val="24"/>
          <w:szCs w:val="24"/>
          <w:bdr w:val="single" w:sz="2" w:space="0" w:color="ECEDEE" w:frame="1"/>
        </w:rPr>
        <w:t>International Journal of Urban and Regional Research</w:t>
      </w:r>
      <w:r w:rsidRPr="009B2C6D">
        <w:rPr>
          <w:rFonts w:asciiTheme="majorBidi" w:eastAsia="Times New Roman" w:hAnsiTheme="majorBidi" w:cstheme="majorBidi"/>
          <w:sz w:val="24"/>
          <w:szCs w:val="24"/>
        </w:rPr>
        <w:t>. </w:t>
      </w:r>
      <w:hyperlink r:id="rId20" w:history="1">
        <w:r w:rsidR="00C94042" w:rsidRPr="00400C5C">
          <w:rPr>
            <w:rStyle w:val="Hyperlink"/>
            <w:rFonts w:asciiTheme="majorBidi" w:eastAsia="Times New Roman" w:hAnsiTheme="majorBidi" w:cstheme="majorBidi"/>
            <w:sz w:val="24"/>
            <w:szCs w:val="24"/>
            <w:bdr w:val="single" w:sz="2" w:space="0" w:color="ECEDEE" w:frame="1"/>
          </w:rPr>
          <w:t>https://doi.org/10.1111/1468-2427.12974</w:t>
        </w:r>
      </w:hyperlink>
    </w:p>
    <w:p w14:paraId="3A3DD711"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Akande</w:t>
      </w:r>
      <w:proofErr w:type="spellEnd"/>
      <w:r w:rsidRPr="009B2C6D">
        <w:rPr>
          <w:rFonts w:asciiTheme="majorBidi" w:eastAsia="Times New Roman" w:hAnsiTheme="majorBidi" w:cstheme="majorBidi"/>
          <w:sz w:val="24"/>
          <w:szCs w:val="24"/>
        </w:rPr>
        <w:t xml:space="preserve">, A., Cabral, P., Gomes, P. J., &amp; </w:t>
      </w:r>
      <w:proofErr w:type="spellStart"/>
      <w:r w:rsidRPr="009B2C6D">
        <w:rPr>
          <w:rFonts w:asciiTheme="majorBidi" w:eastAsia="Times New Roman" w:hAnsiTheme="majorBidi" w:cstheme="majorBidi"/>
          <w:sz w:val="24"/>
          <w:szCs w:val="24"/>
        </w:rPr>
        <w:t>Casteleyn</w:t>
      </w:r>
      <w:proofErr w:type="spellEnd"/>
      <w:r w:rsidRPr="009B2C6D">
        <w:rPr>
          <w:rFonts w:asciiTheme="majorBidi" w:eastAsia="Times New Roman" w:hAnsiTheme="majorBidi" w:cstheme="majorBidi"/>
          <w:sz w:val="24"/>
          <w:szCs w:val="24"/>
        </w:rPr>
        <w:t>, S. (2019c). The Lisbon ranking for smart sustainable cities in Europe. </w:t>
      </w:r>
      <w:r w:rsidRPr="009B2C6D">
        <w:rPr>
          <w:rFonts w:asciiTheme="majorBidi" w:eastAsia="Times New Roman" w:hAnsiTheme="majorBidi" w:cstheme="majorBidi"/>
          <w:i/>
          <w:iCs/>
          <w:sz w:val="24"/>
          <w:szCs w:val="24"/>
          <w:bdr w:val="single" w:sz="2" w:space="0" w:color="ECEDEE" w:frame="1"/>
        </w:rPr>
        <w:t>Sustainable Cities and Society</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44</w:t>
      </w:r>
      <w:r w:rsidRPr="009B2C6D">
        <w:rPr>
          <w:rFonts w:asciiTheme="majorBidi" w:eastAsia="Times New Roman" w:hAnsiTheme="majorBidi" w:cstheme="majorBidi"/>
          <w:sz w:val="24"/>
          <w:szCs w:val="24"/>
        </w:rPr>
        <w:t>, 475–487. </w:t>
      </w:r>
      <w:hyperlink r:id="rId21" w:history="1">
        <w:r w:rsidR="00C94042" w:rsidRPr="00400C5C">
          <w:rPr>
            <w:rStyle w:val="Hyperlink"/>
            <w:rFonts w:asciiTheme="majorBidi" w:eastAsia="Times New Roman" w:hAnsiTheme="majorBidi" w:cstheme="majorBidi"/>
            <w:sz w:val="24"/>
            <w:szCs w:val="24"/>
            <w:bdr w:val="single" w:sz="2" w:space="0" w:color="ECEDEE" w:frame="1"/>
          </w:rPr>
          <w:t>https://doi.org/10.1016/j.scs.2018.10.009</w:t>
        </w:r>
      </w:hyperlink>
    </w:p>
    <w:p w14:paraId="71708416"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Al-</w:t>
      </w:r>
      <w:proofErr w:type="spellStart"/>
      <w:r w:rsidRPr="009B2C6D">
        <w:rPr>
          <w:rFonts w:asciiTheme="majorBidi" w:eastAsia="Times New Roman" w:hAnsiTheme="majorBidi" w:cstheme="majorBidi"/>
          <w:sz w:val="24"/>
          <w:szCs w:val="24"/>
        </w:rPr>
        <w:t>Khraif</w:t>
      </w:r>
      <w:proofErr w:type="spellEnd"/>
      <w:r w:rsidRPr="009B2C6D">
        <w:rPr>
          <w:rFonts w:asciiTheme="majorBidi" w:eastAsia="Times New Roman" w:hAnsiTheme="majorBidi" w:cstheme="majorBidi"/>
          <w:sz w:val="24"/>
          <w:szCs w:val="24"/>
        </w:rPr>
        <w:t xml:space="preserve">, R. M., </w:t>
      </w:r>
      <w:proofErr w:type="spellStart"/>
      <w:r w:rsidRPr="009B2C6D">
        <w:rPr>
          <w:rFonts w:asciiTheme="majorBidi" w:eastAsia="Times New Roman" w:hAnsiTheme="majorBidi" w:cstheme="majorBidi"/>
          <w:sz w:val="24"/>
          <w:szCs w:val="24"/>
        </w:rPr>
        <w:t>Elsegaey</w:t>
      </w:r>
      <w:proofErr w:type="spellEnd"/>
      <w:r w:rsidRPr="009B2C6D">
        <w:rPr>
          <w:rFonts w:asciiTheme="majorBidi" w:eastAsia="Times New Roman" w:hAnsiTheme="majorBidi" w:cstheme="majorBidi"/>
          <w:sz w:val="24"/>
          <w:szCs w:val="24"/>
        </w:rPr>
        <w:t>, I., Al-</w:t>
      </w:r>
      <w:proofErr w:type="spellStart"/>
      <w:r w:rsidRPr="009B2C6D">
        <w:rPr>
          <w:rFonts w:asciiTheme="majorBidi" w:eastAsia="Times New Roman" w:hAnsiTheme="majorBidi" w:cstheme="majorBidi"/>
          <w:sz w:val="24"/>
          <w:szCs w:val="24"/>
        </w:rPr>
        <w:t>Mogarry</w:t>
      </w:r>
      <w:proofErr w:type="spellEnd"/>
      <w:r w:rsidRPr="009B2C6D">
        <w:rPr>
          <w:rFonts w:asciiTheme="majorBidi" w:eastAsia="Times New Roman" w:hAnsiTheme="majorBidi" w:cstheme="majorBidi"/>
          <w:sz w:val="24"/>
          <w:szCs w:val="24"/>
        </w:rPr>
        <w:t>, M., &amp; Salam, A. A. (2022). Saudi Arabia’s City Ranking Index (SACRI) methodology executed: Preliminary findings. </w:t>
      </w:r>
      <w:r w:rsidRPr="009B2C6D">
        <w:rPr>
          <w:rFonts w:asciiTheme="majorBidi" w:eastAsia="Times New Roman" w:hAnsiTheme="majorBidi" w:cstheme="majorBidi"/>
          <w:i/>
          <w:iCs/>
          <w:sz w:val="24"/>
          <w:szCs w:val="24"/>
          <w:bdr w:val="single" w:sz="2" w:space="0" w:color="ECEDEE" w:frame="1"/>
        </w:rPr>
        <w:t>Journal of Economics &amp; Management</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44</w:t>
      </w:r>
      <w:r w:rsidRPr="009B2C6D">
        <w:rPr>
          <w:rFonts w:asciiTheme="majorBidi" w:eastAsia="Times New Roman" w:hAnsiTheme="majorBidi" w:cstheme="majorBidi"/>
          <w:sz w:val="24"/>
          <w:szCs w:val="24"/>
        </w:rPr>
        <w:t>, 376–392. </w:t>
      </w:r>
      <w:hyperlink r:id="rId22" w:history="1">
        <w:r w:rsidR="00C94042" w:rsidRPr="00400C5C">
          <w:rPr>
            <w:rStyle w:val="Hyperlink"/>
            <w:rFonts w:asciiTheme="majorBidi" w:eastAsia="Times New Roman" w:hAnsiTheme="majorBidi" w:cstheme="majorBidi"/>
            <w:sz w:val="24"/>
            <w:szCs w:val="24"/>
            <w:bdr w:val="single" w:sz="2" w:space="0" w:color="ECEDEE" w:frame="1"/>
          </w:rPr>
          <w:t>https://doi.org/10.22367/jem.2022.44.15</w:t>
        </w:r>
      </w:hyperlink>
    </w:p>
    <w:p w14:paraId="048822D4"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Ashrafi, N. </w:t>
      </w:r>
      <w:proofErr w:type="spellStart"/>
      <w:r w:rsidRPr="009B2C6D">
        <w:rPr>
          <w:rFonts w:asciiTheme="majorBidi" w:eastAsia="Times New Roman" w:hAnsiTheme="majorBidi" w:cstheme="majorBidi"/>
          <w:sz w:val="24"/>
          <w:szCs w:val="24"/>
        </w:rPr>
        <w:t>Naghizadeh</w:t>
      </w:r>
      <w:proofErr w:type="spellEnd"/>
      <w:r w:rsidRPr="009B2C6D">
        <w:rPr>
          <w:rFonts w:asciiTheme="majorBidi" w:eastAsia="Times New Roman" w:hAnsiTheme="majorBidi" w:cstheme="majorBidi"/>
          <w:sz w:val="24"/>
          <w:szCs w:val="24"/>
        </w:rPr>
        <w:t xml:space="preserve">, M. (2016). Clarifying Interaction of Ideas and Effect in the Sassanid Era Architecture. </w:t>
      </w:r>
      <w:proofErr w:type="spellStart"/>
      <w:r w:rsidRPr="009B2C6D">
        <w:rPr>
          <w:rFonts w:asciiTheme="majorBidi" w:eastAsia="Times New Roman" w:hAnsiTheme="majorBidi" w:cstheme="majorBidi"/>
          <w:sz w:val="24"/>
          <w:szCs w:val="24"/>
        </w:rPr>
        <w:t>Hoviatshahr</w:t>
      </w:r>
      <w:proofErr w:type="spellEnd"/>
      <w:r w:rsidRPr="009B2C6D">
        <w:rPr>
          <w:rFonts w:asciiTheme="majorBidi" w:eastAsia="Times New Roman" w:hAnsiTheme="majorBidi" w:cstheme="majorBidi"/>
          <w:sz w:val="24"/>
          <w:szCs w:val="24"/>
        </w:rPr>
        <w:t>. 2, (11). 95-106.</w:t>
      </w:r>
    </w:p>
    <w:p w14:paraId="75ACC29B"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Assari</w:t>
      </w:r>
      <w:proofErr w:type="spellEnd"/>
      <w:r w:rsidRPr="009B2C6D">
        <w:rPr>
          <w:rFonts w:asciiTheme="majorBidi" w:eastAsia="Times New Roman" w:hAnsiTheme="majorBidi" w:cstheme="majorBidi"/>
          <w:sz w:val="24"/>
          <w:szCs w:val="24"/>
        </w:rPr>
        <w:t xml:space="preserve">, A., </w:t>
      </w:r>
      <w:proofErr w:type="spellStart"/>
      <w:r w:rsidRPr="009B2C6D">
        <w:rPr>
          <w:rFonts w:asciiTheme="majorBidi" w:eastAsia="Times New Roman" w:hAnsiTheme="majorBidi" w:cstheme="majorBidi"/>
          <w:sz w:val="24"/>
          <w:szCs w:val="24"/>
        </w:rPr>
        <w:t>Maghreby</w:t>
      </w:r>
      <w:proofErr w:type="spellEnd"/>
      <w:r w:rsidRPr="009B2C6D">
        <w:rPr>
          <w:rFonts w:asciiTheme="majorBidi" w:eastAsia="Times New Roman" w:hAnsiTheme="majorBidi" w:cstheme="majorBidi"/>
          <w:sz w:val="24"/>
          <w:szCs w:val="24"/>
        </w:rPr>
        <w:t>, S., &amp; Nik, M. M. (2017). Investigation of smart growth in traditional Islamic culture: Case study of Isfahan city in Iran. </w:t>
      </w:r>
      <w:r w:rsidRPr="009B2C6D">
        <w:rPr>
          <w:rFonts w:asciiTheme="majorBidi" w:eastAsia="Times New Roman" w:hAnsiTheme="majorBidi" w:cstheme="majorBidi"/>
          <w:i/>
          <w:iCs/>
          <w:sz w:val="24"/>
          <w:szCs w:val="24"/>
          <w:bdr w:val="single" w:sz="2" w:space="0" w:color="ECEDEE" w:frame="1"/>
        </w:rPr>
        <w:t>Journal of Geography and Regional Planning</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10</w:t>
      </w:r>
      <w:r w:rsidRPr="009B2C6D">
        <w:rPr>
          <w:rFonts w:asciiTheme="majorBidi" w:eastAsia="Times New Roman" w:hAnsiTheme="majorBidi" w:cstheme="majorBidi"/>
          <w:sz w:val="24"/>
          <w:szCs w:val="24"/>
        </w:rPr>
        <w:t>(4), 47–56. </w:t>
      </w:r>
      <w:hyperlink r:id="rId23" w:history="1">
        <w:r w:rsidR="00C94042" w:rsidRPr="00400C5C">
          <w:rPr>
            <w:rStyle w:val="Hyperlink"/>
            <w:rFonts w:asciiTheme="majorBidi" w:eastAsia="Times New Roman" w:hAnsiTheme="majorBidi" w:cstheme="majorBidi"/>
            <w:sz w:val="24"/>
            <w:szCs w:val="24"/>
            <w:bdr w:val="single" w:sz="2" w:space="0" w:color="ECEDEE" w:frame="1"/>
          </w:rPr>
          <w:t>https://doi.org/10.5897/jgrp2016.0588</w:t>
        </w:r>
      </w:hyperlink>
    </w:p>
    <w:p w14:paraId="7FB298DC"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lastRenderedPageBreak/>
        <w:t>Atmaja</w:t>
      </w:r>
      <w:proofErr w:type="spellEnd"/>
      <w:r w:rsidRPr="009B2C6D">
        <w:rPr>
          <w:rFonts w:asciiTheme="majorBidi" w:eastAsia="Times New Roman" w:hAnsiTheme="majorBidi" w:cstheme="majorBidi"/>
          <w:sz w:val="24"/>
          <w:szCs w:val="24"/>
        </w:rPr>
        <w:t xml:space="preserve">, L., &amp; </w:t>
      </w:r>
      <w:proofErr w:type="spellStart"/>
      <w:r w:rsidRPr="009B2C6D">
        <w:rPr>
          <w:rFonts w:asciiTheme="majorBidi" w:eastAsia="Times New Roman" w:hAnsiTheme="majorBidi" w:cstheme="majorBidi"/>
          <w:sz w:val="24"/>
          <w:szCs w:val="24"/>
        </w:rPr>
        <w:t>Mustopa</w:t>
      </w:r>
      <w:proofErr w:type="spellEnd"/>
      <w:r w:rsidRPr="009B2C6D">
        <w:rPr>
          <w:rFonts w:asciiTheme="majorBidi" w:eastAsia="Times New Roman" w:hAnsiTheme="majorBidi" w:cstheme="majorBidi"/>
          <w:sz w:val="24"/>
          <w:szCs w:val="24"/>
        </w:rPr>
        <w:t>, R. R. B. C. (2020). Metaphysics in the Epistemology : A Critical Analysis of Islamic and Western Philosophical tradition. </w:t>
      </w:r>
      <w:r w:rsidRPr="009B2C6D">
        <w:rPr>
          <w:rFonts w:asciiTheme="majorBidi" w:eastAsia="Times New Roman" w:hAnsiTheme="majorBidi" w:cstheme="majorBidi"/>
          <w:i/>
          <w:iCs/>
          <w:sz w:val="24"/>
          <w:szCs w:val="24"/>
          <w:bdr w:val="single" w:sz="2" w:space="0" w:color="ECEDEE" w:frame="1"/>
        </w:rPr>
        <w:t>Afkaruna</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16</w:t>
      </w:r>
      <w:r w:rsidRPr="009B2C6D">
        <w:rPr>
          <w:rFonts w:asciiTheme="majorBidi" w:eastAsia="Times New Roman" w:hAnsiTheme="majorBidi" w:cstheme="majorBidi"/>
          <w:sz w:val="24"/>
          <w:szCs w:val="24"/>
        </w:rPr>
        <w:t>(1). </w:t>
      </w:r>
      <w:hyperlink r:id="rId24" w:history="1">
        <w:r w:rsidR="00C94042" w:rsidRPr="00400C5C">
          <w:rPr>
            <w:rStyle w:val="Hyperlink"/>
            <w:rFonts w:asciiTheme="majorBidi" w:eastAsia="Times New Roman" w:hAnsiTheme="majorBidi" w:cstheme="majorBidi"/>
            <w:sz w:val="24"/>
            <w:szCs w:val="24"/>
            <w:bdr w:val="single" w:sz="2" w:space="0" w:color="ECEDEE" w:frame="1"/>
          </w:rPr>
          <w:t>https://doi.org/10.18196/aiijis.2020.0111.22-39</w:t>
        </w:r>
      </w:hyperlink>
    </w:p>
    <w:p w14:paraId="019F2723"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Capitanio</w:t>
      </w:r>
      <w:proofErr w:type="spellEnd"/>
      <w:r w:rsidRPr="009B2C6D">
        <w:rPr>
          <w:rFonts w:asciiTheme="majorBidi" w:eastAsia="Times New Roman" w:hAnsiTheme="majorBidi" w:cstheme="majorBidi"/>
          <w:sz w:val="24"/>
          <w:szCs w:val="24"/>
        </w:rPr>
        <w:t xml:space="preserve">, M. (2017c). The Relativity of </w:t>
      </w:r>
      <w:proofErr w:type="spellStart"/>
      <w:r w:rsidRPr="009B2C6D">
        <w:rPr>
          <w:rFonts w:asciiTheme="majorBidi" w:eastAsia="Times New Roman" w:hAnsiTheme="majorBidi" w:cstheme="majorBidi"/>
          <w:sz w:val="24"/>
          <w:szCs w:val="24"/>
        </w:rPr>
        <w:t>Liveability</w:t>
      </w:r>
      <w:proofErr w:type="spellEnd"/>
      <w:r w:rsidRPr="009B2C6D">
        <w:rPr>
          <w:rFonts w:asciiTheme="majorBidi" w:eastAsia="Times New Roman" w:hAnsiTheme="majorBidi" w:cstheme="majorBidi"/>
          <w:sz w:val="24"/>
          <w:szCs w:val="24"/>
        </w:rPr>
        <w:t xml:space="preserve"> Rankings Examining the Japanese Case against the Global Discourse. </w:t>
      </w:r>
      <w:r w:rsidRPr="009B2C6D">
        <w:rPr>
          <w:rFonts w:asciiTheme="majorBidi" w:eastAsia="Times New Roman" w:hAnsiTheme="majorBidi" w:cstheme="majorBidi"/>
          <w:i/>
          <w:iCs/>
          <w:sz w:val="24"/>
          <w:szCs w:val="24"/>
          <w:bdr w:val="single" w:sz="2" w:space="0" w:color="ECEDEE" w:frame="1"/>
        </w:rPr>
        <w:t>World Journal of Social Science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5</w:t>
      </w:r>
      <w:r w:rsidRPr="009B2C6D">
        <w:rPr>
          <w:rFonts w:asciiTheme="majorBidi" w:eastAsia="Times New Roman" w:hAnsiTheme="majorBidi" w:cstheme="majorBidi"/>
          <w:sz w:val="24"/>
          <w:szCs w:val="24"/>
        </w:rPr>
        <w:t>(1), 12. </w:t>
      </w:r>
      <w:hyperlink r:id="rId25" w:history="1">
        <w:r w:rsidR="00C94042" w:rsidRPr="00400C5C">
          <w:rPr>
            <w:rStyle w:val="Hyperlink"/>
            <w:rFonts w:asciiTheme="majorBidi" w:eastAsia="Times New Roman" w:hAnsiTheme="majorBidi" w:cstheme="majorBidi"/>
            <w:sz w:val="24"/>
            <w:szCs w:val="24"/>
            <w:bdr w:val="single" w:sz="2" w:space="0" w:color="ECEDEE" w:frame="1"/>
          </w:rPr>
          <w:t>https://doi.org/10.5430/wjss.v5n1p12</w:t>
        </w:r>
      </w:hyperlink>
    </w:p>
    <w:p w14:paraId="51AD1CE4"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Conger, B. (2015). On Livability, </w:t>
      </w:r>
      <w:proofErr w:type="spellStart"/>
      <w:r w:rsidRPr="009B2C6D">
        <w:rPr>
          <w:rFonts w:asciiTheme="majorBidi" w:eastAsia="Times New Roman" w:hAnsiTheme="majorBidi" w:cstheme="majorBidi"/>
          <w:sz w:val="24"/>
          <w:szCs w:val="24"/>
        </w:rPr>
        <w:t>Liveability</w:t>
      </w:r>
      <w:proofErr w:type="spellEnd"/>
      <w:r w:rsidRPr="009B2C6D">
        <w:rPr>
          <w:rFonts w:asciiTheme="majorBidi" w:eastAsia="Times New Roman" w:hAnsiTheme="majorBidi" w:cstheme="majorBidi"/>
          <w:sz w:val="24"/>
          <w:szCs w:val="24"/>
        </w:rPr>
        <w:t xml:space="preserve"> and the Limited Utility of Quality-of-Life Rankings. The School of Public Policy SPP Communiqués, 7(4), 1-8.</w:t>
      </w:r>
    </w:p>
    <w:p w14:paraId="793A32FD"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Correia</w:t>
      </w:r>
      <w:proofErr w:type="spellEnd"/>
      <w:r w:rsidRPr="009B2C6D">
        <w:rPr>
          <w:rFonts w:asciiTheme="majorBidi" w:eastAsia="Times New Roman" w:hAnsiTheme="majorBidi" w:cstheme="majorBidi"/>
          <w:sz w:val="24"/>
          <w:szCs w:val="24"/>
        </w:rPr>
        <w:t xml:space="preserve">, J., &amp; </w:t>
      </w:r>
      <w:proofErr w:type="spellStart"/>
      <w:r w:rsidRPr="009B2C6D">
        <w:rPr>
          <w:rFonts w:asciiTheme="majorBidi" w:eastAsia="Times New Roman" w:hAnsiTheme="majorBidi" w:cstheme="majorBidi"/>
          <w:sz w:val="24"/>
          <w:szCs w:val="24"/>
        </w:rPr>
        <w:t>Taher</w:t>
      </w:r>
      <w:proofErr w:type="spellEnd"/>
      <w:r w:rsidRPr="009B2C6D">
        <w:rPr>
          <w:rFonts w:asciiTheme="majorBidi" w:eastAsia="Times New Roman" w:hAnsiTheme="majorBidi" w:cstheme="majorBidi"/>
          <w:sz w:val="24"/>
          <w:szCs w:val="24"/>
        </w:rPr>
        <w:t>, M. M. B. (2015). Traditional Islamic cities unveiled: the quest for urban design regularity. </w:t>
      </w:r>
      <w:proofErr w:type="spellStart"/>
      <w:r w:rsidRPr="009B2C6D">
        <w:rPr>
          <w:rFonts w:asciiTheme="majorBidi" w:eastAsia="Times New Roman" w:hAnsiTheme="majorBidi" w:cstheme="majorBidi"/>
          <w:i/>
          <w:iCs/>
          <w:sz w:val="24"/>
          <w:szCs w:val="24"/>
          <w:bdr w:val="single" w:sz="2" w:space="0" w:color="ECEDEE" w:frame="1"/>
        </w:rPr>
        <w:t>Gremium</w:t>
      </w:r>
      <w:proofErr w:type="spellEnd"/>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2</w:t>
      </w:r>
      <w:r w:rsidRPr="009B2C6D">
        <w:rPr>
          <w:rFonts w:asciiTheme="majorBidi" w:eastAsia="Times New Roman" w:hAnsiTheme="majorBidi" w:cstheme="majorBidi"/>
          <w:sz w:val="24"/>
          <w:szCs w:val="24"/>
        </w:rPr>
        <w:t>(4), 21–36. </w:t>
      </w:r>
      <w:hyperlink r:id="rId26" w:history="1">
        <w:r w:rsidR="00C94042" w:rsidRPr="00400C5C">
          <w:rPr>
            <w:rStyle w:val="Hyperlink"/>
            <w:rFonts w:asciiTheme="majorBidi" w:eastAsia="Times New Roman" w:hAnsiTheme="majorBidi" w:cstheme="majorBidi"/>
            <w:sz w:val="24"/>
            <w:szCs w:val="24"/>
            <w:bdr w:val="single" w:sz="2" w:space="0" w:color="ECEDEE" w:frame="1"/>
          </w:rPr>
          <w:t>https://doi.org/10.56039/rgn04a04</w:t>
        </w:r>
      </w:hyperlink>
    </w:p>
    <w:p w14:paraId="48C3093F"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Cramer-</w:t>
      </w:r>
      <w:proofErr w:type="spellStart"/>
      <w:r w:rsidRPr="009B2C6D">
        <w:rPr>
          <w:rFonts w:asciiTheme="majorBidi" w:eastAsia="Times New Roman" w:hAnsiTheme="majorBidi" w:cstheme="majorBidi"/>
          <w:sz w:val="24"/>
          <w:szCs w:val="24"/>
        </w:rPr>
        <w:t>Greenbaum</w:t>
      </w:r>
      <w:proofErr w:type="spellEnd"/>
      <w:r w:rsidRPr="009B2C6D">
        <w:rPr>
          <w:rFonts w:asciiTheme="majorBidi" w:eastAsia="Times New Roman" w:hAnsiTheme="majorBidi" w:cstheme="majorBidi"/>
          <w:sz w:val="24"/>
          <w:szCs w:val="24"/>
        </w:rPr>
        <w:t xml:space="preserve">, S. (2020). Who can afford a ‘livable’ place? The part of living global rankings leave out. International Journal of Urban Sustainable Development, 13(1), 70–82. </w:t>
      </w:r>
      <w:hyperlink r:id="rId27" w:history="1">
        <w:r w:rsidRPr="009B2C6D">
          <w:rPr>
            <w:rStyle w:val="Hyperlink"/>
            <w:rFonts w:asciiTheme="majorBidi" w:eastAsia="Times New Roman" w:hAnsiTheme="majorBidi" w:cstheme="majorBidi"/>
            <w:sz w:val="24"/>
            <w:szCs w:val="24"/>
          </w:rPr>
          <w:t>https://doi.org/10.1080/19463138.2020.1812076</w:t>
        </w:r>
      </w:hyperlink>
    </w:p>
    <w:p w14:paraId="7D46A11B"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Elgert</w:t>
      </w:r>
      <w:proofErr w:type="spellEnd"/>
      <w:r w:rsidRPr="009B2C6D">
        <w:rPr>
          <w:rFonts w:asciiTheme="majorBidi" w:eastAsia="Times New Roman" w:hAnsiTheme="majorBidi" w:cstheme="majorBidi"/>
          <w:sz w:val="24"/>
          <w:szCs w:val="24"/>
        </w:rPr>
        <w:t>, L. (2018). Rating the sustainable city: ‘</w:t>
      </w:r>
      <w:proofErr w:type="spellStart"/>
      <w:r w:rsidRPr="009B2C6D">
        <w:rPr>
          <w:rFonts w:asciiTheme="majorBidi" w:eastAsia="Times New Roman" w:hAnsiTheme="majorBidi" w:cstheme="majorBidi"/>
          <w:sz w:val="24"/>
          <w:szCs w:val="24"/>
        </w:rPr>
        <w:t>Measurementality</w:t>
      </w:r>
      <w:proofErr w:type="spellEnd"/>
      <w:r w:rsidRPr="009B2C6D">
        <w:rPr>
          <w:rFonts w:asciiTheme="majorBidi" w:eastAsia="Times New Roman" w:hAnsiTheme="majorBidi" w:cstheme="majorBidi"/>
          <w:sz w:val="24"/>
          <w:szCs w:val="24"/>
        </w:rPr>
        <w:t>’, transparency, and unexpected outcomes at the knowledge-policy interface. </w:t>
      </w:r>
      <w:r w:rsidRPr="009B2C6D">
        <w:rPr>
          <w:rFonts w:asciiTheme="majorBidi" w:eastAsia="Times New Roman" w:hAnsiTheme="majorBidi" w:cstheme="majorBidi"/>
          <w:i/>
          <w:iCs/>
          <w:sz w:val="24"/>
          <w:szCs w:val="24"/>
          <w:bdr w:val="single" w:sz="2" w:space="0" w:color="ECEDEE" w:frame="1"/>
        </w:rPr>
        <w:t>Environmental Science &amp; Policy</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79</w:t>
      </w:r>
      <w:r w:rsidRPr="009B2C6D">
        <w:rPr>
          <w:rFonts w:asciiTheme="majorBidi" w:eastAsia="Times New Roman" w:hAnsiTheme="majorBidi" w:cstheme="majorBidi"/>
          <w:sz w:val="24"/>
          <w:szCs w:val="24"/>
        </w:rPr>
        <w:t>, 16–24. </w:t>
      </w:r>
      <w:hyperlink r:id="rId28" w:history="1">
        <w:r w:rsidR="00C94042" w:rsidRPr="00400C5C">
          <w:rPr>
            <w:rStyle w:val="Hyperlink"/>
            <w:rFonts w:asciiTheme="majorBidi" w:eastAsia="Times New Roman" w:hAnsiTheme="majorBidi" w:cstheme="majorBidi"/>
            <w:sz w:val="24"/>
            <w:szCs w:val="24"/>
            <w:bdr w:val="single" w:sz="2" w:space="0" w:color="ECEDEE" w:frame="1"/>
          </w:rPr>
          <w:t>https://doi.org/10.1016/j.envsci.2017.10.006</w:t>
        </w:r>
      </w:hyperlink>
    </w:p>
    <w:p w14:paraId="199F863E"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Escolar, S., Villanueva, F., </w:t>
      </w:r>
      <w:proofErr w:type="spellStart"/>
      <w:r w:rsidRPr="009B2C6D">
        <w:rPr>
          <w:rFonts w:asciiTheme="majorBidi" w:eastAsia="Times New Roman" w:hAnsiTheme="majorBidi" w:cstheme="majorBidi"/>
          <w:sz w:val="24"/>
          <w:szCs w:val="24"/>
        </w:rPr>
        <w:t>Santofimia</w:t>
      </w:r>
      <w:proofErr w:type="spellEnd"/>
      <w:r w:rsidRPr="009B2C6D">
        <w:rPr>
          <w:rFonts w:asciiTheme="majorBidi" w:eastAsia="Times New Roman" w:hAnsiTheme="majorBidi" w:cstheme="majorBidi"/>
          <w:sz w:val="24"/>
          <w:szCs w:val="24"/>
        </w:rPr>
        <w:t xml:space="preserve">, M. J., Villa, D., </w:t>
      </w:r>
      <w:proofErr w:type="spellStart"/>
      <w:r w:rsidRPr="009B2C6D">
        <w:rPr>
          <w:rFonts w:asciiTheme="majorBidi" w:eastAsia="Times New Roman" w:hAnsiTheme="majorBidi" w:cstheme="majorBidi"/>
          <w:sz w:val="24"/>
          <w:szCs w:val="24"/>
        </w:rPr>
        <w:t>García</w:t>
      </w:r>
      <w:proofErr w:type="spellEnd"/>
      <w:r w:rsidRPr="009B2C6D">
        <w:rPr>
          <w:rFonts w:asciiTheme="majorBidi" w:eastAsia="Times New Roman" w:hAnsiTheme="majorBidi" w:cstheme="majorBidi"/>
          <w:sz w:val="24"/>
          <w:szCs w:val="24"/>
        </w:rPr>
        <w:t xml:space="preserve">, X., &amp; </w:t>
      </w:r>
      <w:proofErr w:type="spellStart"/>
      <w:r w:rsidRPr="009B2C6D">
        <w:rPr>
          <w:rFonts w:asciiTheme="majorBidi" w:eastAsia="Times New Roman" w:hAnsiTheme="majorBidi" w:cstheme="majorBidi"/>
          <w:sz w:val="24"/>
          <w:szCs w:val="24"/>
        </w:rPr>
        <w:t>López</w:t>
      </w:r>
      <w:proofErr w:type="spellEnd"/>
      <w:r w:rsidRPr="009B2C6D">
        <w:rPr>
          <w:rFonts w:asciiTheme="majorBidi" w:eastAsia="Times New Roman" w:hAnsiTheme="majorBidi" w:cstheme="majorBidi"/>
          <w:sz w:val="24"/>
          <w:szCs w:val="24"/>
        </w:rPr>
        <w:t>, J. C. (2019). A Multiple-Attribute Decision Making-based approach for smart city rankings design. </w:t>
      </w:r>
      <w:r w:rsidRPr="009B2C6D">
        <w:rPr>
          <w:rFonts w:asciiTheme="majorBidi" w:eastAsia="Times New Roman" w:hAnsiTheme="majorBidi" w:cstheme="majorBidi"/>
          <w:i/>
          <w:iCs/>
          <w:sz w:val="24"/>
          <w:szCs w:val="24"/>
          <w:bdr w:val="single" w:sz="2" w:space="0" w:color="ECEDEE" w:frame="1"/>
        </w:rPr>
        <w:t>Technological Forecasting and Social Change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142</w:t>
      </w:r>
      <w:r w:rsidRPr="009B2C6D">
        <w:rPr>
          <w:rFonts w:asciiTheme="majorBidi" w:eastAsia="Times New Roman" w:hAnsiTheme="majorBidi" w:cstheme="majorBidi"/>
          <w:sz w:val="24"/>
          <w:szCs w:val="24"/>
        </w:rPr>
        <w:t>, 42–55. </w:t>
      </w:r>
      <w:hyperlink r:id="rId29" w:history="1">
        <w:r w:rsidR="00C94042" w:rsidRPr="00400C5C">
          <w:rPr>
            <w:rStyle w:val="Hyperlink"/>
            <w:rFonts w:asciiTheme="majorBidi" w:eastAsia="Times New Roman" w:hAnsiTheme="majorBidi" w:cstheme="majorBidi"/>
            <w:sz w:val="24"/>
            <w:szCs w:val="24"/>
            <w:bdr w:val="single" w:sz="2" w:space="0" w:color="ECEDEE" w:frame="1"/>
          </w:rPr>
          <w:t>https://doi.org/10.1016/j.techfore.2018.07.024</w:t>
        </w:r>
      </w:hyperlink>
    </w:p>
    <w:p w14:paraId="17EDAEB3"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Farhan, S. L., </w:t>
      </w:r>
      <w:proofErr w:type="spellStart"/>
      <w:r w:rsidRPr="009B2C6D">
        <w:rPr>
          <w:rFonts w:asciiTheme="majorBidi" w:eastAsia="Times New Roman" w:hAnsiTheme="majorBidi" w:cstheme="majorBidi"/>
          <w:sz w:val="24"/>
          <w:szCs w:val="24"/>
        </w:rPr>
        <w:t>Akef</w:t>
      </w:r>
      <w:proofErr w:type="spellEnd"/>
      <w:r w:rsidRPr="009B2C6D">
        <w:rPr>
          <w:rFonts w:asciiTheme="majorBidi" w:eastAsia="Times New Roman" w:hAnsiTheme="majorBidi" w:cstheme="majorBidi"/>
          <w:sz w:val="24"/>
          <w:szCs w:val="24"/>
        </w:rPr>
        <w:t xml:space="preserve">, Anton, D., </w:t>
      </w:r>
      <w:proofErr w:type="spellStart"/>
      <w:r w:rsidRPr="009B2C6D">
        <w:rPr>
          <w:rFonts w:asciiTheme="majorBidi" w:eastAsia="Times New Roman" w:hAnsiTheme="majorBidi" w:cstheme="majorBidi"/>
          <w:sz w:val="24"/>
          <w:szCs w:val="24"/>
        </w:rPr>
        <w:t>Hashim</w:t>
      </w:r>
      <w:proofErr w:type="spellEnd"/>
      <w:r w:rsidRPr="009B2C6D">
        <w:rPr>
          <w:rFonts w:asciiTheme="majorBidi" w:eastAsia="Times New Roman" w:hAnsiTheme="majorBidi" w:cstheme="majorBidi"/>
          <w:sz w:val="24"/>
          <w:szCs w:val="24"/>
        </w:rPr>
        <w:t xml:space="preserve">, K., &amp; </w:t>
      </w:r>
      <w:proofErr w:type="spellStart"/>
      <w:r w:rsidRPr="009B2C6D">
        <w:rPr>
          <w:rFonts w:asciiTheme="majorBidi" w:eastAsia="Times New Roman" w:hAnsiTheme="majorBidi" w:cstheme="majorBidi"/>
          <w:sz w:val="24"/>
          <w:szCs w:val="24"/>
        </w:rPr>
        <w:t>Zubaidi</w:t>
      </w:r>
      <w:proofErr w:type="spellEnd"/>
      <w:r w:rsidRPr="009B2C6D">
        <w:rPr>
          <w:rFonts w:asciiTheme="majorBidi" w:eastAsia="Times New Roman" w:hAnsiTheme="majorBidi" w:cstheme="majorBidi"/>
          <w:sz w:val="24"/>
          <w:szCs w:val="24"/>
        </w:rPr>
        <w:t>, S. L. (2021). Factors influencing the transformation of Iraqi holy cities: the case of Al-Najaf. </w:t>
      </w:r>
      <w:r w:rsidRPr="009B2C6D">
        <w:rPr>
          <w:rFonts w:asciiTheme="majorBidi" w:eastAsia="Times New Roman" w:hAnsiTheme="majorBidi" w:cstheme="majorBidi"/>
          <w:i/>
          <w:iCs/>
          <w:sz w:val="24"/>
          <w:szCs w:val="24"/>
          <w:bdr w:val="single" w:sz="2" w:space="0" w:color="ECEDEE" w:frame="1"/>
        </w:rPr>
        <w:t>Scientific Review Engineering and Environmental Sciences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30</w:t>
      </w:r>
      <w:r w:rsidRPr="009B2C6D">
        <w:rPr>
          <w:rFonts w:asciiTheme="majorBidi" w:eastAsia="Times New Roman" w:hAnsiTheme="majorBidi" w:cstheme="majorBidi"/>
          <w:sz w:val="24"/>
          <w:szCs w:val="24"/>
        </w:rPr>
        <w:t>(2), 365–375. </w:t>
      </w:r>
      <w:hyperlink r:id="rId30" w:history="1">
        <w:r w:rsidR="00C94042" w:rsidRPr="00400C5C">
          <w:rPr>
            <w:rStyle w:val="Hyperlink"/>
            <w:rFonts w:asciiTheme="majorBidi" w:eastAsia="Times New Roman" w:hAnsiTheme="majorBidi" w:cstheme="majorBidi"/>
            <w:sz w:val="24"/>
            <w:szCs w:val="24"/>
            <w:bdr w:val="single" w:sz="2" w:space="0" w:color="ECEDEE" w:frame="1"/>
          </w:rPr>
          <w:t>https://doi.org/10.22630/pniks.2021.30.2.31</w:t>
        </w:r>
      </w:hyperlink>
    </w:p>
    <w:p w14:paraId="1453C905"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Ghasemi</w:t>
      </w:r>
      <w:proofErr w:type="spellEnd"/>
      <w:r w:rsidRPr="009B2C6D">
        <w:rPr>
          <w:rFonts w:asciiTheme="majorBidi" w:eastAsia="Times New Roman" w:hAnsiTheme="majorBidi" w:cstheme="majorBidi"/>
          <w:sz w:val="24"/>
          <w:szCs w:val="24"/>
        </w:rPr>
        <w:t xml:space="preserve">, K., </w:t>
      </w:r>
      <w:proofErr w:type="spellStart"/>
      <w:r w:rsidRPr="009B2C6D">
        <w:rPr>
          <w:rFonts w:asciiTheme="majorBidi" w:eastAsia="Times New Roman" w:hAnsiTheme="majorBidi" w:cstheme="majorBidi"/>
          <w:sz w:val="24"/>
          <w:szCs w:val="24"/>
        </w:rPr>
        <w:t>Hamzenejad</w:t>
      </w:r>
      <w:proofErr w:type="spellEnd"/>
      <w:r w:rsidRPr="009B2C6D">
        <w:rPr>
          <w:rFonts w:asciiTheme="majorBidi" w:eastAsia="Times New Roman" w:hAnsiTheme="majorBidi" w:cstheme="majorBidi"/>
          <w:sz w:val="24"/>
          <w:szCs w:val="24"/>
        </w:rPr>
        <w:t xml:space="preserve">, M., &amp; </w:t>
      </w:r>
      <w:proofErr w:type="spellStart"/>
      <w:r w:rsidRPr="009B2C6D">
        <w:rPr>
          <w:rFonts w:asciiTheme="majorBidi" w:eastAsia="Times New Roman" w:hAnsiTheme="majorBidi" w:cstheme="majorBidi"/>
          <w:sz w:val="24"/>
          <w:szCs w:val="24"/>
        </w:rPr>
        <w:t>Meshkini</w:t>
      </w:r>
      <w:proofErr w:type="spellEnd"/>
      <w:r w:rsidRPr="009B2C6D">
        <w:rPr>
          <w:rFonts w:asciiTheme="majorBidi" w:eastAsia="Times New Roman" w:hAnsiTheme="majorBidi" w:cstheme="majorBidi"/>
          <w:sz w:val="24"/>
          <w:szCs w:val="24"/>
        </w:rPr>
        <w:t>, A. (2019). The livability of Iranian and Islamic cities considering the nature of traditional land uses in the city and the rules of their settlement. </w:t>
      </w:r>
      <w:r w:rsidRPr="009B2C6D">
        <w:rPr>
          <w:rFonts w:asciiTheme="majorBidi" w:eastAsia="Times New Roman" w:hAnsiTheme="majorBidi" w:cstheme="majorBidi"/>
          <w:i/>
          <w:iCs/>
          <w:sz w:val="24"/>
          <w:szCs w:val="24"/>
          <w:bdr w:val="single" w:sz="2" w:space="0" w:color="ECEDEE" w:frame="1"/>
        </w:rPr>
        <w:t>Habitat International</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90</w:t>
      </w:r>
      <w:r w:rsidRPr="009B2C6D">
        <w:rPr>
          <w:rFonts w:asciiTheme="majorBidi" w:eastAsia="Times New Roman" w:hAnsiTheme="majorBidi" w:cstheme="majorBidi"/>
          <w:sz w:val="24"/>
          <w:szCs w:val="24"/>
        </w:rPr>
        <w:t>, 102006. </w:t>
      </w:r>
      <w:hyperlink r:id="rId31" w:history="1">
        <w:r w:rsidR="00C94042" w:rsidRPr="00400C5C">
          <w:rPr>
            <w:rStyle w:val="Hyperlink"/>
            <w:rFonts w:asciiTheme="majorBidi" w:eastAsia="Times New Roman" w:hAnsiTheme="majorBidi" w:cstheme="majorBidi"/>
            <w:sz w:val="24"/>
            <w:szCs w:val="24"/>
            <w:bdr w:val="single" w:sz="2" w:space="0" w:color="ECEDEE" w:frame="1"/>
          </w:rPr>
          <w:t>https://doi.org/10.1016/j.habitatint.2019.102006</w:t>
        </w:r>
      </w:hyperlink>
    </w:p>
    <w:p w14:paraId="6D537CEF"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Giffinger</w:t>
      </w:r>
      <w:proofErr w:type="spellEnd"/>
      <w:r w:rsidRPr="009B2C6D">
        <w:rPr>
          <w:rFonts w:asciiTheme="majorBidi" w:eastAsia="Times New Roman" w:hAnsiTheme="majorBidi" w:cstheme="majorBidi"/>
          <w:sz w:val="24"/>
          <w:szCs w:val="24"/>
        </w:rPr>
        <w:t xml:space="preserve">, R., </w:t>
      </w:r>
      <w:proofErr w:type="spellStart"/>
      <w:r w:rsidRPr="009B2C6D">
        <w:rPr>
          <w:rFonts w:asciiTheme="majorBidi" w:eastAsia="Times New Roman" w:hAnsiTheme="majorBidi" w:cstheme="majorBidi"/>
          <w:sz w:val="24"/>
          <w:szCs w:val="24"/>
        </w:rPr>
        <w:t>Haindlmaier</w:t>
      </w:r>
      <w:proofErr w:type="spellEnd"/>
      <w:r w:rsidRPr="009B2C6D">
        <w:rPr>
          <w:rFonts w:asciiTheme="majorBidi" w:eastAsia="Times New Roman" w:hAnsiTheme="majorBidi" w:cstheme="majorBidi"/>
          <w:sz w:val="24"/>
          <w:szCs w:val="24"/>
        </w:rPr>
        <w:t xml:space="preserve">, G., &amp; </w:t>
      </w:r>
      <w:proofErr w:type="spellStart"/>
      <w:r w:rsidRPr="009B2C6D">
        <w:rPr>
          <w:rFonts w:asciiTheme="majorBidi" w:eastAsia="Times New Roman" w:hAnsiTheme="majorBidi" w:cstheme="majorBidi"/>
          <w:sz w:val="24"/>
          <w:szCs w:val="24"/>
        </w:rPr>
        <w:t>Kramar</w:t>
      </w:r>
      <w:proofErr w:type="spellEnd"/>
      <w:r w:rsidRPr="009B2C6D">
        <w:rPr>
          <w:rFonts w:asciiTheme="majorBidi" w:eastAsia="Times New Roman" w:hAnsiTheme="majorBidi" w:cstheme="majorBidi"/>
          <w:sz w:val="24"/>
          <w:szCs w:val="24"/>
        </w:rPr>
        <w:t>, H. (2010b). The role of rankings in growing city competition. </w:t>
      </w:r>
      <w:r w:rsidRPr="009B2C6D">
        <w:rPr>
          <w:rFonts w:asciiTheme="majorBidi" w:eastAsia="Times New Roman" w:hAnsiTheme="majorBidi" w:cstheme="majorBidi"/>
          <w:i/>
          <w:iCs/>
          <w:sz w:val="24"/>
          <w:szCs w:val="24"/>
          <w:bdr w:val="single" w:sz="2" w:space="0" w:color="ECEDEE" w:frame="1"/>
        </w:rPr>
        <w:t>Urban Research &amp; Practice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3</w:t>
      </w:r>
      <w:r w:rsidRPr="009B2C6D">
        <w:rPr>
          <w:rFonts w:asciiTheme="majorBidi" w:eastAsia="Times New Roman" w:hAnsiTheme="majorBidi" w:cstheme="majorBidi"/>
          <w:sz w:val="24"/>
          <w:szCs w:val="24"/>
        </w:rPr>
        <w:t>(3), 299–312. </w:t>
      </w:r>
      <w:hyperlink r:id="rId32" w:history="1">
        <w:r w:rsidR="00C94042" w:rsidRPr="00400C5C">
          <w:rPr>
            <w:rStyle w:val="Hyperlink"/>
            <w:rFonts w:asciiTheme="majorBidi" w:eastAsia="Times New Roman" w:hAnsiTheme="majorBidi" w:cstheme="majorBidi"/>
            <w:sz w:val="24"/>
            <w:szCs w:val="24"/>
            <w:bdr w:val="single" w:sz="2" w:space="0" w:color="ECEDEE" w:frame="1"/>
          </w:rPr>
          <w:t>https://doi.org/10.1080/17535069.2010.524420</w:t>
        </w:r>
      </w:hyperlink>
    </w:p>
    <w:p w14:paraId="36ECDEE7"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Kaklauskas</w:t>
      </w:r>
      <w:proofErr w:type="spellEnd"/>
      <w:r w:rsidRPr="009B2C6D">
        <w:rPr>
          <w:rFonts w:asciiTheme="majorBidi" w:eastAsia="Times New Roman" w:hAnsiTheme="majorBidi" w:cstheme="majorBidi"/>
          <w:sz w:val="24"/>
          <w:szCs w:val="24"/>
        </w:rPr>
        <w:t xml:space="preserve">, A., </w:t>
      </w:r>
      <w:proofErr w:type="spellStart"/>
      <w:r w:rsidRPr="009B2C6D">
        <w:rPr>
          <w:rFonts w:asciiTheme="majorBidi" w:eastAsia="Times New Roman" w:hAnsiTheme="majorBidi" w:cstheme="majorBidi"/>
          <w:sz w:val="24"/>
          <w:szCs w:val="24"/>
        </w:rPr>
        <w:t>Zavadskas</w:t>
      </w:r>
      <w:proofErr w:type="spellEnd"/>
      <w:r w:rsidRPr="009B2C6D">
        <w:rPr>
          <w:rFonts w:asciiTheme="majorBidi" w:eastAsia="Times New Roman" w:hAnsiTheme="majorBidi" w:cstheme="majorBidi"/>
          <w:sz w:val="24"/>
          <w:szCs w:val="24"/>
        </w:rPr>
        <w:t xml:space="preserve">, E. K., </w:t>
      </w:r>
      <w:proofErr w:type="spellStart"/>
      <w:r w:rsidRPr="009B2C6D">
        <w:rPr>
          <w:rFonts w:asciiTheme="majorBidi" w:eastAsia="Times New Roman" w:hAnsiTheme="majorBidi" w:cstheme="majorBidi"/>
          <w:sz w:val="24"/>
          <w:szCs w:val="24"/>
        </w:rPr>
        <w:t>Radzevičienė</w:t>
      </w:r>
      <w:proofErr w:type="spellEnd"/>
      <w:r w:rsidRPr="009B2C6D">
        <w:rPr>
          <w:rFonts w:asciiTheme="majorBidi" w:eastAsia="Times New Roman" w:hAnsiTheme="majorBidi" w:cstheme="majorBidi"/>
          <w:sz w:val="24"/>
          <w:szCs w:val="24"/>
        </w:rPr>
        <w:t xml:space="preserve">, A., </w:t>
      </w:r>
      <w:proofErr w:type="spellStart"/>
      <w:r w:rsidRPr="009B2C6D">
        <w:rPr>
          <w:rFonts w:asciiTheme="majorBidi" w:eastAsia="Times New Roman" w:hAnsiTheme="majorBidi" w:cstheme="majorBidi"/>
          <w:sz w:val="24"/>
          <w:szCs w:val="24"/>
        </w:rPr>
        <w:t>Ubartė</w:t>
      </w:r>
      <w:proofErr w:type="spellEnd"/>
      <w:r w:rsidRPr="009B2C6D">
        <w:rPr>
          <w:rFonts w:asciiTheme="majorBidi" w:eastAsia="Times New Roman" w:hAnsiTheme="majorBidi" w:cstheme="majorBidi"/>
          <w:sz w:val="24"/>
          <w:szCs w:val="24"/>
        </w:rPr>
        <w:t xml:space="preserve">, I., </w:t>
      </w:r>
      <w:proofErr w:type="spellStart"/>
      <w:r w:rsidRPr="009B2C6D">
        <w:rPr>
          <w:rFonts w:asciiTheme="majorBidi" w:eastAsia="Times New Roman" w:hAnsiTheme="majorBidi" w:cstheme="majorBidi"/>
          <w:sz w:val="24"/>
          <w:szCs w:val="24"/>
        </w:rPr>
        <w:t>Podviezko</w:t>
      </w:r>
      <w:proofErr w:type="spellEnd"/>
      <w:r w:rsidRPr="009B2C6D">
        <w:rPr>
          <w:rFonts w:asciiTheme="majorBidi" w:eastAsia="Times New Roman" w:hAnsiTheme="majorBidi" w:cstheme="majorBidi"/>
          <w:sz w:val="24"/>
          <w:szCs w:val="24"/>
        </w:rPr>
        <w:t xml:space="preserve">, A., </w:t>
      </w:r>
      <w:proofErr w:type="spellStart"/>
      <w:r w:rsidRPr="009B2C6D">
        <w:rPr>
          <w:rFonts w:asciiTheme="majorBidi" w:eastAsia="Times New Roman" w:hAnsiTheme="majorBidi" w:cstheme="majorBidi"/>
          <w:sz w:val="24"/>
          <w:szCs w:val="24"/>
        </w:rPr>
        <w:t>Podvezko</w:t>
      </w:r>
      <w:proofErr w:type="spellEnd"/>
      <w:r w:rsidRPr="009B2C6D">
        <w:rPr>
          <w:rFonts w:asciiTheme="majorBidi" w:eastAsia="Times New Roman" w:hAnsiTheme="majorBidi" w:cstheme="majorBidi"/>
          <w:sz w:val="24"/>
          <w:szCs w:val="24"/>
        </w:rPr>
        <w:t xml:space="preserve">, V., . . . </w:t>
      </w:r>
      <w:proofErr w:type="spellStart"/>
      <w:r w:rsidRPr="009B2C6D">
        <w:rPr>
          <w:rFonts w:asciiTheme="majorBidi" w:eastAsia="Times New Roman" w:hAnsiTheme="majorBidi" w:cstheme="majorBidi"/>
          <w:sz w:val="24"/>
          <w:szCs w:val="24"/>
        </w:rPr>
        <w:t>Bučinskas</w:t>
      </w:r>
      <w:proofErr w:type="spellEnd"/>
      <w:r w:rsidRPr="009B2C6D">
        <w:rPr>
          <w:rFonts w:asciiTheme="majorBidi" w:eastAsia="Times New Roman" w:hAnsiTheme="majorBidi" w:cstheme="majorBidi"/>
          <w:sz w:val="24"/>
          <w:szCs w:val="24"/>
        </w:rPr>
        <w:t>, V. (2018). Quality of city life multiple criteria analysis. </w:t>
      </w:r>
      <w:r w:rsidRPr="009B2C6D">
        <w:rPr>
          <w:rFonts w:asciiTheme="majorBidi" w:eastAsia="Times New Roman" w:hAnsiTheme="majorBidi" w:cstheme="majorBidi"/>
          <w:i/>
          <w:iCs/>
          <w:sz w:val="24"/>
          <w:szCs w:val="24"/>
          <w:bdr w:val="single" w:sz="2" w:space="0" w:color="ECEDEE" w:frame="1"/>
        </w:rPr>
        <w:t>Cities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72</w:t>
      </w:r>
      <w:r w:rsidRPr="009B2C6D">
        <w:rPr>
          <w:rFonts w:asciiTheme="majorBidi" w:eastAsia="Times New Roman" w:hAnsiTheme="majorBidi" w:cstheme="majorBidi"/>
          <w:sz w:val="24"/>
          <w:szCs w:val="24"/>
        </w:rPr>
        <w:t>, 82–93. </w:t>
      </w:r>
      <w:hyperlink r:id="rId33" w:history="1">
        <w:r w:rsidR="00C94042" w:rsidRPr="00400C5C">
          <w:rPr>
            <w:rStyle w:val="Hyperlink"/>
            <w:rFonts w:asciiTheme="majorBidi" w:eastAsia="Times New Roman" w:hAnsiTheme="majorBidi" w:cstheme="majorBidi"/>
            <w:sz w:val="24"/>
            <w:szCs w:val="24"/>
            <w:bdr w:val="single" w:sz="2" w:space="0" w:color="ECEDEE" w:frame="1"/>
          </w:rPr>
          <w:t>https://doi.org/10.1016/j.cities.2017.08.002</w:t>
        </w:r>
      </w:hyperlink>
    </w:p>
    <w:p w14:paraId="383003FC"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Kitchin</w:t>
      </w:r>
      <w:proofErr w:type="spellEnd"/>
      <w:r w:rsidRPr="009B2C6D">
        <w:rPr>
          <w:rFonts w:asciiTheme="majorBidi" w:eastAsia="Times New Roman" w:hAnsiTheme="majorBidi" w:cstheme="majorBidi"/>
          <w:sz w:val="24"/>
          <w:szCs w:val="24"/>
        </w:rPr>
        <w:t xml:space="preserve">, R., </w:t>
      </w:r>
      <w:proofErr w:type="spellStart"/>
      <w:r w:rsidRPr="009B2C6D">
        <w:rPr>
          <w:rFonts w:asciiTheme="majorBidi" w:eastAsia="Times New Roman" w:hAnsiTheme="majorBidi" w:cstheme="majorBidi"/>
          <w:sz w:val="24"/>
          <w:szCs w:val="24"/>
        </w:rPr>
        <w:t>Lauriault</w:t>
      </w:r>
      <w:proofErr w:type="spellEnd"/>
      <w:r w:rsidRPr="009B2C6D">
        <w:rPr>
          <w:rFonts w:asciiTheme="majorBidi" w:eastAsia="Times New Roman" w:hAnsiTheme="majorBidi" w:cstheme="majorBidi"/>
          <w:sz w:val="24"/>
          <w:szCs w:val="24"/>
        </w:rPr>
        <w:t xml:space="preserve">, T. P., &amp; </w:t>
      </w:r>
      <w:proofErr w:type="spellStart"/>
      <w:r w:rsidRPr="009B2C6D">
        <w:rPr>
          <w:rFonts w:asciiTheme="majorBidi" w:eastAsia="Times New Roman" w:hAnsiTheme="majorBidi" w:cstheme="majorBidi"/>
          <w:sz w:val="24"/>
          <w:szCs w:val="24"/>
        </w:rPr>
        <w:t>McArdle</w:t>
      </w:r>
      <w:proofErr w:type="spellEnd"/>
      <w:r w:rsidRPr="009B2C6D">
        <w:rPr>
          <w:rFonts w:asciiTheme="majorBidi" w:eastAsia="Times New Roman" w:hAnsiTheme="majorBidi" w:cstheme="majorBidi"/>
          <w:sz w:val="24"/>
          <w:szCs w:val="24"/>
        </w:rPr>
        <w:t>, G. (2015c). Knowing and governing cities through urban indicators, city benchmarking and real-time dashboards. </w:t>
      </w:r>
      <w:r w:rsidRPr="009B2C6D">
        <w:rPr>
          <w:rFonts w:asciiTheme="majorBidi" w:eastAsia="Times New Roman" w:hAnsiTheme="majorBidi" w:cstheme="majorBidi"/>
          <w:i/>
          <w:iCs/>
          <w:sz w:val="24"/>
          <w:szCs w:val="24"/>
          <w:bdr w:val="single" w:sz="2" w:space="0" w:color="ECEDEE" w:frame="1"/>
        </w:rPr>
        <w:t>Regional Studies, Regional Science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2</w:t>
      </w:r>
      <w:r w:rsidRPr="009B2C6D">
        <w:rPr>
          <w:rFonts w:asciiTheme="majorBidi" w:eastAsia="Times New Roman" w:hAnsiTheme="majorBidi" w:cstheme="majorBidi"/>
          <w:sz w:val="24"/>
          <w:szCs w:val="24"/>
        </w:rPr>
        <w:t>(1), 6–28. </w:t>
      </w:r>
      <w:hyperlink r:id="rId34" w:history="1">
        <w:r w:rsidR="00C94042" w:rsidRPr="00400C5C">
          <w:rPr>
            <w:rStyle w:val="Hyperlink"/>
            <w:rFonts w:asciiTheme="majorBidi" w:eastAsia="Times New Roman" w:hAnsiTheme="majorBidi" w:cstheme="majorBidi"/>
            <w:sz w:val="24"/>
            <w:szCs w:val="24"/>
            <w:bdr w:val="single" w:sz="2" w:space="0" w:color="ECEDEE" w:frame="1"/>
          </w:rPr>
          <w:t>https://doi.org/10.1080/21681376.2014.983149</w:t>
        </w:r>
      </w:hyperlink>
    </w:p>
    <w:p w14:paraId="251599A3"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Kornberger</w:t>
      </w:r>
      <w:proofErr w:type="spellEnd"/>
      <w:r w:rsidRPr="009B2C6D">
        <w:rPr>
          <w:rFonts w:asciiTheme="majorBidi" w:eastAsia="Times New Roman" w:hAnsiTheme="majorBidi" w:cstheme="majorBidi"/>
          <w:sz w:val="24"/>
          <w:szCs w:val="24"/>
        </w:rPr>
        <w:t>, M., &amp; Carter, C. (2010). Manufacturing competition: how accounting practices shape strategy making in cities. </w:t>
      </w:r>
      <w:r w:rsidRPr="009B2C6D">
        <w:rPr>
          <w:rFonts w:asciiTheme="majorBidi" w:eastAsia="Times New Roman" w:hAnsiTheme="majorBidi" w:cstheme="majorBidi"/>
          <w:i/>
          <w:iCs/>
          <w:sz w:val="24"/>
          <w:szCs w:val="24"/>
          <w:bdr w:val="single" w:sz="2" w:space="0" w:color="ECEDEE" w:frame="1"/>
        </w:rPr>
        <w:t>Accounting, Auditing &amp; Accountability</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23</w:t>
      </w:r>
      <w:r w:rsidRPr="009B2C6D">
        <w:rPr>
          <w:rFonts w:asciiTheme="majorBidi" w:eastAsia="Times New Roman" w:hAnsiTheme="majorBidi" w:cstheme="majorBidi"/>
          <w:sz w:val="24"/>
          <w:szCs w:val="24"/>
        </w:rPr>
        <w:t>(3), 325–349. </w:t>
      </w:r>
      <w:hyperlink r:id="rId35" w:history="1">
        <w:r w:rsidR="00C94042" w:rsidRPr="00400C5C">
          <w:rPr>
            <w:rStyle w:val="Hyperlink"/>
            <w:rFonts w:asciiTheme="majorBidi" w:eastAsia="Times New Roman" w:hAnsiTheme="majorBidi" w:cstheme="majorBidi"/>
            <w:sz w:val="24"/>
            <w:szCs w:val="24"/>
            <w:bdr w:val="single" w:sz="2" w:space="0" w:color="ECEDEE" w:frame="1"/>
          </w:rPr>
          <w:t>https://doi.org/10.1108/09513571011034325</w:t>
        </w:r>
      </w:hyperlink>
    </w:p>
    <w:p w14:paraId="48B3D9CE"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McArthur, J., &amp; Robin, E. (2019b). Victims of their own (definition of) success: Urban discourse and expert knowledge production in the </w:t>
      </w:r>
      <w:proofErr w:type="spellStart"/>
      <w:r w:rsidRPr="009B2C6D">
        <w:rPr>
          <w:rFonts w:asciiTheme="majorBidi" w:eastAsia="Times New Roman" w:hAnsiTheme="majorBidi" w:cstheme="majorBidi"/>
          <w:sz w:val="24"/>
          <w:szCs w:val="24"/>
        </w:rPr>
        <w:t>Liveable</w:t>
      </w:r>
      <w:proofErr w:type="spellEnd"/>
      <w:r w:rsidRPr="009B2C6D">
        <w:rPr>
          <w:rFonts w:asciiTheme="majorBidi" w:eastAsia="Times New Roman" w:hAnsiTheme="majorBidi" w:cstheme="majorBidi"/>
          <w:sz w:val="24"/>
          <w:szCs w:val="24"/>
        </w:rPr>
        <w:t xml:space="preserve"> City. </w:t>
      </w:r>
      <w:r w:rsidRPr="009B2C6D">
        <w:rPr>
          <w:rFonts w:asciiTheme="majorBidi" w:eastAsia="Times New Roman" w:hAnsiTheme="majorBidi" w:cstheme="majorBidi"/>
          <w:i/>
          <w:iCs/>
          <w:sz w:val="24"/>
          <w:szCs w:val="24"/>
          <w:bdr w:val="single" w:sz="2" w:space="0" w:color="ECEDEE" w:frame="1"/>
        </w:rPr>
        <w:t>Urban Studies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56</w:t>
      </w:r>
      <w:r w:rsidRPr="009B2C6D">
        <w:rPr>
          <w:rFonts w:asciiTheme="majorBidi" w:eastAsia="Times New Roman" w:hAnsiTheme="majorBidi" w:cstheme="majorBidi"/>
          <w:sz w:val="24"/>
          <w:szCs w:val="24"/>
        </w:rPr>
        <w:t>(9), 1711–1728. </w:t>
      </w:r>
      <w:hyperlink r:id="rId36" w:history="1">
        <w:r w:rsidR="00C94042" w:rsidRPr="00400C5C">
          <w:rPr>
            <w:rStyle w:val="Hyperlink"/>
            <w:rFonts w:asciiTheme="majorBidi" w:eastAsia="Times New Roman" w:hAnsiTheme="majorBidi" w:cstheme="majorBidi"/>
            <w:sz w:val="24"/>
            <w:szCs w:val="24"/>
            <w:bdr w:val="single" w:sz="2" w:space="0" w:color="ECEDEE" w:frame="1"/>
          </w:rPr>
          <w:t>https://doi.org/10.1177/0042098018804759</w:t>
        </w:r>
      </w:hyperlink>
    </w:p>
    <w:p w14:paraId="36B79AA3"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Meijering</w:t>
      </w:r>
      <w:proofErr w:type="spellEnd"/>
      <w:r w:rsidRPr="009B2C6D">
        <w:rPr>
          <w:rFonts w:asciiTheme="majorBidi" w:eastAsia="Times New Roman" w:hAnsiTheme="majorBidi" w:cstheme="majorBidi"/>
          <w:sz w:val="24"/>
          <w:szCs w:val="24"/>
        </w:rPr>
        <w:t>, J., Kern, K., &amp; Tobi, H. (2014c). Identifying the methodological characteristics of European green city rankings. </w:t>
      </w:r>
      <w:r w:rsidRPr="009B2C6D">
        <w:rPr>
          <w:rFonts w:asciiTheme="majorBidi" w:eastAsia="Times New Roman" w:hAnsiTheme="majorBidi" w:cstheme="majorBidi"/>
          <w:i/>
          <w:iCs/>
          <w:sz w:val="24"/>
          <w:szCs w:val="24"/>
          <w:bdr w:val="single" w:sz="2" w:space="0" w:color="ECEDEE" w:frame="1"/>
        </w:rPr>
        <w:t>Ecological Indicators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43</w:t>
      </w:r>
      <w:r w:rsidRPr="009B2C6D">
        <w:rPr>
          <w:rFonts w:asciiTheme="majorBidi" w:eastAsia="Times New Roman" w:hAnsiTheme="majorBidi" w:cstheme="majorBidi"/>
          <w:sz w:val="24"/>
          <w:szCs w:val="24"/>
        </w:rPr>
        <w:t>, 132–142. </w:t>
      </w:r>
      <w:hyperlink r:id="rId37" w:history="1">
        <w:r w:rsidR="00C94042" w:rsidRPr="00400C5C">
          <w:rPr>
            <w:rStyle w:val="Hyperlink"/>
            <w:rFonts w:asciiTheme="majorBidi" w:eastAsia="Times New Roman" w:hAnsiTheme="majorBidi" w:cstheme="majorBidi"/>
            <w:sz w:val="24"/>
            <w:szCs w:val="24"/>
            <w:bdr w:val="single" w:sz="2" w:space="0" w:color="ECEDEE" w:frame="1"/>
          </w:rPr>
          <w:t>https://doi.org/10.1016/j.ecolind.2014.02.026</w:t>
        </w:r>
      </w:hyperlink>
    </w:p>
    <w:p w14:paraId="3CB44126"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lastRenderedPageBreak/>
        <w:t>Meijering</w:t>
      </w:r>
      <w:proofErr w:type="spellEnd"/>
      <w:r w:rsidRPr="009B2C6D">
        <w:rPr>
          <w:rFonts w:asciiTheme="majorBidi" w:eastAsia="Times New Roman" w:hAnsiTheme="majorBidi" w:cstheme="majorBidi"/>
          <w:sz w:val="24"/>
          <w:szCs w:val="24"/>
        </w:rPr>
        <w:t>, J., Tobi, H., &amp; Kern, K. (2018). Defining and measuring urban sustainability in Europe: A Delphi study on identifying its most relevant components. </w:t>
      </w:r>
      <w:r w:rsidRPr="009B2C6D">
        <w:rPr>
          <w:rFonts w:asciiTheme="majorBidi" w:eastAsia="Times New Roman" w:hAnsiTheme="majorBidi" w:cstheme="majorBidi"/>
          <w:i/>
          <w:iCs/>
          <w:sz w:val="24"/>
          <w:szCs w:val="24"/>
          <w:bdr w:val="single" w:sz="2" w:space="0" w:color="ECEDEE" w:frame="1"/>
        </w:rPr>
        <w:t>Ecological Indicators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90</w:t>
      </w:r>
      <w:r w:rsidRPr="009B2C6D">
        <w:rPr>
          <w:rFonts w:asciiTheme="majorBidi" w:eastAsia="Times New Roman" w:hAnsiTheme="majorBidi" w:cstheme="majorBidi"/>
          <w:sz w:val="24"/>
          <w:szCs w:val="24"/>
        </w:rPr>
        <w:t>, 38–46. </w:t>
      </w:r>
      <w:hyperlink r:id="rId38" w:history="1">
        <w:r w:rsidR="00C94042" w:rsidRPr="00400C5C">
          <w:rPr>
            <w:rStyle w:val="Hyperlink"/>
            <w:rFonts w:asciiTheme="majorBidi" w:eastAsia="Times New Roman" w:hAnsiTheme="majorBidi" w:cstheme="majorBidi"/>
            <w:sz w:val="24"/>
            <w:szCs w:val="24"/>
            <w:bdr w:val="single" w:sz="2" w:space="0" w:color="ECEDEE" w:frame="1"/>
          </w:rPr>
          <w:t>https://doi.org/10.1016/j.ecolind.2018.02.055</w:t>
        </w:r>
      </w:hyperlink>
    </w:p>
    <w:p w14:paraId="6A3411CA"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Naghizadeh</w:t>
      </w:r>
      <w:proofErr w:type="spellEnd"/>
      <w:r w:rsidRPr="009B2C6D">
        <w:rPr>
          <w:rFonts w:asciiTheme="majorBidi" w:eastAsia="Times New Roman" w:hAnsiTheme="majorBidi" w:cstheme="majorBidi"/>
          <w:sz w:val="24"/>
          <w:szCs w:val="24"/>
        </w:rPr>
        <w:t>, M. (2014). Pattern, Basics, Pillars, Attributes and Principles of Islamic City. CIAUJ 2015; 1 (1) :63-80.</w:t>
      </w:r>
    </w:p>
    <w:p w14:paraId="6A9B5B0E"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Noori</w:t>
      </w:r>
      <w:proofErr w:type="spellEnd"/>
      <w:r w:rsidRPr="009B2C6D">
        <w:rPr>
          <w:rFonts w:asciiTheme="majorBidi" w:eastAsia="Times New Roman" w:hAnsiTheme="majorBidi" w:cstheme="majorBidi"/>
          <w:sz w:val="24"/>
          <w:szCs w:val="24"/>
        </w:rPr>
        <w:t>, N., De Jong, M., &amp; Hoppe, T. (2020b). Towards an integrated framework to measure smart city readiness: the case of Iranian cities. </w:t>
      </w:r>
      <w:r w:rsidRPr="009B2C6D">
        <w:rPr>
          <w:rFonts w:asciiTheme="majorBidi" w:eastAsia="Times New Roman" w:hAnsiTheme="majorBidi" w:cstheme="majorBidi"/>
          <w:i/>
          <w:iCs/>
          <w:sz w:val="24"/>
          <w:szCs w:val="24"/>
          <w:bdr w:val="single" w:sz="2" w:space="0" w:color="ECEDEE" w:frame="1"/>
        </w:rPr>
        <w:t>Smart Cities</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3</w:t>
      </w:r>
      <w:r w:rsidRPr="009B2C6D">
        <w:rPr>
          <w:rFonts w:asciiTheme="majorBidi" w:eastAsia="Times New Roman" w:hAnsiTheme="majorBidi" w:cstheme="majorBidi"/>
          <w:sz w:val="24"/>
          <w:szCs w:val="24"/>
        </w:rPr>
        <w:t>(3), 676–704. </w:t>
      </w:r>
      <w:hyperlink r:id="rId39" w:history="1">
        <w:r w:rsidR="00C94042" w:rsidRPr="00400C5C">
          <w:rPr>
            <w:rStyle w:val="Hyperlink"/>
            <w:rFonts w:asciiTheme="majorBidi" w:eastAsia="Times New Roman" w:hAnsiTheme="majorBidi" w:cstheme="majorBidi"/>
            <w:sz w:val="24"/>
            <w:szCs w:val="24"/>
            <w:bdr w:val="single" w:sz="2" w:space="0" w:color="ECEDEE" w:frame="1"/>
          </w:rPr>
          <w:t>https://doi.org/10.3390/smartcities3030035</w:t>
        </w:r>
      </w:hyperlink>
    </w:p>
    <w:p w14:paraId="65011EC5"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Omer, S. (2012). </w:t>
      </w:r>
      <w:r w:rsidR="00C94042" w:rsidRPr="009B2C6D">
        <w:rPr>
          <w:rFonts w:asciiTheme="majorBidi" w:eastAsia="Times New Roman" w:hAnsiTheme="majorBidi" w:cstheme="majorBidi"/>
          <w:sz w:val="24"/>
          <w:szCs w:val="24"/>
        </w:rPr>
        <w:t>The Concepts of God, Man, and the Environment in Islam: Implications for Islamic Architecture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Journal of Islamic Architecture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2</w:t>
      </w:r>
      <w:r w:rsidRPr="009B2C6D">
        <w:rPr>
          <w:rFonts w:asciiTheme="majorBidi" w:eastAsia="Times New Roman" w:hAnsiTheme="majorBidi" w:cstheme="majorBidi"/>
          <w:sz w:val="24"/>
          <w:szCs w:val="24"/>
        </w:rPr>
        <w:t>(1). </w:t>
      </w:r>
      <w:hyperlink r:id="rId40" w:history="1">
        <w:r w:rsidR="00C94042" w:rsidRPr="00400C5C">
          <w:rPr>
            <w:rStyle w:val="Hyperlink"/>
            <w:rFonts w:asciiTheme="majorBidi" w:eastAsia="Times New Roman" w:hAnsiTheme="majorBidi" w:cstheme="majorBidi"/>
            <w:sz w:val="24"/>
            <w:szCs w:val="24"/>
            <w:bdr w:val="single" w:sz="2" w:space="0" w:color="ECEDEE" w:frame="1"/>
          </w:rPr>
          <w:t>https://doi.org/10.18860/jia.v2i1.1778</w:t>
        </w:r>
      </w:hyperlink>
    </w:p>
    <w:p w14:paraId="770660FA"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Pinheiro</w:t>
      </w:r>
      <w:proofErr w:type="spellEnd"/>
      <w:r w:rsidRPr="009B2C6D">
        <w:rPr>
          <w:rFonts w:asciiTheme="majorBidi" w:eastAsia="Times New Roman" w:hAnsiTheme="majorBidi" w:cstheme="majorBidi"/>
          <w:sz w:val="24"/>
          <w:szCs w:val="24"/>
        </w:rPr>
        <w:t xml:space="preserve">, F. A., </w:t>
      </w:r>
      <w:proofErr w:type="spellStart"/>
      <w:r w:rsidRPr="009B2C6D">
        <w:rPr>
          <w:rFonts w:asciiTheme="majorBidi" w:eastAsia="Times New Roman" w:hAnsiTheme="majorBidi" w:cstheme="majorBidi"/>
          <w:sz w:val="24"/>
          <w:szCs w:val="24"/>
        </w:rPr>
        <w:t>Diogo</w:t>
      </w:r>
      <w:proofErr w:type="spellEnd"/>
      <w:r w:rsidRPr="009B2C6D">
        <w:rPr>
          <w:rFonts w:asciiTheme="majorBidi" w:eastAsia="Times New Roman" w:hAnsiTheme="majorBidi" w:cstheme="majorBidi"/>
          <w:sz w:val="24"/>
          <w:szCs w:val="24"/>
        </w:rPr>
        <w:t xml:space="preserve">, M. T., </w:t>
      </w:r>
      <w:proofErr w:type="spellStart"/>
      <w:r w:rsidRPr="009B2C6D">
        <w:rPr>
          <w:rFonts w:asciiTheme="majorBidi" w:eastAsia="Times New Roman" w:hAnsiTheme="majorBidi" w:cstheme="majorBidi"/>
          <w:sz w:val="24"/>
          <w:szCs w:val="24"/>
        </w:rPr>
        <w:t>Paúl</w:t>
      </w:r>
      <w:proofErr w:type="spellEnd"/>
      <w:r w:rsidRPr="009B2C6D">
        <w:rPr>
          <w:rFonts w:asciiTheme="majorBidi" w:eastAsia="Times New Roman" w:hAnsiTheme="majorBidi" w:cstheme="majorBidi"/>
          <w:sz w:val="24"/>
          <w:szCs w:val="24"/>
        </w:rPr>
        <w:t xml:space="preserve">, C., &amp; De Souza </w:t>
      </w:r>
      <w:proofErr w:type="spellStart"/>
      <w:r w:rsidRPr="009B2C6D">
        <w:rPr>
          <w:rFonts w:asciiTheme="majorBidi" w:eastAsia="Times New Roman" w:hAnsiTheme="majorBidi" w:cstheme="majorBidi"/>
          <w:sz w:val="24"/>
          <w:szCs w:val="24"/>
        </w:rPr>
        <w:t>Góis</w:t>
      </w:r>
      <w:proofErr w:type="spellEnd"/>
      <w:r w:rsidRPr="009B2C6D">
        <w:rPr>
          <w:rFonts w:asciiTheme="majorBidi" w:eastAsia="Times New Roman" w:hAnsiTheme="majorBidi" w:cstheme="majorBidi"/>
          <w:sz w:val="24"/>
          <w:szCs w:val="24"/>
        </w:rPr>
        <w:t xml:space="preserve">, J. E. (2018). Age-Friendly Cities Performance Assessment Indicators System </w:t>
      </w:r>
      <w:proofErr w:type="spellStart"/>
      <w:r w:rsidRPr="009B2C6D">
        <w:rPr>
          <w:rFonts w:asciiTheme="majorBidi" w:eastAsia="Times New Roman" w:hAnsiTheme="majorBidi" w:cstheme="majorBidi"/>
          <w:sz w:val="24"/>
          <w:szCs w:val="24"/>
        </w:rPr>
        <w:t>hierarchization</w:t>
      </w:r>
      <w:proofErr w:type="spellEnd"/>
      <w:r w:rsidRPr="009B2C6D">
        <w:rPr>
          <w:rFonts w:asciiTheme="majorBidi" w:eastAsia="Times New Roman" w:hAnsiTheme="majorBidi" w:cstheme="majorBidi"/>
          <w:sz w:val="24"/>
          <w:szCs w:val="24"/>
        </w:rPr>
        <w:t>. </w:t>
      </w:r>
      <w:proofErr w:type="spellStart"/>
      <w:r w:rsidRPr="009B2C6D">
        <w:rPr>
          <w:rFonts w:asciiTheme="majorBidi" w:eastAsia="Times New Roman" w:hAnsiTheme="majorBidi" w:cstheme="majorBidi"/>
          <w:i/>
          <w:iCs/>
          <w:sz w:val="24"/>
          <w:szCs w:val="24"/>
          <w:bdr w:val="single" w:sz="2" w:space="0" w:color="ECEDEE" w:frame="1"/>
        </w:rPr>
        <w:t>Revista</w:t>
      </w:r>
      <w:proofErr w:type="spellEnd"/>
      <w:r w:rsidRPr="009B2C6D">
        <w:rPr>
          <w:rFonts w:asciiTheme="majorBidi" w:eastAsia="Times New Roman" w:hAnsiTheme="majorBidi" w:cstheme="majorBidi"/>
          <w:i/>
          <w:iCs/>
          <w:sz w:val="24"/>
          <w:szCs w:val="24"/>
          <w:bdr w:val="single" w:sz="2" w:space="0" w:color="ECEDEE" w:frame="1"/>
        </w:rPr>
        <w:t xml:space="preserve"> </w:t>
      </w:r>
      <w:proofErr w:type="spellStart"/>
      <w:r w:rsidRPr="009B2C6D">
        <w:rPr>
          <w:rFonts w:asciiTheme="majorBidi" w:eastAsia="Times New Roman" w:hAnsiTheme="majorBidi" w:cstheme="majorBidi"/>
          <w:i/>
          <w:iCs/>
          <w:sz w:val="24"/>
          <w:szCs w:val="24"/>
          <w:bdr w:val="single" w:sz="2" w:space="0" w:color="ECEDEE" w:frame="1"/>
        </w:rPr>
        <w:t>Kairós</w:t>
      </w:r>
      <w:proofErr w:type="spellEnd"/>
      <w:r w:rsidRPr="009B2C6D">
        <w:rPr>
          <w:rFonts w:asciiTheme="majorBidi" w:eastAsia="Times New Roman" w:hAnsiTheme="majorBidi" w:cstheme="majorBidi"/>
          <w:sz w:val="24"/>
          <w:szCs w:val="24"/>
        </w:rPr>
        <w:t>. </w:t>
      </w:r>
      <w:hyperlink r:id="rId41" w:history="1">
        <w:r w:rsidR="00C94042" w:rsidRPr="00400C5C">
          <w:rPr>
            <w:rStyle w:val="Hyperlink"/>
            <w:rFonts w:asciiTheme="majorBidi" w:eastAsia="Times New Roman" w:hAnsiTheme="majorBidi" w:cstheme="majorBidi"/>
            <w:sz w:val="24"/>
            <w:szCs w:val="24"/>
            <w:bdr w:val="single" w:sz="2" w:space="0" w:color="ECEDEE" w:frame="1"/>
          </w:rPr>
          <w:t>https://doi.org/10.23925/2176-901x.2018v21i4p31-54</w:t>
        </w:r>
      </w:hyperlink>
    </w:p>
    <w:p w14:paraId="4AC348DC" w14:textId="77777777" w:rsidR="00BE4755" w:rsidRPr="00BE4755" w:rsidRDefault="009B2C6D" w:rsidP="00BE4755">
      <w:pPr>
        <w:pStyle w:val="ListParagraph"/>
        <w:numPr>
          <w:ilvl w:val="0"/>
          <w:numId w:val="2"/>
        </w:numPr>
        <w:bidi w:val="0"/>
        <w:spacing w:after="0" w:line="240" w:lineRule="auto"/>
        <w:ind w:left="360"/>
        <w:jc w:val="both"/>
        <w:rPr>
          <w:rStyle w:val="Hyperlink"/>
          <w:rFonts w:asciiTheme="majorBidi" w:eastAsia="Times New Roman" w:hAnsiTheme="majorBidi" w:cstheme="majorBidi"/>
          <w:color w:val="auto"/>
          <w:sz w:val="24"/>
          <w:szCs w:val="24"/>
          <w:u w:val="none"/>
        </w:rPr>
      </w:pPr>
      <w:r w:rsidRPr="009B2C6D">
        <w:rPr>
          <w:rFonts w:asciiTheme="majorBidi" w:eastAsia="Times New Roman" w:hAnsiTheme="majorBidi" w:cstheme="majorBidi"/>
          <w:sz w:val="24"/>
          <w:szCs w:val="24"/>
        </w:rPr>
        <w:t>Portugal, A. C. (2019c). The role of city rankings in local public policy design: Urban competitiveness and economic press. </w:t>
      </w:r>
      <w:r w:rsidRPr="009B2C6D">
        <w:rPr>
          <w:rFonts w:asciiTheme="majorBidi" w:eastAsia="Times New Roman" w:hAnsiTheme="majorBidi" w:cstheme="majorBidi"/>
          <w:i/>
          <w:iCs/>
          <w:sz w:val="24"/>
          <w:szCs w:val="24"/>
          <w:bdr w:val="single" w:sz="2" w:space="0" w:color="ECEDEE" w:frame="1"/>
        </w:rPr>
        <w:t>Global Media and China</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4</w:t>
      </w:r>
      <w:r w:rsidRPr="009B2C6D">
        <w:rPr>
          <w:rFonts w:asciiTheme="majorBidi" w:eastAsia="Times New Roman" w:hAnsiTheme="majorBidi" w:cstheme="majorBidi"/>
          <w:sz w:val="24"/>
          <w:szCs w:val="24"/>
        </w:rPr>
        <w:t>(2), 162–178. </w:t>
      </w:r>
      <w:r w:rsidR="00BE4755" w:rsidRPr="00BE4755">
        <w:rPr>
          <w:rFonts w:asciiTheme="majorBidi" w:eastAsia="Times New Roman" w:hAnsiTheme="majorBidi" w:cstheme="majorBidi"/>
          <w:sz w:val="24"/>
          <w:szCs w:val="24"/>
          <w:bdr w:val="single" w:sz="2" w:space="0" w:color="ECEDEE" w:frame="1"/>
        </w:rPr>
        <w:t>https://doi.org/10.1177/2059436419853892</w:t>
      </w:r>
    </w:p>
    <w:p w14:paraId="40CF0B72" w14:textId="77777777" w:rsidR="00BE4755" w:rsidRPr="00BE4755" w:rsidRDefault="00BE4755" w:rsidP="00BE4755">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Rafieian</w:t>
      </w:r>
      <w:proofErr w:type="spellEnd"/>
      <w:r>
        <w:rPr>
          <w:rFonts w:asciiTheme="majorBidi" w:eastAsia="Times New Roman" w:hAnsiTheme="majorBidi" w:cstheme="majorBidi"/>
          <w:sz w:val="24"/>
          <w:szCs w:val="24"/>
        </w:rPr>
        <w:t>, M.</w:t>
      </w:r>
      <w:r w:rsidRPr="00BE4755">
        <w:rPr>
          <w:rFonts w:asciiTheme="majorBidi" w:eastAsia="Times New Roman" w:hAnsiTheme="majorBidi" w:cstheme="majorBidi"/>
          <w:sz w:val="24"/>
          <w:szCs w:val="24"/>
        </w:rPr>
        <w:t xml:space="preserve">, Shams, F. and </w:t>
      </w:r>
      <w:proofErr w:type="spellStart"/>
      <w:r w:rsidRPr="00BE4755">
        <w:rPr>
          <w:rFonts w:asciiTheme="majorBidi" w:eastAsia="Times New Roman" w:hAnsiTheme="majorBidi" w:cstheme="majorBidi"/>
          <w:sz w:val="24"/>
          <w:szCs w:val="24"/>
        </w:rPr>
        <w:t>Mashayekhi</w:t>
      </w:r>
      <w:proofErr w:type="spellEnd"/>
      <w:r w:rsidRPr="00BE4755">
        <w:rPr>
          <w:rFonts w:asciiTheme="majorBidi" w:eastAsia="Times New Roman" w:hAnsiTheme="majorBidi" w:cstheme="majorBidi"/>
          <w:sz w:val="24"/>
          <w:szCs w:val="24"/>
        </w:rPr>
        <w:t xml:space="preserve">, A. (2023). Compilation of Theoretical Framework of Urban Ranking on a National Scale with Islamic Approach. Urban Strategic Thought, 1(2), 29-41. </w:t>
      </w:r>
      <w:hyperlink r:id="rId42" w:history="1">
        <w:r w:rsidRPr="00BE4755">
          <w:rPr>
            <w:rStyle w:val="Hyperlink"/>
            <w:rFonts w:asciiTheme="majorBidi" w:eastAsia="Times New Roman" w:hAnsiTheme="majorBidi" w:cstheme="majorBidi"/>
            <w:sz w:val="24"/>
            <w:szCs w:val="24"/>
          </w:rPr>
          <w:t>https://doi:10.30479/ust.2023.18828.1122</w:t>
        </w:r>
      </w:hyperlink>
    </w:p>
    <w:p w14:paraId="61F6E0FD" w14:textId="77777777" w:rsidR="009B2C6D" w:rsidRPr="009B2C6D" w:rsidRDefault="009B2C6D" w:rsidP="004A7F3E">
      <w:pPr>
        <w:pStyle w:val="ListParagraph"/>
        <w:numPr>
          <w:ilvl w:val="0"/>
          <w:numId w:val="2"/>
        </w:numPr>
        <w:bidi w:val="0"/>
        <w:spacing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Rashtbar</w:t>
      </w:r>
      <w:proofErr w:type="spellEnd"/>
      <w:r w:rsidRPr="009B2C6D">
        <w:rPr>
          <w:rFonts w:asciiTheme="majorBidi" w:eastAsia="Times New Roman" w:hAnsiTheme="majorBidi" w:cstheme="majorBidi"/>
          <w:sz w:val="24"/>
          <w:szCs w:val="24"/>
        </w:rPr>
        <w:t xml:space="preserve">, H. </w:t>
      </w:r>
      <w:proofErr w:type="spellStart"/>
      <w:r w:rsidRPr="009B2C6D">
        <w:rPr>
          <w:rFonts w:asciiTheme="majorBidi" w:eastAsia="Times New Roman" w:hAnsiTheme="majorBidi" w:cstheme="majorBidi"/>
          <w:sz w:val="24"/>
          <w:szCs w:val="24"/>
        </w:rPr>
        <w:t>Nazmfar</w:t>
      </w:r>
      <w:proofErr w:type="spellEnd"/>
      <w:r w:rsidRPr="009B2C6D">
        <w:rPr>
          <w:rFonts w:asciiTheme="majorBidi" w:eastAsia="Times New Roman" w:hAnsiTheme="majorBidi" w:cstheme="majorBidi"/>
          <w:sz w:val="24"/>
          <w:szCs w:val="24"/>
        </w:rPr>
        <w:t xml:space="preserve">, H. </w:t>
      </w:r>
      <w:proofErr w:type="spellStart"/>
      <w:r w:rsidRPr="009B2C6D">
        <w:rPr>
          <w:rFonts w:asciiTheme="majorBidi" w:eastAsia="Times New Roman" w:hAnsiTheme="majorBidi" w:cstheme="majorBidi"/>
          <w:sz w:val="24"/>
          <w:szCs w:val="24"/>
        </w:rPr>
        <w:t>Samadzadeh</w:t>
      </w:r>
      <w:proofErr w:type="spellEnd"/>
      <w:r w:rsidRPr="009B2C6D">
        <w:rPr>
          <w:rFonts w:asciiTheme="majorBidi" w:eastAsia="Times New Roman" w:hAnsiTheme="majorBidi" w:cstheme="majorBidi"/>
          <w:sz w:val="24"/>
          <w:szCs w:val="24"/>
        </w:rPr>
        <w:t xml:space="preserve">, R. (2019). Evaluating enjoyment of urban regions through innovative city indicators with emphasis on social and cultural indicators </w:t>
      </w:r>
      <w:proofErr w:type="gramStart"/>
      <w:r w:rsidRPr="009B2C6D">
        <w:rPr>
          <w:rFonts w:asciiTheme="majorBidi" w:eastAsia="Times New Roman" w:hAnsiTheme="majorBidi" w:cstheme="majorBidi"/>
          <w:sz w:val="24"/>
          <w:szCs w:val="24"/>
        </w:rPr>
        <w:t>( A</w:t>
      </w:r>
      <w:proofErr w:type="gramEnd"/>
      <w:r w:rsidRPr="009B2C6D">
        <w:rPr>
          <w:rFonts w:asciiTheme="majorBidi" w:eastAsia="Times New Roman" w:hAnsiTheme="majorBidi" w:cstheme="majorBidi"/>
          <w:sz w:val="24"/>
          <w:szCs w:val="24"/>
        </w:rPr>
        <w:t xml:space="preserve"> case study: Tabriz metropolis). Journal of Applied Engineering Sciences. 9(22). 109-114.</w:t>
      </w:r>
    </w:p>
    <w:p w14:paraId="57223C2D"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Ringel</w:t>
      </w:r>
      <w:proofErr w:type="spellEnd"/>
      <w:r w:rsidRPr="009B2C6D">
        <w:rPr>
          <w:rFonts w:asciiTheme="majorBidi" w:eastAsia="Times New Roman" w:hAnsiTheme="majorBidi" w:cstheme="majorBidi"/>
          <w:sz w:val="24"/>
          <w:szCs w:val="24"/>
        </w:rPr>
        <w:t xml:space="preserve">, L., </w:t>
      </w:r>
      <w:proofErr w:type="spellStart"/>
      <w:r w:rsidRPr="009B2C6D">
        <w:rPr>
          <w:rFonts w:asciiTheme="majorBidi" w:eastAsia="Times New Roman" w:hAnsiTheme="majorBidi" w:cstheme="majorBidi"/>
          <w:sz w:val="24"/>
          <w:szCs w:val="24"/>
        </w:rPr>
        <w:t>Branković</w:t>
      </w:r>
      <w:proofErr w:type="spellEnd"/>
      <w:r w:rsidRPr="009B2C6D">
        <w:rPr>
          <w:rFonts w:asciiTheme="majorBidi" w:eastAsia="Times New Roman" w:hAnsiTheme="majorBidi" w:cstheme="majorBidi"/>
          <w:sz w:val="24"/>
          <w:szCs w:val="24"/>
        </w:rPr>
        <w:t xml:space="preserve">, J., &amp; </w:t>
      </w:r>
      <w:proofErr w:type="spellStart"/>
      <w:r w:rsidRPr="009B2C6D">
        <w:rPr>
          <w:rFonts w:asciiTheme="majorBidi" w:eastAsia="Times New Roman" w:hAnsiTheme="majorBidi" w:cstheme="majorBidi"/>
          <w:sz w:val="24"/>
          <w:szCs w:val="24"/>
        </w:rPr>
        <w:t>Werron</w:t>
      </w:r>
      <w:proofErr w:type="spellEnd"/>
      <w:r w:rsidRPr="009B2C6D">
        <w:rPr>
          <w:rFonts w:asciiTheme="majorBidi" w:eastAsia="Times New Roman" w:hAnsiTheme="majorBidi" w:cstheme="majorBidi"/>
          <w:sz w:val="24"/>
          <w:szCs w:val="24"/>
        </w:rPr>
        <w:t>, T. (2020). The Organizational Engine of Rankings: Connecting “New” and “Old” institutionalism. </w:t>
      </w:r>
      <w:r w:rsidRPr="009B2C6D">
        <w:rPr>
          <w:rFonts w:asciiTheme="majorBidi" w:eastAsia="Times New Roman" w:hAnsiTheme="majorBidi" w:cstheme="majorBidi"/>
          <w:i/>
          <w:iCs/>
          <w:sz w:val="24"/>
          <w:szCs w:val="24"/>
          <w:bdr w:val="single" w:sz="2" w:space="0" w:color="ECEDEE" w:frame="1"/>
        </w:rPr>
        <w:t>Politics and Governance</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8</w:t>
      </w:r>
      <w:r w:rsidRPr="009B2C6D">
        <w:rPr>
          <w:rFonts w:asciiTheme="majorBidi" w:eastAsia="Times New Roman" w:hAnsiTheme="majorBidi" w:cstheme="majorBidi"/>
          <w:sz w:val="24"/>
          <w:szCs w:val="24"/>
        </w:rPr>
        <w:t>(2), 36–47. </w:t>
      </w:r>
      <w:hyperlink r:id="rId43" w:history="1">
        <w:r w:rsidR="00C94042" w:rsidRPr="00400C5C">
          <w:rPr>
            <w:rStyle w:val="Hyperlink"/>
            <w:rFonts w:asciiTheme="majorBidi" w:eastAsia="Times New Roman" w:hAnsiTheme="majorBidi" w:cstheme="majorBidi"/>
            <w:sz w:val="24"/>
            <w:szCs w:val="24"/>
            <w:bdr w:val="single" w:sz="2" w:space="0" w:color="ECEDEE" w:frame="1"/>
          </w:rPr>
          <w:t>https://doi.org/10.17645/pag.v8i2.2576</w:t>
        </w:r>
      </w:hyperlink>
    </w:p>
    <w:p w14:paraId="576B6443"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Sáez</w:t>
      </w:r>
      <w:proofErr w:type="spellEnd"/>
      <w:r w:rsidRPr="009B2C6D">
        <w:rPr>
          <w:rFonts w:asciiTheme="majorBidi" w:eastAsia="Times New Roman" w:hAnsiTheme="majorBidi" w:cstheme="majorBidi"/>
          <w:sz w:val="24"/>
          <w:szCs w:val="24"/>
        </w:rPr>
        <w:t xml:space="preserve">, L., </w:t>
      </w:r>
      <w:proofErr w:type="spellStart"/>
      <w:r w:rsidRPr="009B2C6D">
        <w:rPr>
          <w:rFonts w:asciiTheme="majorBidi" w:eastAsia="Times New Roman" w:hAnsiTheme="majorBidi" w:cstheme="majorBidi"/>
          <w:sz w:val="24"/>
          <w:szCs w:val="24"/>
        </w:rPr>
        <w:t>Saizarbitoria</w:t>
      </w:r>
      <w:proofErr w:type="spellEnd"/>
      <w:r w:rsidRPr="009B2C6D">
        <w:rPr>
          <w:rFonts w:asciiTheme="majorBidi" w:eastAsia="Times New Roman" w:hAnsiTheme="majorBidi" w:cstheme="majorBidi"/>
          <w:sz w:val="24"/>
          <w:szCs w:val="24"/>
        </w:rPr>
        <w:t>, I. H., &amp; Rodríguez-</w:t>
      </w:r>
      <w:proofErr w:type="spellStart"/>
      <w:r w:rsidRPr="009B2C6D">
        <w:rPr>
          <w:rFonts w:asciiTheme="majorBidi" w:eastAsia="Times New Roman" w:hAnsiTheme="majorBidi" w:cstheme="majorBidi"/>
          <w:sz w:val="24"/>
          <w:szCs w:val="24"/>
        </w:rPr>
        <w:t>Núñez</w:t>
      </w:r>
      <w:proofErr w:type="spellEnd"/>
      <w:r w:rsidRPr="009B2C6D">
        <w:rPr>
          <w:rFonts w:asciiTheme="majorBidi" w:eastAsia="Times New Roman" w:hAnsiTheme="majorBidi" w:cstheme="majorBidi"/>
          <w:sz w:val="24"/>
          <w:szCs w:val="24"/>
        </w:rPr>
        <w:t>, E. (2020d). Sustainable city rankings, benchmarking and indexes: Looking into the black box. </w:t>
      </w:r>
      <w:r w:rsidRPr="009B2C6D">
        <w:rPr>
          <w:rFonts w:asciiTheme="majorBidi" w:eastAsia="Times New Roman" w:hAnsiTheme="majorBidi" w:cstheme="majorBidi"/>
          <w:i/>
          <w:iCs/>
          <w:sz w:val="24"/>
          <w:szCs w:val="24"/>
          <w:bdr w:val="single" w:sz="2" w:space="0" w:color="ECEDEE" w:frame="1"/>
        </w:rPr>
        <w:t>Sustainable Cities and Society</w:t>
      </w:r>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53</w:t>
      </w:r>
      <w:r w:rsidRPr="009B2C6D">
        <w:rPr>
          <w:rFonts w:asciiTheme="majorBidi" w:eastAsia="Times New Roman" w:hAnsiTheme="majorBidi" w:cstheme="majorBidi"/>
          <w:sz w:val="24"/>
          <w:szCs w:val="24"/>
        </w:rPr>
        <w:t>, 101938. </w:t>
      </w:r>
      <w:hyperlink r:id="rId44" w:history="1">
        <w:r w:rsidRPr="009B2C6D">
          <w:rPr>
            <w:rStyle w:val="Hyperlink"/>
            <w:rFonts w:asciiTheme="majorBidi" w:eastAsia="Times New Roman" w:hAnsiTheme="majorBidi" w:cstheme="majorBidi"/>
            <w:sz w:val="24"/>
            <w:szCs w:val="24"/>
            <w:bdr w:val="single" w:sz="2" w:space="0" w:color="ECEDEE" w:frame="1"/>
          </w:rPr>
          <w:t>https://doi.org/10.1016/j.scs.2019.101938</w:t>
        </w:r>
      </w:hyperlink>
    </w:p>
    <w:p w14:paraId="4DF236FB" w14:textId="77777777" w:rsidR="009B2C6D" w:rsidRPr="009B2C6D" w:rsidRDefault="009B2C6D" w:rsidP="004A7F3E">
      <w:pPr>
        <w:pStyle w:val="ListParagraph"/>
        <w:numPr>
          <w:ilvl w:val="0"/>
          <w:numId w:val="2"/>
        </w:numPr>
        <w:bidi w:val="0"/>
        <w:spacing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Sarbangholi</w:t>
      </w:r>
      <w:proofErr w:type="spellEnd"/>
      <w:r w:rsidRPr="009B2C6D">
        <w:rPr>
          <w:rFonts w:asciiTheme="majorBidi" w:eastAsia="Times New Roman" w:hAnsiTheme="majorBidi" w:cstheme="majorBidi"/>
          <w:sz w:val="24"/>
          <w:szCs w:val="24"/>
        </w:rPr>
        <w:t xml:space="preserve">, S. S., &amp; </w:t>
      </w:r>
      <w:proofErr w:type="spellStart"/>
      <w:r w:rsidRPr="009B2C6D">
        <w:rPr>
          <w:rFonts w:asciiTheme="majorBidi" w:eastAsia="Times New Roman" w:hAnsiTheme="majorBidi" w:cstheme="majorBidi"/>
          <w:sz w:val="24"/>
          <w:szCs w:val="24"/>
        </w:rPr>
        <w:t>Pakdelfard</w:t>
      </w:r>
      <w:proofErr w:type="spellEnd"/>
      <w:r w:rsidRPr="009B2C6D">
        <w:rPr>
          <w:rFonts w:asciiTheme="majorBidi" w:eastAsia="Times New Roman" w:hAnsiTheme="majorBidi" w:cstheme="majorBidi"/>
          <w:sz w:val="24"/>
          <w:szCs w:val="24"/>
        </w:rPr>
        <w:t xml:space="preserve">, M. R. M. R. (2020). Understanding the concepts of Islamic wisdom and its effects on the formation of mosque architecture. Journal of Art and Architecture Studies, 9(2), 39–44. </w:t>
      </w:r>
      <w:hyperlink r:id="rId45" w:history="1">
        <w:r w:rsidRPr="009B2C6D">
          <w:rPr>
            <w:rStyle w:val="Hyperlink"/>
            <w:rFonts w:asciiTheme="majorBidi" w:eastAsia="Times New Roman" w:hAnsiTheme="majorBidi" w:cstheme="majorBidi"/>
            <w:sz w:val="24"/>
            <w:szCs w:val="24"/>
          </w:rPr>
          <w:t>https://doi.org/10.51148/jaas.2020.6</w:t>
        </w:r>
      </w:hyperlink>
    </w:p>
    <w:p w14:paraId="60341073" w14:textId="77777777" w:rsidR="009B2C6D" w:rsidRPr="00C94042"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proofErr w:type="spellStart"/>
      <w:r w:rsidRPr="009B2C6D">
        <w:rPr>
          <w:rFonts w:asciiTheme="majorBidi" w:eastAsia="Times New Roman" w:hAnsiTheme="majorBidi" w:cstheme="majorBidi"/>
          <w:sz w:val="24"/>
          <w:szCs w:val="24"/>
        </w:rPr>
        <w:t>Siraj</w:t>
      </w:r>
      <w:proofErr w:type="spellEnd"/>
      <w:r w:rsidRPr="009B2C6D">
        <w:rPr>
          <w:rFonts w:asciiTheme="majorBidi" w:eastAsia="Times New Roman" w:hAnsiTheme="majorBidi" w:cstheme="majorBidi"/>
          <w:sz w:val="24"/>
          <w:szCs w:val="24"/>
        </w:rPr>
        <w:t xml:space="preserve">, F. M., </w:t>
      </w:r>
      <w:proofErr w:type="spellStart"/>
      <w:r w:rsidRPr="009B2C6D">
        <w:rPr>
          <w:rFonts w:asciiTheme="majorBidi" w:eastAsia="Times New Roman" w:hAnsiTheme="majorBidi" w:cstheme="majorBidi"/>
          <w:sz w:val="24"/>
          <w:szCs w:val="24"/>
        </w:rPr>
        <w:t>Amril</w:t>
      </w:r>
      <w:proofErr w:type="spellEnd"/>
      <w:r w:rsidRPr="009B2C6D">
        <w:rPr>
          <w:rFonts w:asciiTheme="majorBidi" w:eastAsia="Times New Roman" w:hAnsiTheme="majorBidi" w:cstheme="majorBidi"/>
          <w:sz w:val="24"/>
          <w:szCs w:val="24"/>
        </w:rPr>
        <w:t xml:space="preserve">, A., &amp; </w:t>
      </w:r>
      <w:proofErr w:type="spellStart"/>
      <w:r w:rsidRPr="009B2C6D">
        <w:rPr>
          <w:rFonts w:asciiTheme="majorBidi" w:eastAsia="Times New Roman" w:hAnsiTheme="majorBidi" w:cstheme="majorBidi"/>
          <w:sz w:val="24"/>
          <w:szCs w:val="24"/>
        </w:rPr>
        <w:t>Putri</w:t>
      </w:r>
      <w:proofErr w:type="spellEnd"/>
      <w:r w:rsidRPr="009B2C6D">
        <w:rPr>
          <w:rFonts w:asciiTheme="majorBidi" w:eastAsia="Times New Roman" w:hAnsiTheme="majorBidi" w:cstheme="majorBidi"/>
          <w:sz w:val="24"/>
          <w:szCs w:val="24"/>
        </w:rPr>
        <w:t>, E. W. (2022). Between Western Philosophy and Islamic Philosophy. </w:t>
      </w:r>
      <w:proofErr w:type="spellStart"/>
      <w:r w:rsidRPr="009B2C6D">
        <w:rPr>
          <w:rFonts w:asciiTheme="majorBidi" w:eastAsia="Times New Roman" w:hAnsiTheme="majorBidi" w:cstheme="majorBidi"/>
          <w:i/>
          <w:iCs/>
          <w:sz w:val="24"/>
          <w:szCs w:val="24"/>
          <w:bdr w:val="single" w:sz="2" w:space="0" w:color="ECEDEE" w:frame="1"/>
        </w:rPr>
        <w:t>Ibda</w:t>
      </w:r>
      <w:proofErr w:type="spellEnd"/>
      <w:r w:rsidRPr="009B2C6D">
        <w:rPr>
          <w:rFonts w:asciiTheme="majorBidi" w:eastAsia="Times New Roman" w:hAnsiTheme="majorBidi" w:cstheme="majorBidi"/>
          <w:i/>
          <w:iCs/>
          <w:sz w:val="24"/>
          <w:szCs w:val="24"/>
          <w:bdr w:val="single" w:sz="2" w:space="0" w:color="ECEDEE" w:frame="1"/>
        </w:rPr>
        <w:t xml:space="preserve">’ : </w:t>
      </w:r>
      <w:proofErr w:type="spellStart"/>
      <w:r w:rsidRPr="009B2C6D">
        <w:rPr>
          <w:rFonts w:asciiTheme="majorBidi" w:eastAsia="Times New Roman" w:hAnsiTheme="majorBidi" w:cstheme="majorBidi"/>
          <w:i/>
          <w:iCs/>
          <w:sz w:val="24"/>
          <w:szCs w:val="24"/>
          <w:bdr w:val="single" w:sz="2" w:space="0" w:color="ECEDEE" w:frame="1"/>
        </w:rPr>
        <w:t>Jurnal</w:t>
      </w:r>
      <w:proofErr w:type="spellEnd"/>
      <w:r w:rsidRPr="009B2C6D">
        <w:rPr>
          <w:rFonts w:asciiTheme="majorBidi" w:eastAsia="Times New Roman" w:hAnsiTheme="majorBidi" w:cstheme="majorBidi"/>
          <w:i/>
          <w:iCs/>
          <w:sz w:val="24"/>
          <w:szCs w:val="24"/>
          <w:bdr w:val="single" w:sz="2" w:space="0" w:color="ECEDEE" w:frame="1"/>
        </w:rPr>
        <w:t xml:space="preserve"> </w:t>
      </w:r>
      <w:proofErr w:type="spellStart"/>
      <w:r w:rsidRPr="009B2C6D">
        <w:rPr>
          <w:rFonts w:asciiTheme="majorBidi" w:eastAsia="Times New Roman" w:hAnsiTheme="majorBidi" w:cstheme="majorBidi"/>
          <w:i/>
          <w:iCs/>
          <w:sz w:val="24"/>
          <w:szCs w:val="24"/>
          <w:bdr w:val="single" w:sz="2" w:space="0" w:color="ECEDEE" w:frame="1"/>
        </w:rPr>
        <w:t>Kajian</w:t>
      </w:r>
      <w:proofErr w:type="spellEnd"/>
      <w:r w:rsidRPr="009B2C6D">
        <w:rPr>
          <w:rFonts w:asciiTheme="majorBidi" w:eastAsia="Times New Roman" w:hAnsiTheme="majorBidi" w:cstheme="majorBidi"/>
          <w:i/>
          <w:iCs/>
          <w:sz w:val="24"/>
          <w:szCs w:val="24"/>
          <w:bdr w:val="single" w:sz="2" w:space="0" w:color="ECEDEE" w:frame="1"/>
        </w:rPr>
        <w:t xml:space="preserve"> Islam Dan </w:t>
      </w:r>
      <w:proofErr w:type="spellStart"/>
      <w:r w:rsidRPr="009B2C6D">
        <w:rPr>
          <w:rFonts w:asciiTheme="majorBidi" w:eastAsia="Times New Roman" w:hAnsiTheme="majorBidi" w:cstheme="majorBidi"/>
          <w:i/>
          <w:iCs/>
          <w:sz w:val="24"/>
          <w:szCs w:val="24"/>
          <w:bdr w:val="single" w:sz="2" w:space="0" w:color="ECEDEE" w:frame="1"/>
        </w:rPr>
        <w:t>Budaya</w:t>
      </w:r>
      <w:proofErr w:type="spellEnd"/>
      <w:r w:rsidRPr="009B2C6D">
        <w:rPr>
          <w:rFonts w:asciiTheme="majorBidi" w:eastAsia="Times New Roman" w:hAnsiTheme="majorBidi" w:cstheme="majorBidi"/>
          <w:sz w:val="24"/>
          <w:szCs w:val="24"/>
        </w:rPr>
        <w:t>, </w:t>
      </w:r>
      <w:r w:rsidRPr="009B2C6D">
        <w:rPr>
          <w:rFonts w:asciiTheme="majorBidi" w:eastAsia="Times New Roman" w:hAnsiTheme="majorBidi" w:cstheme="majorBidi"/>
          <w:i/>
          <w:iCs/>
          <w:sz w:val="24"/>
          <w:szCs w:val="24"/>
          <w:bdr w:val="single" w:sz="2" w:space="0" w:color="ECEDEE" w:frame="1"/>
        </w:rPr>
        <w:t>20</w:t>
      </w:r>
      <w:r w:rsidRPr="009B2C6D">
        <w:rPr>
          <w:rFonts w:asciiTheme="majorBidi" w:eastAsia="Times New Roman" w:hAnsiTheme="majorBidi" w:cstheme="majorBidi"/>
          <w:sz w:val="24"/>
          <w:szCs w:val="24"/>
        </w:rPr>
        <w:t>(2), 219–231. </w:t>
      </w:r>
      <w:hyperlink r:id="rId46" w:history="1">
        <w:r w:rsidR="00C94042" w:rsidRPr="00400C5C">
          <w:rPr>
            <w:rStyle w:val="Hyperlink"/>
            <w:rFonts w:asciiTheme="majorBidi" w:eastAsia="Times New Roman" w:hAnsiTheme="majorBidi" w:cstheme="majorBidi"/>
            <w:sz w:val="24"/>
            <w:szCs w:val="24"/>
            <w:bdr w:val="single" w:sz="2" w:space="0" w:color="ECEDEE" w:frame="1"/>
          </w:rPr>
          <w:t>https://doi.org/10.24090/ibda.v20i2.6362</w:t>
        </w:r>
      </w:hyperlink>
    </w:p>
    <w:p w14:paraId="486800BD" w14:textId="77777777" w:rsidR="009B2C6D" w:rsidRPr="009B2C6D" w:rsidRDefault="009B2C6D" w:rsidP="004A7F3E">
      <w:pPr>
        <w:pStyle w:val="ListParagraph"/>
        <w:numPr>
          <w:ilvl w:val="0"/>
          <w:numId w:val="2"/>
        </w:numPr>
        <w:bidi w:val="0"/>
        <w:spacing w:after="0" w:line="240" w:lineRule="auto"/>
        <w:ind w:left="360"/>
        <w:jc w:val="both"/>
        <w:rPr>
          <w:rFonts w:asciiTheme="majorBidi" w:eastAsia="Times New Roman" w:hAnsiTheme="majorBidi" w:cstheme="majorBidi"/>
          <w:sz w:val="24"/>
          <w:szCs w:val="24"/>
        </w:rPr>
      </w:pPr>
      <w:r w:rsidRPr="009B2C6D">
        <w:rPr>
          <w:rFonts w:asciiTheme="majorBidi" w:eastAsia="Times New Roman" w:hAnsiTheme="majorBidi" w:cstheme="majorBidi"/>
          <w:sz w:val="24"/>
          <w:szCs w:val="24"/>
        </w:rPr>
        <w:t xml:space="preserve">Taylor, Z. (2011). Lies, damned lies and statistics: a critical examination of city ranking studies. Intergovernmental Committee for Economic and </w:t>
      </w:r>
      <w:proofErr w:type="spellStart"/>
      <w:r w:rsidRPr="009B2C6D">
        <w:rPr>
          <w:rFonts w:asciiTheme="majorBidi" w:eastAsia="Times New Roman" w:hAnsiTheme="majorBidi" w:cstheme="majorBidi"/>
          <w:sz w:val="24"/>
          <w:szCs w:val="24"/>
        </w:rPr>
        <w:t>Lab</w:t>
      </w:r>
      <w:r w:rsidR="00C94042">
        <w:rPr>
          <w:rFonts w:asciiTheme="majorBidi" w:eastAsia="Times New Roman" w:hAnsiTheme="majorBidi" w:cstheme="majorBidi"/>
          <w:sz w:val="24"/>
          <w:szCs w:val="24"/>
        </w:rPr>
        <w:t>our</w:t>
      </w:r>
      <w:proofErr w:type="spellEnd"/>
      <w:r w:rsidR="00C94042">
        <w:rPr>
          <w:rFonts w:asciiTheme="majorBidi" w:eastAsia="Times New Roman" w:hAnsiTheme="majorBidi" w:cstheme="majorBidi"/>
          <w:sz w:val="24"/>
          <w:szCs w:val="24"/>
        </w:rPr>
        <w:t xml:space="preserve"> Force Development, Canada, </w:t>
      </w:r>
      <w:r w:rsidRPr="009B2C6D">
        <w:rPr>
          <w:rFonts w:asciiTheme="majorBidi" w:eastAsia="Times New Roman" w:hAnsiTheme="majorBidi" w:cstheme="majorBidi"/>
          <w:sz w:val="24"/>
          <w:szCs w:val="24"/>
        </w:rPr>
        <w:t>urban research.</w:t>
      </w:r>
    </w:p>
    <w:p w14:paraId="58F14141" w14:textId="77777777" w:rsidR="009B2C6D" w:rsidRPr="009B2C6D" w:rsidRDefault="009B2C6D" w:rsidP="004A7F3E">
      <w:pPr>
        <w:pStyle w:val="ListParagraph"/>
        <w:numPr>
          <w:ilvl w:val="0"/>
          <w:numId w:val="2"/>
        </w:numPr>
        <w:bidi w:val="0"/>
        <w:spacing w:line="240" w:lineRule="auto"/>
        <w:ind w:left="360"/>
        <w:jc w:val="both"/>
        <w:rPr>
          <w:rFonts w:asciiTheme="majorBidi" w:hAnsiTheme="majorBidi" w:cstheme="majorBidi"/>
          <w:sz w:val="24"/>
          <w:szCs w:val="24"/>
        </w:rPr>
      </w:pPr>
      <w:r w:rsidRPr="009B2C6D">
        <w:rPr>
          <w:rFonts w:asciiTheme="majorBidi" w:hAnsiTheme="majorBidi" w:cstheme="majorBidi"/>
          <w:sz w:val="24"/>
          <w:szCs w:val="24"/>
        </w:rPr>
        <w:t>The Economist Group - About us. (</w:t>
      </w:r>
      <w:proofErr w:type="spellStart"/>
      <w:r w:rsidRPr="009B2C6D">
        <w:rPr>
          <w:rFonts w:asciiTheme="majorBidi" w:hAnsiTheme="majorBidi" w:cstheme="majorBidi"/>
          <w:sz w:val="24"/>
          <w:szCs w:val="24"/>
        </w:rPr>
        <w:t>n.d.</w:t>
      </w:r>
      <w:proofErr w:type="spellEnd"/>
      <w:r w:rsidRPr="009B2C6D">
        <w:rPr>
          <w:rFonts w:asciiTheme="majorBidi" w:hAnsiTheme="majorBidi" w:cstheme="majorBidi"/>
          <w:sz w:val="24"/>
          <w:szCs w:val="24"/>
        </w:rPr>
        <w:t xml:space="preserve">). The Economist Group. </w:t>
      </w:r>
      <w:hyperlink r:id="rId47" w:history="1">
        <w:r w:rsidRPr="009B2C6D">
          <w:rPr>
            <w:rStyle w:val="Hyperlink"/>
            <w:rFonts w:asciiTheme="majorBidi" w:hAnsiTheme="majorBidi" w:cstheme="majorBidi"/>
            <w:sz w:val="24"/>
            <w:szCs w:val="24"/>
          </w:rPr>
          <w:t>http://www.economist.com/help/about-us</w:t>
        </w:r>
      </w:hyperlink>
      <w:r w:rsidRPr="009B2C6D">
        <w:rPr>
          <w:rFonts w:asciiTheme="majorBidi" w:hAnsiTheme="majorBidi" w:cstheme="majorBidi"/>
          <w:sz w:val="24"/>
          <w:szCs w:val="24"/>
        </w:rPr>
        <w:t>.</w:t>
      </w:r>
    </w:p>
    <w:p w14:paraId="3A613859" w14:textId="77777777" w:rsidR="00E33A90" w:rsidRPr="004A7F3E" w:rsidRDefault="009B2C6D" w:rsidP="004A7F3E">
      <w:pPr>
        <w:pStyle w:val="ListParagraph"/>
        <w:numPr>
          <w:ilvl w:val="0"/>
          <w:numId w:val="2"/>
        </w:numPr>
        <w:bidi w:val="0"/>
        <w:spacing w:line="240" w:lineRule="auto"/>
        <w:ind w:left="360"/>
        <w:jc w:val="both"/>
        <w:rPr>
          <w:rFonts w:asciiTheme="majorBidi" w:hAnsiTheme="majorBidi" w:cstheme="majorBidi"/>
          <w:sz w:val="24"/>
          <w:szCs w:val="24"/>
        </w:rPr>
      </w:pPr>
      <w:r w:rsidRPr="009B2C6D">
        <w:rPr>
          <w:rFonts w:asciiTheme="majorBidi" w:hAnsiTheme="majorBidi" w:cstheme="majorBidi"/>
          <w:sz w:val="24"/>
          <w:szCs w:val="24"/>
        </w:rPr>
        <w:t xml:space="preserve">The Economist. (2016). About us. Retrieved from </w:t>
      </w:r>
      <w:hyperlink r:id="rId48" w:history="1">
        <w:r w:rsidRPr="009B2C6D">
          <w:rPr>
            <w:rStyle w:val="Hyperlink"/>
            <w:rFonts w:asciiTheme="majorBidi" w:hAnsiTheme="majorBidi" w:cstheme="majorBidi"/>
            <w:sz w:val="24"/>
            <w:szCs w:val="24"/>
          </w:rPr>
          <w:t>http://www.economist.com/help/about-us</w:t>
        </w:r>
      </w:hyperlink>
      <w:r w:rsidRPr="009B2C6D">
        <w:rPr>
          <w:rFonts w:asciiTheme="majorBidi" w:hAnsiTheme="majorBidi" w:cstheme="majorBidi"/>
          <w:sz w:val="24"/>
          <w:szCs w:val="24"/>
        </w:rPr>
        <w:t>.</w:t>
      </w:r>
      <w:r w:rsidR="004A7F3E">
        <w:rPr>
          <w:rFonts w:asciiTheme="majorBidi" w:hAnsiTheme="majorBidi" w:cstheme="majorBidi" w:hint="cs"/>
          <w:sz w:val="24"/>
          <w:szCs w:val="24"/>
          <w:rtl/>
        </w:rPr>
        <w:t xml:space="preserve"> </w:t>
      </w:r>
    </w:p>
    <w:sectPr w:rsidR="00E33A90" w:rsidRPr="004A7F3E" w:rsidSect="00B957AF">
      <w:footerReference w:type="default" r:id="rId49"/>
      <w:pgSz w:w="11906" w:h="16838"/>
      <w:pgMar w:top="1985" w:right="1418" w:bottom="1418" w:left="1418" w:header="720" w:footer="720"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account" w:date="2026-03-17T14:31:00Z" w:initials="Ma">
    <w:p w14:paraId="6CFD4504" w14:textId="77777777" w:rsidR="00F1094B" w:rsidRDefault="00F1094B">
      <w:pPr>
        <w:pStyle w:val="CommentText"/>
      </w:pPr>
      <w:r>
        <w:rPr>
          <w:rStyle w:val="CommentReference"/>
        </w:rPr>
        <w:annotationRef/>
      </w:r>
      <w:r>
        <w:t xml:space="preserve">Edited </w:t>
      </w:r>
    </w:p>
  </w:comment>
  <w:comment w:id="1" w:author="Microsoft account" w:date="2026-03-17T14:31:00Z" w:initials="Ma">
    <w:p w14:paraId="79C48CF3" w14:textId="77777777" w:rsidR="00F1094B" w:rsidRDefault="00F1094B">
      <w:pPr>
        <w:pStyle w:val="CommentText"/>
      </w:pPr>
      <w:r>
        <w:rPr>
          <w:rStyle w:val="CommentReference"/>
        </w:rPr>
        <w:annotationRef/>
      </w:r>
      <w:r>
        <w:t xml:space="preserve">Edited </w:t>
      </w:r>
    </w:p>
  </w:comment>
  <w:comment w:id="2" w:author="Microsoft account" w:date="2026-03-17T14:35:00Z" w:initials="Ma">
    <w:p w14:paraId="046045CF" w14:textId="77777777" w:rsidR="00F1094B" w:rsidRDefault="00F1094B">
      <w:pPr>
        <w:pStyle w:val="CommentText"/>
      </w:pPr>
      <w:r>
        <w:rPr>
          <w:rStyle w:val="CommentReference"/>
        </w:rPr>
        <w:annotationRef/>
      </w:r>
      <w:r>
        <w:t xml:space="preserve">Edited </w:t>
      </w:r>
    </w:p>
  </w:comment>
  <w:comment w:id="4" w:author="Microsoft account" w:date="2026-03-17T14:35:00Z" w:initials="Ma">
    <w:p w14:paraId="7C62CFAA" w14:textId="77777777" w:rsidR="00F1094B" w:rsidRDefault="00F1094B">
      <w:pPr>
        <w:pStyle w:val="CommentText"/>
      </w:pPr>
      <w:r>
        <w:rPr>
          <w:rStyle w:val="CommentReference"/>
        </w:rPr>
        <w:annotationRef/>
      </w:r>
      <w:r>
        <w:t xml:space="preserve">Edited </w:t>
      </w:r>
    </w:p>
  </w:comment>
  <w:comment w:id="5" w:author="Microsoft account" w:date="2026-03-17T14:38:00Z" w:initials="Ma">
    <w:p w14:paraId="75C5B92C" w14:textId="77777777" w:rsidR="00F1094B" w:rsidRDefault="00F1094B">
      <w:pPr>
        <w:pStyle w:val="CommentText"/>
      </w:pPr>
      <w:r>
        <w:rPr>
          <w:rStyle w:val="CommentReference"/>
        </w:rPr>
        <w:annotationRef/>
      </w:r>
      <w:r>
        <w:t xml:space="preserve">Edited </w:t>
      </w:r>
    </w:p>
  </w:comment>
  <w:comment w:id="6" w:author="Microsoft account" w:date="2026-03-17T14:38:00Z" w:initials="Ma">
    <w:p w14:paraId="3D5DB61C" w14:textId="77777777" w:rsidR="00F1094B" w:rsidRDefault="00F1094B">
      <w:pPr>
        <w:pStyle w:val="CommentText"/>
      </w:pPr>
      <w:r>
        <w:rPr>
          <w:rStyle w:val="CommentReference"/>
        </w:rPr>
        <w:annotationRef/>
      </w:r>
      <w:r>
        <w:t xml:space="preserve">Edited </w:t>
      </w:r>
    </w:p>
  </w:comment>
  <w:comment w:id="7" w:author="Microsoft account" w:date="2026-03-17T14:39:00Z" w:initials="Ma">
    <w:p w14:paraId="4F202404" w14:textId="77777777" w:rsidR="00F1094B" w:rsidRDefault="00F1094B">
      <w:pPr>
        <w:pStyle w:val="CommentText"/>
      </w:pPr>
      <w:r>
        <w:rPr>
          <w:rStyle w:val="CommentReference"/>
        </w:rPr>
        <w:annotationRef/>
      </w:r>
      <w:r>
        <w:t xml:space="preserve">Edited </w:t>
      </w:r>
    </w:p>
  </w:comment>
  <w:comment w:id="8" w:author="Microsoft account" w:date="2026-03-17T14:39:00Z" w:initials="Ma">
    <w:p w14:paraId="1F12911C" w14:textId="77777777" w:rsidR="00F1094B" w:rsidRDefault="00F1094B">
      <w:pPr>
        <w:pStyle w:val="CommentText"/>
      </w:pPr>
      <w:r>
        <w:rPr>
          <w:rStyle w:val="CommentReference"/>
        </w:rPr>
        <w:annotationRef/>
      </w:r>
      <w:r>
        <w:t xml:space="preserve">Edited </w:t>
      </w:r>
    </w:p>
  </w:comment>
  <w:comment w:id="9" w:author="Microsoft account" w:date="2026-03-17T14:41:00Z" w:initials="Ma">
    <w:p w14:paraId="221A82A1" w14:textId="77777777" w:rsidR="00F1094B" w:rsidRDefault="00F1094B">
      <w:pPr>
        <w:pStyle w:val="CommentText"/>
      </w:pPr>
      <w:r>
        <w:rPr>
          <w:rStyle w:val="CommentReference"/>
        </w:rPr>
        <w:annotationRef/>
      </w:r>
      <w:r>
        <w:t xml:space="preserve">Edited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FD4504" w15:done="0"/>
  <w15:commentEx w15:paraId="79C48CF3" w15:done="0"/>
  <w15:commentEx w15:paraId="046045CF" w15:done="0"/>
  <w15:commentEx w15:paraId="7C62CFAA" w15:done="0"/>
  <w15:commentEx w15:paraId="75C5B92C" w15:done="0"/>
  <w15:commentEx w15:paraId="3D5DB61C" w15:done="0"/>
  <w15:commentEx w15:paraId="4F202404" w15:done="0"/>
  <w15:commentEx w15:paraId="1F12911C" w15:done="0"/>
  <w15:commentEx w15:paraId="221A82A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AE343" w14:textId="77777777" w:rsidR="00D6153B" w:rsidRDefault="00D6153B" w:rsidP="00D94DCB">
      <w:pPr>
        <w:spacing w:after="0" w:line="240" w:lineRule="auto"/>
      </w:pPr>
      <w:r>
        <w:separator/>
      </w:r>
    </w:p>
  </w:endnote>
  <w:endnote w:type="continuationSeparator" w:id="0">
    <w:p w14:paraId="5663F508" w14:textId="77777777" w:rsidR="00D6153B" w:rsidRDefault="00D6153B" w:rsidP="00D9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 Mitra">
    <w:altName w:val="Arial"/>
    <w:panose1 w:val="00000400000000000000"/>
    <w:charset w:val="B2"/>
    <w:family w:val="auto"/>
    <w:pitch w:val="variable"/>
    <w:sig w:usb0="00002001" w:usb1="80000000" w:usb2="00000008" w:usb3="00000000" w:csb0="00000040" w:csb1="00000000"/>
  </w:font>
  <w:font w:name="W_parisa">
    <w:altName w:val="Courier New"/>
    <w:charset w:val="00"/>
    <w:family w:val="auto"/>
    <w:pitch w:val="variable"/>
    <w:sig w:usb0="00000003" w:usb1="80000000"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W_parisa" w:hAnsi="W_parisa" w:cs="W_parisa"/>
        <w:rtl/>
      </w:rPr>
      <w:id w:val="780230313"/>
      <w:docPartObj>
        <w:docPartGallery w:val="Page Numbers (Bottom of Page)"/>
        <w:docPartUnique/>
      </w:docPartObj>
    </w:sdtPr>
    <w:sdtEndPr>
      <w:rPr>
        <w:noProof/>
      </w:rPr>
    </w:sdtEndPr>
    <w:sdtContent>
      <w:p w14:paraId="38B560B9" w14:textId="6881BC83" w:rsidR="00F1094B" w:rsidRPr="00756A0B" w:rsidRDefault="00F1094B">
        <w:pPr>
          <w:pStyle w:val="Footer"/>
          <w:jc w:val="center"/>
          <w:rPr>
            <w:rFonts w:ascii="W_parisa" w:hAnsi="W_parisa" w:cs="W_parisa"/>
          </w:rPr>
        </w:pPr>
        <w:r w:rsidRPr="00756A0B">
          <w:rPr>
            <w:rFonts w:ascii="W_parisa" w:hAnsi="W_parisa" w:cs="W_parisa"/>
          </w:rPr>
          <w:fldChar w:fldCharType="begin"/>
        </w:r>
        <w:r w:rsidRPr="00756A0B">
          <w:rPr>
            <w:rFonts w:ascii="W_parisa" w:hAnsi="W_parisa" w:cs="W_parisa"/>
          </w:rPr>
          <w:instrText xml:space="preserve"> PAGE   \* MERGEFORMAT </w:instrText>
        </w:r>
        <w:r w:rsidRPr="00756A0B">
          <w:rPr>
            <w:rFonts w:ascii="W_parisa" w:hAnsi="W_parisa" w:cs="W_parisa"/>
          </w:rPr>
          <w:fldChar w:fldCharType="separate"/>
        </w:r>
        <w:r w:rsidR="00237D82" w:rsidRPr="00237D82">
          <w:rPr>
            <w:rFonts w:ascii="W_parisa" w:hAnsi="W_parisa" w:cs="W_parisa"/>
            <w:noProof/>
            <w:rtl/>
          </w:rPr>
          <w:t>21</w:t>
        </w:r>
        <w:r w:rsidRPr="00756A0B">
          <w:rPr>
            <w:rFonts w:ascii="W_parisa" w:hAnsi="W_parisa" w:cs="W_parisa"/>
            <w:noProof/>
          </w:rPr>
          <w:fldChar w:fldCharType="end"/>
        </w:r>
      </w:p>
    </w:sdtContent>
  </w:sdt>
  <w:p w14:paraId="214C7D17" w14:textId="77777777" w:rsidR="00F1094B" w:rsidRPr="00756A0B" w:rsidRDefault="00F1094B">
    <w:pPr>
      <w:pStyle w:val="Footer"/>
      <w:rPr>
        <w:rFonts w:ascii="W_parisa" w:hAnsi="W_parisa" w:cs="W_paris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469B6" w14:textId="77777777" w:rsidR="00D6153B" w:rsidRDefault="00D6153B" w:rsidP="00D94DCB">
      <w:pPr>
        <w:spacing w:after="0" w:line="240" w:lineRule="auto"/>
      </w:pPr>
      <w:r>
        <w:separator/>
      </w:r>
    </w:p>
  </w:footnote>
  <w:footnote w:type="continuationSeparator" w:id="0">
    <w:p w14:paraId="05F8E280" w14:textId="77777777" w:rsidR="00D6153B" w:rsidRDefault="00D6153B" w:rsidP="00D94DCB">
      <w:pPr>
        <w:spacing w:after="0" w:line="240" w:lineRule="auto"/>
      </w:pPr>
      <w:r>
        <w:continuationSeparator/>
      </w:r>
    </w:p>
  </w:footnote>
  <w:footnote w:id="1">
    <w:p w14:paraId="5362D601" w14:textId="2F0E260C" w:rsidR="00F1094B" w:rsidRDefault="00F1094B" w:rsidP="004A7F3E">
      <w:pPr>
        <w:pStyle w:val="FootnoteText"/>
        <w:bidi w:val="0"/>
      </w:pPr>
      <w:r>
        <w:rPr>
          <w:rStyle w:val="FootnoteReference"/>
        </w:rPr>
        <w:footnoteRef/>
      </w:r>
      <w:r>
        <w:rPr>
          <w:rtl/>
        </w:rPr>
        <w:t xml:space="preserve"> </w:t>
      </w:r>
      <w:hyperlink r:id="rId1" w:history="1">
        <w:r w:rsidRPr="00DE3372">
          <w:rPr>
            <w:rStyle w:val="Hyperlink"/>
            <w:rFonts w:asciiTheme="majorBidi" w:hAnsiTheme="majorBidi" w:cstheme="majorBidi"/>
          </w:rPr>
          <w:t>Mrafian@yazd.ac.ir</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E7AE6"/>
    <w:multiLevelType w:val="multilevel"/>
    <w:tmpl w:val="3544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073D63"/>
    <w:multiLevelType w:val="hybridMultilevel"/>
    <w:tmpl w:val="6EBC7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CC1429"/>
    <w:multiLevelType w:val="hybridMultilevel"/>
    <w:tmpl w:val="EBBC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account">
    <w15:presenceInfo w15:providerId="Windows Live" w15:userId="b7cd77526db7a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2E"/>
    <w:rsid w:val="00027DAD"/>
    <w:rsid w:val="00036745"/>
    <w:rsid w:val="00037659"/>
    <w:rsid w:val="00052738"/>
    <w:rsid w:val="00073741"/>
    <w:rsid w:val="000C5A65"/>
    <w:rsid w:val="000D61E5"/>
    <w:rsid w:val="000F1777"/>
    <w:rsid w:val="000F1C64"/>
    <w:rsid w:val="000F2DE6"/>
    <w:rsid w:val="001013A5"/>
    <w:rsid w:val="00125F22"/>
    <w:rsid w:val="00171091"/>
    <w:rsid w:val="001A366D"/>
    <w:rsid w:val="001C1ECC"/>
    <w:rsid w:val="001F6B66"/>
    <w:rsid w:val="002103EC"/>
    <w:rsid w:val="00227A77"/>
    <w:rsid w:val="00237D82"/>
    <w:rsid w:val="00260E4A"/>
    <w:rsid w:val="00281CF8"/>
    <w:rsid w:val="002D3EC4"/>
    <w:rsid w:val="002F4A53"/>
    <w:rsid w:val="00302DCC"/>
    <w:rsid w:val="00326554"/>
    <w:rsid w:val="00331B18"/>
    <w:rsid w:val="003549B3"/>
    <w:rsid w:val="00377F32"/>
    <w:rsid w:val="00394884"/>
    <w:rsid w:val="00396BAF"/>
    <w:rsid w:val="003E63D0"/>
    <w:rsid w:val="00430D73"/>
    <w:rsid w:val="004A7F3E"/>
    <w:rsid w:val="0051782C"/>
    <w:rsid w:val="00546922"/>
    <w:rsid w:val="005A7668"/>
    <w:rsid w:val="005D71E8"/>
    <w:rsid w:val="00643803"/>
    <w:rsid w:val="006562D4"/>
    <w:rsid w:val="006B58B7"/>
    <w:rsid w:val="006E612E"/>
    <w:rsid w:val="00740D16"/>
    <w:rsid w:val="007534F1"/>
    <w:rsid w:val="00756A0B"/>
    <w:rsid w:val="0076572F"/>
    <w:rsid w:val="007F4C22"/>
    <w:rsid w:val="00805B36"/>
    <w:rsid w:val="00817511"/>
    <w:rsid w:val="00886A83"/>
    <w:rsid w:val="008D32A5"/>
    <w:rsid w:val="009B2C6D"/>
    <w:rsid w:val="00A204AE"/>
    <w:rsid w:val="00A30EC5"/>
    <w:rsid w:val="00A435E0"/>
    <w:rsid w:val="00A50AC2"/>
    <w:rsid w:val="00A90805"/>
    <w:rsid w:val="00AE3B8A"/>
    <w:rsid w:val="00AE4319"/>
    <w:rsid w:val="00B04864"/>
    <w:rsid w:val="00B44026"/>
    <w:rsid w:val="00B80307"/>
    <w:rsid w:val="00B826FB"/>
    <w:rsid w:val="00B957AF"/>
    <w:rsid w:val="00BC57DE"/>
    <w:rsid w:val="00BE4755"/>
    <w:rsid w:val="00BF0531"/>
    <w:rsid w:val="00C10719"/>
    <w:rsid w:val="00C25270"/>
    <w:rsid w:val="00C57E8C"/>
    <w:rsid w:val="00C81F0F"/>
    <w:rsid w:val="00C83428"/>
    <w:rsid w:val="00C94042"/>
    <w:rsid w:val="00CA6FE9"/>
    <w:rsid w:val="00CC1393"/>
    <w:rsid w:val="00CD400E"/>
    <w:rsid w:val="00CD41F1"/>
    <w:rsid w:val="00CE2229"/>
    <w:rsid w:val="00CF6C7D"/>
    <w:rsid w:val="00D02847"/>
    <w:rsid w:val="00D31556"/>
    <w:rsid w:val="00D6153B"/>
    <w:rsid w:val="00D643C5"/>
    <w:rsid w:val="00D94DCB"/>
    <w:rsid w:val="00DA3789"/>
    <w:rsid w:val="00DB003A"/>
    <w:rsid w:val="00DC5761"/>
    <w:rsid w:val="00DE3993"/>
    <w:rsid w:val="00E33A90"/>
    <w:rsid w:val="00E50DCF"/>
    <w:rsid w:val="00E57A3A"/>
    <w:rsid w:val="00E82240"/>
    <w:rsid w:val="00E91EEC"/>
    <w:rsid w:val="00EA72D9"/>
    <w:rsid w:val="00EC49E4"/>
    <w:rsid w:val="00F1094B"/>
    <w:rsid w:val="00F22EDA"/>
    <w:rsid w:val="00F35589"/>
    <w:rsid w:val="00F4736A"/>
    <w:rsid w:val="00F539D8"/>
    <w:rsid w:val="00F54D23"/>
    <w:rsid w:val="00FC48B9"/>
    <w:rsid w:val="00FD342E"/>
    <w:rsid w:val="00FF675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1321"/>
  <w15:chartTrackingRefBased/>
  <w15:docId w15:val="{F0357C8E-E331-425B-AACF-B33AC221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94D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4DCB"/>
    <w:rPr>
      <w:sz w:val="20"/>
      <w:szCs w:val="20"/>
    </w:rPr>
  </w:style>
  <w:style w:type="character" w:styleId="FootnoteReference">
    <w:name w:val="footnote reference"/>
    <w:basedOn w:val="DefaultParagraphFont"/>
    <w:uiPriority w:val="99"/>
    <w:semiHidden/>
    <w:unhideWhenUsed/>
    <w:rsid w:val="00D94DCB"/>
    <w:rPr>
      <w:vertAlign w:val="superscript"/>
    </w:rPr>
  </w:style>
  <w:style w:type="table" w:styleId="TableGrid">
    <w:name w:val="Table Grid"/>
    <w:basedOn w:val="TableNormal"/>
    <w:uiPriority w:val="39"/>
    <w:rsid w:val="00E33A90"/>
    <w:pPr>
      <w:spacing w:after="0" w:line="260" w:lineRule="atLeast"/>
      <w:jc w:val="both"/>
    </w:pPr>
    <w:rPr>
      <w:rFonts w:ascii="Palatino Linotype" w:eastAsia="SimSun" w:hAnsi="Palatino Linotype" w:cs="Times New Roman"/>
      <w:color w:val="00000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0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805"/>
    <w:rPr>
      <w:rFonts w:ascii="Segoe UI" w:hAnsi="Segoe UI" w:cs="Segoe UI"/>
      <w:sz w:val="18"/>
      <w:szCs w:val="18"/>
    </w:rPr>
  </w:style>
  <w:style w:type="character" w:styleId="Emphasis">
    <w:name w:val="Emphasis"/>
    <w:basedOn w:val="DefaultParagraphFont"/>
    <w:uiPriority w:val="20"/>
    <w:qFormat/>
    <w:rsid w:val="00A90805"/>
    <w:rPr>
      <w:i/>
      <w:iCs/>
    </w:rPr>
  </w:style>
  <w:style w:type="character" w:styleId="Hyperlink">
    <w:name w:val="Hyperlink"/>
    <w:uiPriority w:val="99"/>
    <w:rsid w:val="00A90805"/>
    <w:rPr>
      <w:color w:val="0000FF"/>
      <w:u w:val="single"/>
    </w:rPr>
  </w:style>
  <w:style w:type="paragraph" w:styleId="Header">
    <w:name w:val="header"/>
    <w:basedOn w:val="Normal"/>
    <w:link w:val="HeaderChar"/>
    <w:uiPriority w:val="99"/>
    <w:unhideWhenUsed/>
    <w:rsid w:val="00756A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A0B"/>
  </w:style>
  <w:style w:type="paragraph" w:styleId="Footer">
    <w:name w:val="footer"/>
    <w:basedOn w:val="Normal"/>
    <w:link w:val="FooterChar"/>
    <w:uiPriority w:val="99"/>
    <w:unhideWhenUsed/>
    <w:rsid w:val="00756A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A0B"/>
  </w:style>
  <w:style w:type="paragraph" w:styleId="ListParagraph">
    <w:name w:val="List Paragraph"/>
    <w:basedOn w:val="Normal"/>
    <w:uiPriority w:val="34"/>
    <w:qFormat/>
    <w:rsid w:val="00DC5761"/>
    <w:pPr>
      <w:ind w:left="720"/>
      <w:contextualSpacing/>
    </w:pPr>
  </w:style>
  <w:style w:type="paragraph" w:styleId="NormalWeb">
    <w:name w:val="Normal (Web)"/>
    <w:basedOn w:val="Normal"/>
    <w:uiPriority w:val="99"/>
    <w:unhideWhenUsed/>
    <w:rsid w:val="0039488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027DAD"/>
    <w:rPr>
      <w:sz w:val="16"/>
      <w:szCs w:val="16"/>
    </w:rPr>
  </w:style>
  <w:style w:type="paragraph" w:styleId="CommentText">
    <w:name w:val="annotation text"/>
    <w:basedOn w:val="Normal"/>
    <w:link w:val="CommentTextChar"/>
    <w:uiPriority w:val="99"/>
    <w:semiHidden/>
    <w:unhideWhenUsed/>
    <w:rsid w:val="00027DAD"/>
    <w:pPr>
      <w:spacing w:line="240" w:lineRule="auto"/>
    </w:pPr>
    <w:rPr>
      <w:sz w:val="20"/>
      <w:szCs w:val="20"/>
    </w:rPr>
  </w:style>
  <w:style w:type="character" w:customStyle="1" w:styleId="CommentTextChar">
    <w:name w:val="Comment Text Char"/>
    <w:basedOn w:val="DefaultParagraphFont"/>
    <w:link w:val="CommentText"/>
    <w:uiPriority w:val="99"/>
    <w:semiHidden/>
    <w:rsid w:val="00027DAD"/>
    <w:rPr>
      <w:sz w:val="20"/>
      <w:szCs w:val="20"/>
    </w:rPr>
  </w:style>
  <w:style w:type="paragraph" w:styleId="CommentSubject">
    <w:name w:val="annotation subject"/>
    <w:basedOn w:val="CommentText"/>
    <w:next w:val="CommentText"/>
    <w:link w:val="CommentSubjectChar"/>
    <w:uiPriority w:val="99"/>
    <w:semiHidden/>
    <w:unhideWhenUsed/>
    <w:rsid w:val="00027DAD"/>
    <w:rPr>
      <w:b/>
      <w:bCs/>
    </w:rPr>
  </w:style>
  <w:style w:type="character" w:customStyle="1" w:styleId="CommentSubjectChar">
    <w:name w:val="Comment Subject Char"/>
    <w:basedOn w:val="CommentTextChar"/>
    <w:link w:val="CommentSubject"/>
    <w:uiPriority w:val="99"/>
    <w:semiHidden/>
    <w:rsid w:val="00027D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34821">
      <w:bodyDiv w:val="1"/>
      <w:marLeft w:val="0"/>
      <w:marRight w:val="0"/>
      <w:marTop w:val="0"/>
      <w:marBottom w:val="0"/>
      <w:divBdr>
        <w:top w:val="none" w:sz="0" w:space="0" w:color="auto"/>
        <w:left w:val="none" w:sz="0" w:space="0" w:color="auto"/>
        <w:bottom w:val="none" w:sz="0" w:space="0" w:color="auto"/>
        <w:right w:val="none" w:sz="0" w:space="0" w:color="auto"/>
      </w:divBdr>
    </w:div>
    <w:div w:id="862789067">
      <w:bodyDiv w:val="1"/>
      <w:marLeft w:val="0"/>
      <w:marRight w:val="0"/>
      <w:marTop w:val="0"/>
      <w:marBottom w:val="0"/>
      <w:divBdr>
        <w:top w:val="none" w:sz="0" w:space="0" w:color="auto"/>
        <w:left w:val="none" w:sz="0" w:space="0" w:color="auto"/>
        <w:bottom w:val="none" w:sz="0" w:space="0" w:color="auto"/>
        <w:right w:val="none" w:sz="0" w:space="0" w:color="auto"/>
      </w:divBdr>
    </w:div>
    <w:div w:id="1282223845">
      <w:bodyDiv w:val="1"/>
      <w:marLeft w:val="0"/>
      <w:marRight w:val="0"/>
      <w:marTop w:val="0"/>
      <w:marBottom w:val="0"/>
      <w:divBdr>
        <w:top w:val="none" w:sz="0" w:space="0" w:color="auto"/>
        <w:left w:val="none" w:sz="0" w:space="0" w:color="auto"/>
        <w:bottom w:val="none" w:sz="0" w:space="0" w:color="auto"/>
        <w:right w:val="none" w:sz="0" w:space="0" w:color="auto"/>
      </w:divBdr>
    </w:div>
    <w:div w:id="136806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56039/rgn04a04" TargetMode="External"/><Relationship Id="rId39" Type="http://schemas.openxmlformats.org/officeDocument/2006/relationships/hyperlink" Target="https://doi.org/10.3390/smartcities3030035" TargetMode="External"/><Relationship Id="rId3" Type="http://schemas.openxmlformats.org/officeDocument/2006/relationships/styles" Target="styles.xml"/><Relationship Id="rId21" Type="http://schemas.openxmlformats.org/officeDocument/2006/relationships/hyperlink" Target="https://doi.org/10.1016/j.scs.2018.10.009" TargetMode="External"/><Relationship Id="rId34" Type="http://schemas.openxmlformats.org/officeDocument/2006/relationships/hyperlink" Target="https://doi.org/10.1080/21681376.2014.983149" TargetMode="External"/><Relationship Id="rId42" Type="http://schemas.openxmlformats.org/officeDocument/2006/relationships/hyperlink" Target="https://doi:10.30479/ust.2023.18828.1122" TargetMode="External"/><Relationship Id="rId47" Type="http://schemas.openxmlformats.org/officeDocument/2006/relationships/hyperlink" Target="http://www.economist.com/help/about-u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doi.org/10.5430/wjss.v5n1p12" TargetMode="External"/><Relationship Id="rId33" Type="http://schemas.openxmlformats.org/officeDocument/2006/relationships/hyperlink" Target="https://doi.org/10.1016/j.cities.2017.08.002" TargetMode="External"/><Relationship Id="rId38" Type="http://schemas.openxmlformats.org/officeDocument/2006/relationships/hyperlink" Target="https://doi.org/10.1016/j.ecolind.2018.02.055" TargetMode="External"/><Relationship Id="rId46" Type="http://schemas.openxmlformats.org/officeDocument/2006/relationships/hyperlink" Target="https://doi.org/10.24090/ibda.v20i2.636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11/1468-2427.12974" TargetMode="External"/><Relationship Id="rId29" Type="http://schemas.openxmlformats.org/officeDocument/2006/relationships/hyperlink" Target="https://doi.org/10.1016/j.techfore.2018.07.024" TargetMode="External"/><Relationship Id="rId41" Type="http://schemas.openxmlformats.org/officeDocument/2006/relationships/hyperlink" Target="https://doi.org/10.23925/2176-901x.2018v21i4p31-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8196/aiijis.2020.0111.22-39" TargetMode="External"/><Relationship Id="rId32" Type="http://schemas.openxmlformats.org/officeDocument/2006/relationships/hyperlink" Target="https://doi.org/10.1080/17535069.2010.524420" TargetMode="External"/><Relationship Id="rId37" Type="http://schemas.openxmlformats.org/officeDocument/2006/relationships/hyperlink" Target="https://doi.org/10.1016/j.ecolind.2014.02.026" TargetMode="External"/><Relationship Id="rId40" Type="http://schemas.openxmlformats.org/officeDocument/2006/relationships/hyperlink" Target="https://doi.org/10.18860/jia.v2i1.1778" TargetMode="External"/><Relationship Id="rId45" Type="http://schemas.openxmlformats.org/officeDocument/2006/relationships/hyperlink" Target="https://doi.org/10.51148/jaas.2020.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5897/jgrp2016.0588" TargetMode="External"/><Relationship Id="rId28" Type="http://schemas.openxmlformats.org/officeDocument/2006/relationships/hyperlink" Target="https://doi.org/10.1016/j.envsci.2017.10.006" TargetMode="External"/><Relationship Id="rId36" Type="http://schemas.openxmlformats.org/officeDocument/2006/relationships/hyperlink" Target="https://doi.org/10.1177/0042098018804759" TargetMode="External"/><Relationship Id="rId49"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doi.org/10.1111/area.12710" TargetMode="External"/><Relationship Id="rId31" Type="http://schemas.openxmlformats.org/officeDocument/2006/relationships/hyperlink" Target="https://doi.org/10.1016/j.habitatint.2019.102006" TargetMode="External"/><Relationship Id="rId44" Type="http://schemas.openxmlformats.org/officeDocument/2006/relationships/hyperlink" Target="https://doi.org/10.1016/j.scs.2019.10193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doi.org/10.22367/jem.2022.44.15" TargetMode="External"/><Relationship Id="rId27" Type="http://schemas.openxmlformats.org/officeDocument/2006/relationships/hyperlink" Target="https://doi.org/10.1080/19463138.2020.1812076" TargetMode="External"/><Relationship Id="rId30" Type="http://schemas.openxmlformats.org/officeDocument/2006/relationships/hyperlink" Target="https://doi.org/10.22630/pniks.2021.30.2.31" TargetMode="External"/><Relationship Id="rId35" Type="http://schemas.openxmlformats.org/officeDocument/2006/relationships/hyperlink" Target="https://doi.org/10.1108/09513571011034325" TargetMode="External"/><Relationship Id="rId43" Type="http://schemas.openxmlformats.org/officeDocument/2006/relationships/hyperlink" Target="https://doi.org/10.17645/pag.v8i2.2576" TargetMode="External"/><Relationship Id="rId48" Type="http://schemas.openxmlformats.org/officeDocument/2006/relationships/hyperlink" Target="http://www.economist.com/help/about-us" TargetMode="External"/><Relationship Id="rId8" Type="http://schemas.openxmlformats.org/officeDocument/2006/relationships/image" Target="media/image1.png"/><Relationship Id="rId5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mailto:Mrafian@yazd.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667D2-4FA3-400F-85EA-F1BA6659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8259</Words>
  <Characters>47082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beh</cp:lastModifiedBy>
  <cp:revision>8</cp:revision>
  <dcterms:created xsi:type="dcterms:W3CDTF">2026-03-17T11:21:00Z</dcterms:created>
  <dcterms:modified xsi:type="dcterms:W3CDTF">2026-04-03T03:00:00Z</dcterms:modified>
</cp:coreProperties>
</file>