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ED7C1" w14:textId="77777777" w:rsidR="00E64CA0" w:rsidRPr="006E011C" w:rsidRDefault="00E64CA0" w:rsidP="00E64CA0">
      <w:pPr>
        <w:pStyle w:val="FootnoteText"/>
        <w:spacing w:before="100" w:beforeAutospacing="1" w:after="100" w:afterAutospacing="1" w:line="360" w:lineRule="auto"/>
        <w:rPr>
          <w:rFonts w:asciiTheme="majorBidi" w:hAnsiTheme="majorBidi" w:cstheme="majorBidi"/>
          <w:color w:val="000000" w:themeColor="text1"/>
          <w:sz w:val="24"/>
          <w:szCs w:val="24"/>
        </w:rPr>
      </w:pPr>
      <w:r w:rsidRPr="006E011C">
        <w:rPr>
          <w:rFonts w:asciiTheme="majorBidi" w:hAnsiTheme="majorBidi" w:cstheme="majorBidi"/>
          <w:b/>
          <w:bCs/>
          <w:color w:val="000000" w:themeColor="text1"/>
          <w:sz w:val="24"/>
          <w:szCs w:val="24"/>
        </w:rPr>
        <w:t xml:space="preserve">First author: Ali </w:t>
      </w:r>
      <w:proofErr w:type="spellStart"/>
      <w:r w:rsidRPr="006E011C">
        <w:rPr>
          <w:rFonts w:asciiTheme="majorBidi" w:hAnsiTheme="majorBidi" w:cstheme="majorBidi"/>
          <w:b/>
          <w:bCs/>
          <w:color w:val="000000" w:themeColor="text1"/>
          <w:sz w:val="24"/>
          <w:szCs w:val="24"/>
        </w:rPr>
        <w:t>Shirazinejad</w:t>
      </w:r>
      <w:proofErr w:type="spellEnd"/>
      <w:r w:rsidRPr="006E011C">
        <w:rPr>
          <w:rFonts w:asciiTheme="majorBidi" w:hAnsiTheme="majorBidi" w:cstheme="majorBidi"/>
          <w:b/>
          <w:bCs/>
          <w:color w:val="000000" w:themeColor="text1"/>
          <w:sz w:val="24"/>
          <w:szCs w:val="24"/>
        </w:rPr>
        <w:t xml:space="preserve"> </w:t>
      </w:r>
    </w:p>
    <w:p w14:paraId="6AA7CAB2" w14:textId="77777777" w:rsidR="00E64CA0" w:rsidRPr="006E011C" w:rsidRDefault="00E64CA0" w:rsidP="00E64CA0">
      <w:pPr>
        <w:pStyle w:val="FootnoteText"/>
        <w:spacing w:before="100" w:beforeAutospacing="1" w:after="100" w:afterAutospacing="1" w:line="360" w:lineRule="auto"/>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Master of Marketing Management, University of Tehran, Tehran, Iran</w:t>
      </w:r>
    </w:p>
    <w:p w14:paraId="421808B9" w14:textId="77777777" w:rsidR="00E64CA0" w:rsidRPr="006E011C" w:rsidRDefault="00E64CA0" w:rsidP="00E64CA0">
      <w:pPr>
        <w:pStyle w:val="FootnoteText"/>
        <w:spacing w:before="100" w:beforeAutospacing="1" w:after="100" w:afterAutospacing="1" w:line="360" w:lineRule="auto"/>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Email: </w:t>
      </w:r>
      <w:hyperlink r:id="rId7" w:history="1">
        <w:r w:rsidRPr="006E011C">
          <w:rPr>
            <w:rStyle w:val="Hyperlink"/>
            <w:rFonts w:asciiTheme="majorBidi" w:hAnsiTheme="majorBidi" w:cstheme="majorBidi"/>
            <w:color w:val="000000" w:themeColor="text1"/>
            <w:sz w:val="24"/>
            <w:szCs w:val="24"/>
          </w:rPr>
          <w:t>alishirazinejad@ut.ac.ir</w:t>
        </w:r>
      </w:hyperlink>
      <w:r w:rsidRPr="006E011C">
        <w:rPr>
          <w:rFonts w:asciiTheme="majorBidi" w:hAnsiTheme="majorBidi" w:cstheme="majorBidi"/>
          <w:color w:val="000000" w:themeColor="text1"/>
          <w:sz w:val="24"/>
          <w:szCs w:val="24"/>
        </w:rPr>
        <w:t xml:space="preserve">               Tel: +98-912-271-4854</w:t>
      </w:r>
    </w:p>
    <w:p w14:paraId="2F1376ED" w14:textId="77777777" w:rsidR="00E64CA0" w:rsidRPr="006E011C" w:rsidRDefault="00E64CA0" w:rsidP="00E64CA0">
      <w:pPr>
        <w:pStyle w:val="FootnoteText"/>
        <w:spacing w:before="100" w:beforeAutospacing="1" w:after="100" w:afterAutospacing="1" w:line="360" w:lineRule="auto"/>
        <w:rPr>
          <w:rFonts w:asciiTheme="majorBidi" w:hAnsiTheme="majorBidi" w:cstheme="majorBidi"/>
          <w:color w:val="000000" w:themeColor="text1"/>
          <w:sz w:val="24"/>
          <w:szCs w:val="24"/>
        </w:rPr>
      </w:pPr>
    </w:p>
    <w:p w14:paraId="013D1384" w14:textId="77777777" w:rsidR="0076590F" w:rsidRPr="006E011C" w:rsidRDefault="00E64CA0" w:rsidP="0076590F">
      <w:pPr>
        <w:pStyle w:val="FootnoteText"/>
        <w:spacing w:before="100" w:beforeAutospacing="1" w:after="100" w:afterAutospacing="1" w:line="360" w:lineRule="auto"/>
        <w:rPr>
          <w:rFonts w:asciiTheme="majorBidi" w:hAnsiTheme="majorBidi" w:cstheme="majorBidi"/>
          <w:color w:val="000000" w:themeColor="text1"/>
          <w:sz w:val="24"/>
          <w:szCs w:val="24"/>
        </w:rPr>
      </w:pPr>
      <w:r w:rsidRPr="006E011C">
        <w:rPr>
          <w:rFonts w:asciiTheme="majorBidi" w:hAnsiTheme="majorBidi" w:cstheme="majorBidi"/>
          <w:b/>
          <w:bCs/>
          <w:color w:val="000000" w:themeColor="text1"/>
          <w:sz w:val="24"/>
          <w:szCs w:val="24"/>
        </w:rPr>
        <w:t xml:space="preserve">Second </w:t>
      </w:r>
      <w:r w:rsidR="0076590F" w:rsidRPr="006E011C">
        <w:rPr>
          <w:rFonts w:asciiTheme="majorBidi" w:hAnsiTheme="majorBidi" w:cstheme="majorBidi"/>
          <w:b/>
          <w:bCs/>
          <w:color w:val="000000" w:themeColor="text1"/>
          <w:sz w:val="24"/>
          <w:szCs w:val="24"/>
        </w:rPr>
        <w:t>&amp; Corresponding author</w:t>
      </w:r>
      <w:r w:rsidR="0076590F" w:rsidRPr="006E011C">
        <w:rPr>
          <w:rFonts w:asciiTheme="majorBidi" w:hAnsiTheme="majorBidi" w:cstheme="majorBidi"/>
          <w:b/>
          <w:bCs/>
          <w:color w:val="000000" w:themeColor="text1"/>
          <w:sz w:val="24"/>
          <w:szCs w:val="24"/>
          <w:vertAlign w:val="superscript"/>
        </w:rPr>
        <w:t>*</w:t>
      </w:r>
      <w:r w:rsidR="0076590F" w:rsidRPr="006E011C">
        <w:rPr>
          <w:rFonts w:asciiTheme="majorBidi" w:hAnsiTheme="majorBidi" w:cstheme="majorBidi"/>
          <w:color w:val="000000" w:themeColor="text1"/>
          <w:sz w:val="24"/>
          <w:szCs w:val="24"/>
        </w:rPr>
        <w:t xml:space="preserve">: </w:t>
      </w:r>
      <w:r w:rsidR="0076590F" w:rsidRPr="006E011C">
        <w:rPr>
          <w:rFonts w:asciiTheme="majorBidi" w:hAnsiTheme="majorBidi" w:cstheme="majorBidi"/>
          <w:b/>
          <w:bCs/>
          <w:color w:val="000000" w:themeColor="text1"/>
          <w:sz w:val="24"/>
          <w:szCs w:val="24"/>
        </w:rPr>
        <w:t>Erfan Heidari</w:t>
      </w:r>
    </w:p>
    <w:p w14:paraId="1F2265BA" w14:textId="77777777" w:rsidR="0076590F" w:rsidRPr="006E011C" w:rsidRDefault="0076590F" w:rsidP="0076590F">
      <w:pPr>
        <w:pStyle w:val="FootnoteText"/>
        <w:spacing w:before="100" w:beforeAutospacing="1" w:after="100" w:afterAutospacing="1" w:line="360" w:lineRule="auto"/>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Affiliated as Research Fellow at Learning Environments Applied Research Network (</w:t>
      </w:r>
      <w:proofErr w:type="spellStart"/>
      <w:r w:rsidRPr="006E011C">
        <w:rPr>
          <w:rFonts w:asciiTheme="majorBidi" w:hAnsiTheme="majorBidi" w:cstheme="majorBidi"/>
          <w:color w:val="000000" w:themeColor="text1"/>
          <w:sz w:val="24"/>
          <w:szCs w:val="24"/>
        </w:rPr>
        <w:t>LEaRN</w:t>
      </w:r>
      <w:proofErr w:type="spellEnd"/>
      <w:r w:rsidRPr="006E011C">
        <w:rPr>
          <w:rFonts w:asciiTheme="majorBidi" w:hAnsiTheme="majorBidi" w:cstheme="majorBidi"/>
          <w:color w:val="000000" w:themeColor="text1"/>
          <w:sz w:val="24"/>
          <w:szCs w:val="24"/>
        </w:rPr>
        <w:t>), University of Melbourne, VIC, Australia</w:t>
      </w:r>
    </w:p>
    <w:p w14:paraId="05A561F3" w14:textId="77777777" w:rsidR="0076590F" w:rsidRPr="006E011C" w:rsidRDefault="0076590F" w:rsidP="0076590F">
      <w:pPr>
        <w:pStyle w:val="FootnoteText"/>
        <w:spacing w:before="100" w:beforeAutospacing="1" w:after="100" w:afterAutospacing="1" w:line="360" w:lineRule="auto"/>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Email: </w:t>
      </w:r>
      <w:hyperlink r:id="rId8" w:history="1">
        <w:r w:rsidRPr="006E011C">
          <w:rPr>
            <w:rStyle w:val="Hyperlink"/>
            <w:rFonts w:asciiTheme="majorBidi" w:hAnsiTheme="majorBidi" w:cstheme="majorBidi"/>
            <w:color w:val="000000" w:themeColor="text1"/>
            <w:sz w:val="24"/>
            <w:szCs w:val="24"/>
          </w:rPr>
          <w:t>erfanh941@gmail.com</w:t>
        </w:r>
      </w:hyperlink>
      <w:r w:rsidRPr="006E011C">
        <w:rPr>
          <w:rFonts w:asciiTheme="majorBidi" w:hAnsiTheme="majorBidi" w:cstheme="majorBidi"/>
          <w:color w:val="000000" w:themeColor="text1"/>
          <w:sz w:val="24"/>
          <w:szCs w:val="24"/>
        </w:rPr>
        <w:t xml:space="preserve">      </w:t>
      </w:r>
      <w:hyperlink r:id="rId9" w:history="1">
        <w:r w:rsidRPr="006E011C">
          <w:rPr>
            <w:rStyle w:val="Hyperlink"/>
            <w:rFonts w:asciiTheme="majorBidi" w:hAnsiTheme="majorBidi" w:cstheme="majorBidi"/>
            <w:color w:val="000000" w:themeColor="text1"/>
            <w:sz w:val="24"/>
            <w:szCs w:val="24"/>
          </w:rPr>
          <w:t>(0000-0002-0793-5533) - ORCID</w:t>
        </w:r>
      </w:hyperlink>
    </w:p>
    <w:p w14:paraId="789E6EF4" w14:textId="77777777" w:rsidR="0076590F" w:rsidRDefault="0076590F" w:rsidP="00E64CA0">
      <w:pPr>
        <w:pStyle w:val="FootnoteText"/>
        <w:spacing w:before="100" w:beforeAutospacing="1" w:after="100" w:afterAutospacing="1" w:line="360" w:lineRule="auto"/>
        <w:rPr>
          <w:rFonts w:asciiTheme="majorBidi" w:hAnsiTheme="majorBidi" w:cstheme="majorBidi"/>
          <w:b/>
          <w:bCs/>
          <w:color w:val="000000" w:themeColor="text1"/>
          <w:sz w:val="24"/>
          <w:szCs w:val="24"/>
        </w:rPr>
      </w:pPr>
    </w:p>
    <w:p w14:paraId="18C63426" w14:textId="732D9AFE" w:rsidR="00E64CA0" w:rsidRPr="0076590F" w:rsidRDefault="0076590F" w:rsidP="0076590F">
      <w:pPr>
        <w:pStyle w:val="FootnoteText"/>
        <w:spacing w:before="100" w:beforeAutospacing="1" w:after="100" w:afterAutospacing="1" w:line="360" w:lineRule="auto"/>
        <w:rPr>
          <w:rFonts w:asciiTheme="majorBidi" w:hAnsiTheme="majorBidi" w:cstheme="majorBidi"/>
          <w:color w:val="000000" w:themeColor="text1"/>
          <w:sz w:val="24"/>
          <w:szCs w:val="24"/>
        </w:rPr>
      </w:pPr>
      <w:r w:rsidRPr="006E011C">
        <w:rPr>
          <w:rFonts w:asciiTheme="majorBidi" w:hAnsiTheme="majorBidi" w:cstheme="majorBidi"/>
          <w:b/>
          <w:bCs/>
          <w:color w:val="000000" w:themeColor="text1"/>
          <w:sz w:val="24"/>
          <w:szCs w:val="24"/>
        </w:rPr>
        <w:t>Third</w:t>
      </w:r>
      <w:r w:rsidRPr="006E011C">
        <w:rPr>
          <w:rFonts w:asciiTheme="majorBidi" w:hAnsiTheme="majorBidi" w:cstheme="majorBidi"/>
          <w:color w:val="000000" w:themeColor="text1"/>
          <w:sz w:val="24"/>
          <w:szCs w:val="24"/>
        </w:rPr>
        <w:t xml:space="preserve"> </w:t>
      </w:r>
      <w:r w:rsidR="00E64CA0" w:rsidRPr="006E011C">
        <w:rPr>
          <w:rFonts w:asciiTheme="majorBidi" w:hAnsiTheme="majorBidi" w:cstheme="majorBidi"/>
          <w:b/>
          <w:bCs/>
          <w:color w:val="000000" w:themeColor="text1"/>
          <w:sz w:val="24"/>
          <w:szCs w:val="24"/>
        </w:rPr>
        <w:t xml:space="preserve">author: </w:t>
      </w:r>
      <w:r w:rsidR="00E64CA0" w:rsidRPr="006E011C">
        <w:rPr>
          <w:rFonts w:asciiTheme="majorBidi" w:hAnsiTheme="majorBidi" w:cstheme="majorBidi"/>
          <w:b/>
          <w:bCs/>
          <w:color w:val="000000" w:themeColor="text1"/>
          <w:sz w:val="24"/>
          <w:szCs w:val="24"/>
          <w:lang w:bidi="fa-IR"/>
        </w:rPr>
        <w:t>Mohammad Rahim Esfidani</w:t>
      </w:r>
      <w:r w:rsidR="00E64CA0" w:rsidRPr="006E011C">
        <w:rPr>
          <w:rFonts w:asciiTheme="majorBidi" w:hAnsiTheme="majorBidi" w:cstheme="majorBidi"/>
          <w:b/>
          <w:bCs/>
          <w:color w:val="000000" w:themeColor="text1"/>
          <w:sz w:val="24"/>
          <w:szCs w:val="24"/>
        </w:rPr>
        <w:t xml:space="preserve"> </w:t>
      </w:r>
    </w:p>
    <w:p w14:paraId="06CB4550" w14:textId="77777777" w:rsidR="00E64CA0" w:rsidRPr="006E011C" w:rsidRDefault="00E64CA0" w:rsidP="00E64CA0">
      <w:pPr>
        <w:pStyle w:val="FootnoteText"/>
        <w:spacing w:before="100" w:beforeAutospacing="1" w:after="100" w:afterAutospacing="1" w:line="360" w:lineRule="auto"/>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Assistant professor, Faculty of Management, University of Tehran, Tehran, Iran</w:t>
      </w:r>
    </w:p>
    <w:p w14:paraId="3F2EC7AF" w14:textId="77777777" w:rsidR="00E64CA0" w:rsidRPr="006E011C" w:rsidRDefault="00E64CA0" w:rsidP="00E64CA0">
      <w:pPr>
        <w:pStyle w:val="FootnoteText"/>
        <w:spacing w:before="100" w:beforeAutospacing="1" w:after="100" w:afterAutospacing="1" w:line="360" w:lineRule="auto"/>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Email: </w:t>
      </w:r>
      <w:hyperlink r:id="rId10" w:history="1">
        <w:r w:rsidRPr="006E011C">
          <w:rPr>
            <w:rStyle w:val="Hyperlink"/>
            <w:rFonts w:asciiTheme="majorBidi" w:hAnsiTheme="majorBidi" w:cstheme="majorBidi"/>
            <w:color w:val="000000" w:themeColor="text1"/>
            <w:sz w:val="24"/>
            <w:szCs w:val="24"/>
          </w:rPr>
          <w:t>esfidani@ut.ac.ir</w:t>
        </w:r>
      </w:hyperlink>
      <w:r w:rsidRPr="006E011C">
        <w:rPr>
          <w:rFonts w:asciiTheme="majorBidi" w:hAnsiTheme="majorBidi" w:cstheme="majorBidi"/>
          <w:color w:val="000000" w:themeColor="text1"/>
          <w:sz w:val="24"/>
          <w:szCs w:val="24"/>
        </w:rPr>
        <w:t xml:space="preserve">     </w:t>
      </w:r>
      <w:hyperlink r:id="rId11" w:history="1">
        <w:r w:rsidRPr="006E011C">
          <w:rPr>
            <w:rStyle w:val="Hyperlink"/>
            <w:rFonts w:asciiTheme="majorBidi" w:hAnsiTheme="majorBidi" w:cstheme="majorBidi"/>
            <w:color w:val="000000" w:themeColor="text1"/>
            <w:sz w:val="24"/>
            <w:szCs w:val="24"/>
          </w:rPr>
          <w:t>(0000-0002-9241-263X) - ORCID</w:t>
        </w:r>
      </w:hyperlink>
      <w:r w:rsidRPr="006E011C">
        <w:rPr>
          <w:rFonts w:asciiTheme="majorBidi" w:hAnsiTheme="majorBidi" w:cstheme="majorBidi"/>
          <w:color w:val="000000" w:themeColor="text1"/>
          <w:sz w:val="24"/>
          <w:szCs w:val="24"/>
        </w:rPr>
        <w:t xml:space="preserve">        </w:t>
      </w:r>
    </w:p>
    <w:p w14:paraId="00AF5234" w14:textId="77777777" w:rsidR="00E64CA0" w:rsidRPr="006E011C" w:rsidRDefault="00E64CA0" w:rsidP="00E64CA0">
      <w:pPr>
        <w:pStyle w:val="FootnoteText"/>
        <w:spacing w:before="100" w:beforeAutospacing="1" w:after="100" w:afterAutospacing="1" w:line="360" w:lineRule="auto"/>
        <w:rPr>
          <w:rFonts w:asciiTheme="majorBidi" w:hAnsiTheme="majorBidi" w:cstheme="majorBidi"/>
          <w:color w:val="000000" w:themeColor="text1"/>
          <w:sz w:val="24"/>
          <w:szCs w:val="24"/>
        </w:rPr>
      </w:pPr>
    </w:p>
    <w:p w14:paraId="7A0BB44D" w14:textId="77777777" w:rsidR="00E64CA0" w:rsidRPr="006E011C" w:rsidRDefault="00E64CA0" w:rsidP="00E64CA0">
      <w:pPr>
        <w:pStyle w:val="FootnoteText"/>
        <w:spacing w:before="100" w:beforeAutospacing="1" w:after="100" w:afterAutospacing="1" w:line="360" w:lineRule="auto"/>
        <w:rPr>
          <w:rFonts w:asciiTheme="majorBidi" w:hAnsiTheme="majorBidi" w:cstheme="majorBidi"/>
          <w:color w:val="000000" w:themeColor="text1"/>
          <w:sz w:val="24"/>
          <w:szCs w:val="24"/>
        </w:rPr>
      </w:pPr>
    </w:p>
    <w:p w14:paraId="2E10E4A9" w14:textId="77777777" w:rsidR="00E64CA0" w:rsidRPr="006E011C" w:rsidRDefault="00E64CA0" w:rsidP="00E64CA0">
      <w:pPr>
        <w:spacing w:before="100" w:beforeAutospacing="1" w:after="100" w:afterAutospacing="1" w:line="360" w:lineRule="auto"/>
        <w:rPr>
          <w:rFonts w:asciiTheme="majorBidi" w:hAnsiTheme="majorBidi" w:cstheme="majorBidi"/>
          <w:b/>
          <w:bCs/>
          <w:color w:val="000000" w:themeColor="text1"/>
          <w:sz w:val="24"/>
          <w:szCs w:val="24"/>
          <w:lang w:bidi="fa-IR"/>
        </w:rPr>
      </w:pPr>
      <w:r w:rsidRPr="006E011C">
        <w:rPr>
          <w:rFonts w:asciiTheme="majorBidi" w:hAnsiTheme="majorBidi" w:cstheme="majorBidi"/>
          <w:b/>
          <w:bCs/>
          <w:color w:val="000000" w:themeColor="text1"/>
          <w:sz w:val="24"/>
          <w:szCs w:val="24"/>
          <w:lang w:bidi="fa-IR"/>
        </w:rPr>
        <w:br w:type="page"/>
      </w:r>
    </w:p>
    <w:p w14:paraId="609B3F17" w14:textId="77777777" w:rsidR="00E64CA0" w:rsidRPr="006E011C" w:rsidRDefault="00E64CA0" w:rsidP="00E64CA0">
      <w:pPr>
        <w:spacing w:before="100" w:beforeAutospacing="1" w:after="100" w:afterAutospacing="1" w:line="360" w:lineRule="auto"/>
        <w:ind w:left="284"/>
        <w:jc w:val="center"/>
        <w:rPr>
          <w:rFonts w:asciiTheme="majorBidi" w:hAnsiTheme="majorBidi" w:cstheme="majorBidi"/>
          <w:color w:val="000000" w:themeColor="text1"/>
          <w:sz w:val="24"/>
          <w:szCs w:val="24"/>
          <w:lang w:bidi="fa-IR"/>
        </w:rPr>
      </w:pPr>
      <w:r w:rsidRPr="006E011C">
        <w:rPr>
          <w:rFonts w:asciiTheme="majorBidi" w:hAnsiTheme="majorBidi" w:cstheme="majorBidi"/>
          <w:b/>
          <w:bCs/>
          <w:color w:val="000000" w:themeColor="text1"/>
          <w:sz w:val="24"/>
          <w:szCs w:val="24"/>
          <w:lang w:bidi="fa-IR"/>
        </w:rPr>
        <w:lastRenderedPageBreak/>
        <w:t xml:space="preserve">The Role of Light and Colour as Visual Cues in Customer Attraction: </w:t>
      </w:r>
      <w:r w:rsidRPr="006E011C">
        <w:rPr>
          <w:rFonts w:asciiTheme="majorBidi" w:hAnsiTheme="majorBidi" w:cstheme="majorBidi"/>
          <w:color w:val="000000" w:themeColor="text1"/>
          <w:sz w:val="24"/>
          <w:szCs w:val="24"/>
          <w:lang w:bidi="fa-IR"/>
        </w:rPr>
        <w:t>Evidence from Restaurant Interiors Environments</w:t>
      </w:r>
    </w:p>
    <w:p w14:paraId="3ED040BA" w14:textId="77777777" w:rsidR="00E64CA0" w:rsidRPr="006E011C" w:rsidRDefault="00E64CA0" w:rsidP="00E64CA0">
      <w:pPr>
        <w:spacing w:before="100" w:beforeAutospacing="1" w:after="100" w:afterAutospacing="1" w:line="360" w:lineRule="auto"/>
        <w:ind w:left="284"/>
        <w:jc w:val="both"/>
        <w:rPr>
          <w:rFonts w:asciiTheme="majorBidi" w:hAnsiTheme="majorBidi" w:cstheme="majorBidi"/>
          <w:color w:val="000000" w:themeColor="text1"/>
          <w:sz w:val="24"/>
          <w:szCs w:val="24"/>
          <w:lang w:bidi="fa-IR"/>
        </w:rPr>
      </w:pPr>
    </w:p>
    <w:p w14:paraId="56500493" w14:textId="77777777" w:rsidR="00E64CA0" w:rsidRPr="006E011C" w:rsidRDefault="00E64CA0" w:rsidP="00E64CA0">
      <w:pPr>
        <w:pStyle w:val="Heading1"/>
        <w:spacing w:before="100" w:beforeAutospacing="1" w:after="100" w:afterAutospacing="1" w:line="360" w:lineRule="auto"/>
        <w:rPr>
          <w:rFonts w:asciiTheme="majorBidi" w:hAnsiTheme="majorBidi"/>
          <w:b/>
          <w:bCs/>
          <w:color w:val="000000" w:themeColor="text1"/>
          <w:sz w:val="24"/>
          <w:szCs w:val="24"/>
          <w:lang w:bidi="fa-IR"/>
        </w:rPr>
      </w:pPr>
      <w:r w:rsidRPr="006E011C">
        <w:rPr>
          <w:rFonts w:asciiTheme="majorBidi" w:hAnsiTheme="majorBidi"/>
          <w:b/>
          <w:bCs/>
          <w:color w:val="000000" w:themeColor="text1"/>
          <w:sz w:val="24"/>
          <w:szCs w:val="24"/>
          <w:lang w:bidi="fa-IR"/>
        </w:rPr>
        <w:t xml:space="preserve">Abstract </w:t>
      </w:r>
    </w:p>
    <w:p w14:paraId="56CC4F8C"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lang w:bidi="fa-IR"/>
        </w:rPr>
      </w:pPr>
      <w:r w:rsidRPr="006E011C">
        <w:rPr>
          <w:rFonts w:asciiTheme="majorBidi" w:hAnsiTheme="majorBidi" w:cstheme="majorBidi"/>
          <w:color w:val="000000" w:themeColor="text1"/>
          <w:sz w:val="24"/>
          <w:szCs w:val="24"/>
          <w:lang w:bidi="fa-IR"/>
        </w:rPr>
        <w:t>The visual atmosphere of hospitality interiors plays a significant role in attracting customers and shaping their perception of space, yet its links to emotional response and time perception remain underexamined within interior architecture research. Addressing this gap, this study examines lighting and colour in restaurant interiors as a representative hospitality setting in which atmospheric variations can substantially influence customer behaviour. Adopting a multidisciplinary quantitative approach that integrates indoor environmental quality (IEQ), marketing, and behavioural psychology, the research tested four hypotheses using data collected from 441 participants in Tehran. A comparative analysis was conducted across four lighting–colour conditions of restaurants: warm/bright, cold/bright, warm/dim, and cold/dim. The findings demonstrate that lighting and colour significantly influence both emotional response and perceived waiting time, although in contrasting ways. The cold/bright condition generated the strongest emotional response, whereas the warm/bright condition was most effective in reducing perceived waiting time. Both variables significantly contributed to customer attraction, with emotion showing the stronger predictive effect (β = 0.520 compared to 0.346). The findings redefine IEQ, focusing on light and colour, as an active and measurable design strategy rather than a passive decorative background.</w:t>
      </w:r>
    </w:p>
    <w:p w14:paraId="77148705" w14:textId="77777777" w:rsidR="00E64CA0" w:rsidRPr="006E011C" w:rsidRDefault="00E64CA0" w:rsidP="00E64CA0">
      <w:pPr>
        <w:spacing w:before="100" w:beforeAutospacing="1" w:after="100" w:afterAutospacing="1" w:line="360" w:lineRule="auto"/>
        <w:jc w:val="both"/>
        <w:rPr>
          <w:rFonts w:asciiTheme="majorBidi" w:hAnsiTheme="majorBidi" w:cstheme="majorBidi"/>
          <w:b/>
          <w:bCs/>
          <w:color w:val="000000" w:themeColor="text1"/>
          <w:sz w:val="24"/>
          <w:szCs w:val="24"/>
        </w:rPr>
      </w:pPr>
      <w:r w:rsidRPr="006E011C">
        <w:rPr>
          <w:rFonts w:asciiTheme="majorBidi" w:hAnsiTheme="majorBidi" w:cstheme="majorBidi"/>
          <w:b/>
          <w:bCs/>
          <w:color w:val="000000" w:themeColor="text1"/>
          <w:sz w:val="24"/>
          <w:szCs w:val="24"/>
          <w:lang w:bidi="fa-IR"/>
        </w:rPr>
        <w:t>Keywords:</w:t>
      </w:r>
      <w:r w:rsidRPr="006E011C">
        <w:rPr>
          <w:rFonts w:asciiTheme="majorBidi" w:hAnsiTheme="majorBidi" w:cstheme="majorBidi"/>
          <w:color w:val="000000" w:themeColor="text1"/>
          <w:sz w:val="24"/>
          <w:szCs w:val="24"/>
          <w:lang w:bidi="fa-IR"/>
        </w:rPr>
        <w:t xml:space="preserve"> Indoor environment quality; Light and colour; Restaurant environment; Emotion; Perception of time</w:t>
      </w:r>
    </w:p>
    <w:p w14:paraId="698CD0DC" w14:textId="77777777" w:rsidR="00E64CA0" w:rsidRPr="006E011C" w:rsidRDefault="00E64CA0" w:rsidP="00E64CA0">
      <w:pPr>
        <w:spacing w:before="100" w:beforeAutospacing="1" w:after="100" w:afterAutospacing="1" w:line="360" w:lineRule="auto"/>
        <w:jc w:val="both"/>
        <w:rPr>
          <w:rFonts w:asciiTheme="majorBidi" w:hAnsiTheme="majorBidi" w:cstheme="majorBidi"/>
          <w:b/>
          <w:bCs/>
          <w:color w:val="000000" w:themeColor="text1"/>
          <w:sz w:val="24"/>
          <w:szCs w:val="24"/>
        </w:rPr>
      </w:pPr>
    </w:p>
    <w:p w14:paraId="5A358679" w14:textId="77777777" w:rsidR="00E64CA0" w:rsidRPr="006E011C" w:rsidRDefault="00E64CA0" w:rsidP="00E64CA0">
      <w:pPr>
        <w:spacing w:before="100" w:beforeAutospacing="1" w:after="100" w:afterAutospacing="1" w:line="360" w:lineRule="auto"/>
        <w:jc w:val="both"/>
        <w:rPr>
          <w:rFonts w:asciiTheme="majorBidi" w:hAnsiTheme="majorBidi" w:cstheme="majorBidi"/>
          <w:b/>
          <w:bCs/>
          <w:color w:val="000000" w:themeColor="text1"/>
          <w:sz w:val="24"/>
          <w:szCs w:val="24"/>
        </w:rPr>
      </w:pPr>
    </w:p>
    <w:p w14:paraId="5274C824" w14:textId="77777777" w:rsidR="00E64CA0" w:rsidRPr="006E011C" w:rsidRDefault="00E64CA0" w:rsidP="00E64CA0">
      <w:pPr>
        <w:spacing w:before="100" w:beforeAutospacing="1" w:after="100" w:afterAutospacing="1" w:line="360" w:lineRule="auto"/>
        <w:jc w:val="both"/>
        <w:rPr>
          <w:rFonts w:asciiTheme="majorBidi" w:hAnsiTheme="majorBidi" w:cstheme="majorBidi"/>
          <w:b/>
          <w:bCs/>
          <w:color w:val="000000" w:themeColor="text1"/>
          <w:sz w:val="24"/>
          <w:szCs w:val="24"/>
        </w:rPr>
      </w:pPr>
    </w:p>
    <w:p w14:paraId="652EF467" w14:textId="77777777" w:rsidR="00E64CA0" w:rsidRPr="006E011C" w:rsidRDefault="00E64CA0" w:rsidP="00E64CA0">
      <w:pPr>
        <w:pStyle w:val="Heading1"/>
        <w:spacing w:before="100" w:beforeAutospacing="1" w:after="100" w:afterAutospacing="1" w:line="360" w:lineRule="auto"/>
        <w:rPr>
          <w:rFonts w:asciiTheme="majorBidi" w:hAnsiTheme="majorBidi"/>
          <w:b/>
          <w:bCs/>
          <w:color w:val="000000" w:themeColor="text1"/>
          <w:sz w:val="24"/>
          <w:szCs w:val="24"/>
        </w:rPr>
      </w:pPr>
      <w:r w:rsidRPr="006E011C">
        <w:rPr>
          <w:rFonts w:asciiTheme="majorBidi" w:hAnsiTheme="majorBidi"/>
          <w:b/>
          <w:bCs/>
          <w:color w:val="000000" w:themeColor="text1"/>
          <w:sz w:val="24"/>
          <w:szCs w:val="24"/>
        </w:rPr>
        <w:lastRenderedPageBreak/>
        <w:t xml:space="preserve">Introduction </w:t>
      </w:r>
    </w:p>
    <w:p w14:paraId="5562FFC3"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Indoor environmental quality (IEQ) has become a major focus in interior architecture, particularly in hospitality settings where it significantly affects customers’ emotional responses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&lt;EndNote&gt;&lt;Cite&gt;&lt;Author&gt;Bitner&lt;/Author&gt;&lt;Year&gt;1992&lt;/Year&gt;&lt;RecNum&gt;4017&lt;/RecNum&gt;&lt;DisplayText&gt;(Bitner, 1992; Leong et al., 2023)&lt;/DisplayText&gt;&lt;record&gt;&lt;rec-number&gt;4017&lt;/rec-number&gt;&lt;foreign-keys&gt;&lt;key app="EN" db-id="wxpst05zptaafreftwnxf9z0wwzeppsvvads" timestamp="1779268494"&gt;4017&lt;/key&gt;&lt;/foreign-keys&gt;&lt;ref-type name="Journal Article"&gt;17&lt;/ref-type&gt;&lt;contributors&gt;&lt;authors&gt;&lt;author&gt;Bitner, Mary Jo&lt;/author&gt;&lt;/authors&gt;&lt;/contributors&gt;&lt;titles&gt;&lt;title&gt;Servicescapes: The impact of physical surroundings on customers and employees&lt;/title&gt;&lt;secondary-title&gt;Journal of marketing&lt;/secondary-title&gt;&lt;/titles&gt;&lt;periodical&gt;&lt;full-title&gt;Journal of marketing&lt;/full-title&gt;&lt;/periodical&gt;&lt;pages&gt;57-71&lt;/pages&gt;&lt;volume&gt;56&lt;/volume&gt;&lt;number&gt;2&lt;/number&gt;&lt;dates&gt;&lt;year&gt;1992&lt;/year&gt;&lt;/dates&gt;&lt;isbn&gt;0022-2429&lt;/isbn&gt;&lt;urls&gt;&lt;/urls&gt;&lt;/record&gt;&lt;/Cite&gt;&lt;Cite&gt;&lt;Author&gt;Leong&lt;/Author&gt;&lt;Year&gt;2023&lt;/Year&gt;&lt;RecNum&gt;4029&lt;/RecNum&gt;&lt;record&gt;&lt;rec-number&gt;4029&lt;/rec-number&gt;&lt;foreign-keys&gt;&lt;key app="EN" db-id="wxpst05zptaafreftwnxf9z0wwzeppsvvads" timestamp="1779285952"&gt;4029&lt;/key&gt;&lt;/foreign-keys&gt;&lt;ref-type name="Journal Article"&gt;17&lt;/ref-type&gt;&lt;contributors&gt;&lt;authors&gt;&lt;author&gt;Leong, Aliana Man Wai&lt;/author&gt;&lt;author&gt;Chen, Kuan-Ying&lt;/author&gt;&lt;author&gt;Chen, Hung-Bin&lt;/author&gt;&lt;author&gt;Chiang, Tai-En&lt;/author&gt;&lt;author&gt;Huan, Tzung-Cheng&lt;/author&gt;&lt;/authors&gt;&lt;/contributors&gt;&lt;titles&gt;&lt;title&gt;Exploring the effects of customers&amp;apos; assessments of a restaurant&amp;apos;s atmospherics and emotional assessments on a fine-dining experience and intentions to return&lt;/title&gt;&lt;secondary-title&gt;Tourism Management Perspectives&lt;/secondary-title&gt;&lt;/titles&gt;&lt;periodical&gt;&lt;full-title&gt;Tourism Management Perspectives&lt;/full-title&gt;&lt;/periodical&gt;&lt;pages&gt;101121&lt;/pages&gt;&lt;volume&gt;47&lt;/volume&gt;&lt;dates&gt;&lt;year&gt;2023&lt;/year&gt;&lt;/dates&gt;&lt;isbn&gt;2211-9736&lt;/isbn&gt;&lt;urls&gt;&lt;/urls&gt;&lt;/record&gt;&lt;/Cite&gt;&lt;/EndNote&gt;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(Bitner, 1992; Leong et al., 2023)</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Among IEQ components, lighting and colour act as powerful visual stimuli that influence customer attraction, perception, and affective reactions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&lt;EndNote&gt;&lt;Cite&gt;&lt;Author&gt;Shehab&lt;/Author&gt;&lt;Year&gt;2026&lt;/Year&gt;&lt;RecNum&gt;4030&lt;/RecNum&gt;&lt;DisplayText&gt;(Shehab &amp;amp; Durmus, 2026)&lt;/DisplayText&gt;&lt;record&gt;&lt;rec-number&gt;4030&lt;/rec-number&gt;&lt;foreign-keys&gt;&lt;key app="EN" db-id="wxpst05zptaafreftwnxf9z0wwzeppsvvads" timestamp="1779286018"&gt;4030&lt;/key&gt;&lt;/foreign-keys&gt;&lt;ref-type name="Journal Article"&gt;17&lt;/ref-type&gt;&lt;contributors&gt;&lt;authors&gt;&lt;author&gt;Shehab, Naser&lt;/author&gt;&lt;author&gt;Durmus, Dorukalp&lt;/author&gt;&lt;/authors&gt;&lt;/contributors&gt;&lt;titles&gt;&lt;title&gt;Effects of Ambient and Display Lighting Color on Risk‐Taking Behavior, Perceived Emotional States, and Visual Quality of Indoor Environment&lt;/title&gt;&lt;secondary-title&gt;Color Research &amp;amp; Application&lt;/secondary-title&gt;&lt;/titles&gt;&lt;periodical&gt;&lt;full-title&gt;Color Research &amp;amp; Application&lt;/full-title&gt;&lt;/periodical&gt;&lt;pages&gt;e70005&lt;/pages&gt;&lt;volume&gt;51&lt;/volume&gt;&lt;number&gt;1&lt;/number&gt;&lt;dates&gt;&lt;year&gt;2026&lt;/year&gt;&lt;/dates&gt;&lt;isbn&gt;0361-2317&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(Shehab &amp; Durmus, 2026)</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Prior research has approached hospitality image from two main perspectives: first, as a blend of functional and psychological attributes; and second, as a perception-based construct shaped more by customer interpretation than by objective physical conditions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&lt;EndNote&gt;&lt;Cite&gt;&lt;Author&gt;Burns&lt;/Author&gt;&lt;Year&gt;2006&lt;/Year&gt;&lt;RecNum&gt;4031&lt;/RecNum&gt;&lt;DisplayText&gt;(Burns &amp;amp; Neisner, 2006)&lt;/DisplayText&gt;&lt;record&gt;&lt;rec-number&gt;4031&lt;/rec-number&gt;&lt;foreign-keys&gt;&lt;key app="EN" db-id="wxpst05zptaafreftwnxf9z0wwzeppsvvads" timestamp="1779286091"&gt;4031&lt;/key&gt;&lt;/foreign-keys&gt;&lt;ref-type name="Journal Article"&gt;17&lt;/ref-type&gt;&lt;contributors&gt;&lt;authors&gt;&lt;author&gt;Burns, David J&lt;/author&gt;&lt;author&gt;Neisner, Lewis&lt;/author&gt;&lt;/authors&gt;&lt;/contributors&gt;&lt;titles&gt;&lt;title&gt;Customer satisfaction in a retail setting: The contribution of emotion&lt;/title&gt;&lt;secondary-title&gt;International Journal of Retail &amp;amp; Distribution Management&lt;/secondary-title&gt;&lt;/titles&gt;&lt;periodical&gt;&lt;full-title&gt;International Journal of Retail &amp;amp; Distribution Management&lt;/full-title&gt;&lt;/periodical&gt;&lt;pages&gt;49-66&lt;/pages&gt;&lt;volume&gt;34&lt;/volume&gt;&lt;number&gt;1&lt;/number&gt;&lt;dates&gt;&lt;year&gt;2006&lt;/year&gt;&lt;/dates&gt;&lt;isbn&gt;0959-0552&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(Burns &amp; Neisner, 2006)</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w:t>
      </w:r>
    </w:p>
    <w:p w14:paraId="51FACEB4"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Customers’ perceptions are influenced by emotional reactions to both internal and external environmental cues, although the physical characteristics of the space also play an important role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&lt;EndNote&gt;&lt;Cite&gt;&lt;Author&gt;Kim&lt;/Author&gt;&lt;Year&gt;2009&lt;/Year&gt;&lt;RecNum&gt;4032&lt;/RecNum&gt;&lt;DisplayText&gt;(Kim &amp;amp; Moon, 2009)&lt;/DisplayText&gt;&lt;record&gt;&lt;rec-number&gt;4032&lt;/rec-number&gt;&lt;foreign-keys&gt;&lt;key app="EN" db-id="wxpst05zptaafreftwnxf9z0wwzeppsvvads" timestamp="1779286240"&gt;4032&lt;/key&gt;&lt;/foreign-keys&gt;&lt;ref-type name="Journal Article"&gt;17&lt;/ref-type&gt;&lt;contributors&gt;&lt;authors&gt;&lt;author&gt;Kim, Woo Gon&lt;/author&gt;&lt;author&gt;Moon, Yun Ji&lt;/author&gt;&lt;/authors&gt;&lt;/contributors&gt;&lt;titles&gt;&lt;title&gt;Customers’ cognitive, emotional, and actionable response to the servicescape: A test of the moderating effect of the restaurant type&lt;/title&gt;&lt;secondary-title&gt;International journal of hospitality management&lt;/secondary-title&gt;&lt;/titles&gt;&lt;periodical&gt;&lt;full-title&gt;International journal of hospitality management&lt;/full-title&gt;&lt;/periodical&gt;&lt;pages&gt;144-156&lt;/pages&gt;&lt;volume&gt;28&lt;/volume&gt;&lt;number&gt;1&lt;/number&gt;&lt;dates&gt;&lt;year&gt;2009&lt;/year&gt;&lt;/dates&gt;&lt;isbn&gt;0278-4319&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(Kim &amp; Moon, 2009)</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Despite this body of research, limited attention has been given to the influence of IEQ factors, especially lighting and colour, on customers’ perception of time. To address this gap, the current study examines restaurant environments, where perceived waiting time has a substantial impact on customer behaviour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&lt;EndNote&gt;&lt;Cite&gt;&lt;Author&gt;Chien&lt;/Author&gt;&lt;Year&gt;2015&lt;/Year&gt;&lt;RecNum&gt;4033&lt;/RecNum&gt;&lt;DisplayText&gt;(Chien &amp;amp; Lin, 2015)&lt;/DisplayText&gt;&lt;record&gt;&lt;rec-number&gt;4033&lt;/rec-number&gt;&lt;foreign-keys&gt;&lt;key app="EN" db-id="wxpst05zptaafreftwnxf9z0wwzeppsvvads" timestamp="1779286329"&gt;4033&lt;/key&gt;&lt;/foreign-keys&gt;&lt;ref-type name="Journal Article"&gt;17&lt;/ref-type&gt;&lt;contributors&gt;&lt;authors&gt;&lt;author&gt;Chien, Shih‐Yi&lt;/author&gt;&lt;author&gt;Lin, Ying‐Tung&lt;/author&gt;&lt;/authors&gt;&lt;/contributors&gt;&lt;titles&gt;&lt;title&gt;The effects of the service environment on perceived waiting time and emotions&lt;/title&gt;&lt;secondary-title&gt;Human Factors and Ergonomics in Manufacturing &amp;amp; Service Industries&lt;/secondary-title&gt;&lt;/titles&gt;&lt;periodical&gt;&lt;full-title&gt;Human Factors and Ergonomics in Manufacturing &amp;amp; Service Industries&lt;/full-title&gt;&lt;/periodical&gt;&lt;pages&gt;319-328&lt;/pages&gt;&lt;volume&gt;25&lt;/volume&gt;&lt;number&gt;3&lt;/number&gt;&lt;dates&gt;&lt;year&gt;2015&lt;/year&gt;&lt;/dates&gt;&lt;isbn&gt;1090-8471&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(Chien &amp; Lin, 2015)</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In doing so, the study contributes to interior architecture while extending debates in marketing and behavioural psychology. These interdisciplinary links carry direct implications for the design/use of hospitality environments and their capacity to shape users’ emotional responses and marketing outcomes.</w:t>
      </w:r>
    </w:p>
    <w:p w14:paraId="1DD8BAB1" w14:textId="77777777" w:rsidR="00E64CA0" w:rsidRPr="006E011C" w:rsidRDefault="00E64CA0" w:rsidP="00E64CA0">
      <w:pPr>
        <w:spacing w:before="100" w:beforeAutospacing="1" w:after="100" w:afterAutospacing="1" w:line="360" w:lineRule="auto"/>
        <w:jc w:val="both"/>
        <w:rPr>
          <w:rFonts w:asciiTheme="majorBidi" w:hAnsiTheme="majorBidi" w:cstheme="majorBidi"/>
          <w:b/>
          <w:bCs/>
          <w:color w:val="000000" w:themeColor="text1"/>
          <w:sz w:val="24"/>
          <w:szCs w:val="24"/>
          <w:lang w:bidi="fa-IR"/>
        </w:rPr>
      </w:pPr>
      <w:r w:rsidRPr="006E011C">
        <w:rPr>
          <w:rStyle w:val="Heading1Char"/>
          <w:rFonts w:asciiTheme="majorBidi" w:hAnsiTheme="majorBidi"/>
          <w:b/>
          <w:bCs/>
          <w:color w:val="000000" w:themeColor="text1"/>
          <w:sz w:val="24"/>
          <w:szCs w:val="24"/>
        </w:rPr>
        <w:t>Literature Review</w:t>
      </w:r>
    </w:p>
    <w:p w14:paraId="1E7ECFFA"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Scholarly discussions of commercial interiors have historically emerged from marketing and consumer-behaviour research. Foundational theories such as Kotler’s notion of atmospheric influence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 ExcludeAuth="1"&gt;&lt;Author&gt;Kotler&lt;/Author&gt;&lt;Year&gt;1973&lt;/Year&gt;&lt;RecNum&gt;4016&lt;/RecNum&gt;&lt;DisplayText&gt;(1973)&lt;/DisplayText&gt;&lt;record&gt;&lt;rec-number&gt;4016&lt;/rec-number&gt;&lt;foreign-keys&gt;&lt;key app="EN" db-id="wxpst05zptaafreftwnxf9z0wwzeppsvvads" timestamp="1779268445"&gt;4016&lt;/key&gt;&lt;/foreign-keys&gt;&lt;ref-type name="Journal Article"&gt;17&lt;/ref-type&gt;&lt;contributors&gt;&lt;authors&gt;&lt;author&gt;Kotler, Philip&lt;/author&gt;&lt;/authors&gt;&lt;/contributors&gt;&lt;titles&gt;&lt;title&gt;Atmospherics as a marketing tool&lt;/title&gt;&lt;secondary-title&gt;Journal of retailing&lt;/secondary-title&gt;&lt;/titles&gt;&lt;periodical&gt;&lt;full-title&gt;Journal of retailing&lt;/full-title&gt;&lt;/periodical&gt;&lt;pages&gt;48-64&lt;/pages&gt;&lt;volume&gt;49&lt;/volume&gt;&lt;number&gt;4&lt;/number&gt;&lt;dates&gt;&lt;year&gt;1973&lt;/year&gt;&lt;/dates&gt;&lt;urls&gt;&lt;/urls&gt;&lt;/record&gt;&lt;/Cite&gt;&lt;/EndNote&gt;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(1973)</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and Bitner’s </w:t>
      </w:r>
      <w:proofErr w:type="spellStart"/>
      <w:r w:rsidRPr="006E011C">
        <w:rPr>
          <w:rFonts w:asciiTheme="majorBidi" w:hAnsiTheme="majorBidi" w:cstheme="majorBidi"/>
          <w:color w:val="000000" w:themeColor="text1"/>
          <w:sz w:val="24"/>
          <w:szCs w:val="24"/>
        </w:rPr>
        <w:t>servicescape</w:t>
      </w:r>
      <w:proofErr w:type="spellEnd"/>
      <w:r w:rsidRPr="006E011C">
        <w:rPr>
          <w:rFonts w:asciiTheme="majorBidi" w:hAnsiTheme="majorBidi" w:cstheme="majorBidi"/>
          <w:color w:val="000000" w:themeColor="text1"/>
          <w:sz w:val="24"/>
          <w:szCs w:val="24"/>
        </w:rPr>
        <w:t xml:space="preserve"> model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 ExcludeAuth="1"&gt;&lt;Author&gt;Bitner&lt;/Author&gt;&lt;Year&gt;1992&lt;/Year&gt;&lt;RecNum&gt;4017&lt;/RecNum&gt;&lt;DisplayText&gt;(1992)&lt;/DisplayText&gt;&lt;record&gt;&lt;rec-number&gt;4017&lt;/rec-number&gt;&lt;foreign-keys&gt;&lt;key app="EN" db-id="wxpst05zptaafreftwnxf9z0wwzeppsvvads" timestamp="1779268494"&gt;4017&lt;/key&gt;&lt;/foreign-keys&gt;&lt;ref-type name="Journal Article"&gt;17&lt;/ref-type&gt;&lt;contributors&gt;&lt;authors&gt;&lt;author&gt;Bitner, Mary Jo&lt;/author&gt;&lt;/authors&gt;&lt;/contributors&gt;&lt;titles&gt;&lt;title&gt;Servicescapes: The impact of physical surroundings on customers and employees&lt;/title&gt;&lt;secondary-title&gt;Journal of marketing&lt;/secondary-title&gt;&lt;/titles&gt;&lt;periodical&gt;&lt;full-title&gt;Journal of marketing&lt;/full-title&gt;&lt;/periodical&gt;&lt;pages&gt;57-71&lt;/pages&gt;&lt;volume&gt;56&lt;/volume&gt;&lt;number&gt;2&lt;/number&gt;&lt;dates&gt;&lt;year&gt;1992&lt;/year&gt;&lt;/dates&gt;&lt;isbn&gt;0022-2429&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(1992)</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established that environmental characteristics—including illumination, colour palettes, spatial arrangement, and acoustics—shape emotional reactions and behavioural responses within consumer settings. Building on this trajectory, the Stimulus–Organism–Response framework proposed by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 AuthorYear="1"&gt;&lt;Author&gt;Mehrabian&lt;/Author&gt;&lt;Year&gt;1974&lt;/Year&gt;&lt;RecNum&gt;4024&lt;/RecNum&gt;&lt;DisplayText&gt;Mehrabian and Russell (1974)&lt;/DisplayText&gt;&lt;record&gt;&lt;rec-number&gt;4024&lt;/rec-number&gt;&lt;foreign-keys&gt;&lt;key app="EN" db-id="wxpst05zptaafreftwnxf9z0wwzeppsvvads" timestamp="1779271149"&gt;4024&lt;/key&gt;&lt;/foreign-keys&gt;&lt;ref-type name="Book"&gt;6&lt;/ref-type&gt;&lt;contributors&gt;&lt;authors&gt;&lt;author&gt;Mehrabian, Albert&lt;/author&gt;&lt;author&gt;Russell, James A&lt;/author&gt;&lt;/authors&gt;&lt;/contributors&gt;&lt;titles&gt;&lt;title&gt;An approach to environmental psychology&lt;/title&gt;&lt;/titles&gt;&lt;dates&gt;&lt;year&gt;1974&lt;/year&gt;&lt;/dates&gt;&lt;publisher&gt;the MIT Press&lt;/publisher&gt;&lt;isbn&gt;0262130904&lt;/isbn&gt;&lt;urls&gt;&lt;/urls&gt;&lt;/record&gt;&lt;/Cite&gt;&lt;/EndNote&gt;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Mehrabian and Russell (1974)</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became one of the principal explanatory models used to examine how environmental conditions influence approach and avoidance behaviour in hospitality environments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&lt;EndNote&gt;&lt;Cite&gt;&lt;Author&gt;Leong&lt;/Author&gt;&lt;Year&gt;2023&lt;/Year&gt;&lt;RecNum&gt;4029&lt;/RecNum&gt;&lt;DisplayText&gt;(Leong et al., 2023)&lt;/DisplayText&gt;&lt;record&gt;&lt;rec-number&gt;4029&lt;/rec-number&gt;&lt;foreign-keys&gt;&lt;key app="EN" db-id="wxpst05zptaafreftwnxf9z0wwzeppsvvads" timestamp="1779285952"&gt;4029&lt;/key&gt;&lt;/foreign-keys&gt;&lt;ref-type name="Journal Article"&gt;17&lt;/ref-type&gt;&lt;contributors&gt;&lt;authors&gt;&lt;author&gt;Leong, Aliana Man Wai&lt;/author&gt;&lt;author&gt;Chen, Kuan-Ying&lt;/author&gt;&lt;author&gt;Chen, Hung-Bin&lt;/author&gt;&lt;author&gt;Chiang, Tai-En&lt;/author&gt;&lt;author&gt;Huan, Tzung-Cheng&lt;/author&gt;&lt;/authors&gt;&lt;/contributors&gt;&lt;titles&gt;&lt;title&gt;Exploring the effects of customers&amp;apos; assessments of a restaurant&amp;apos;s atmospherics and emotional assessments on a fine-dining experience and intentions to return&lt;/title&gt;&lt;secondary-title&gt;Tourism Management Perspectives&lt;/secondary-title&gt;&lt;/titles&gt;&lt;periodical&gt;&lt;full-title&gt;Tourism Management Perspectives&lt;/full-title&gt;&lt;/periodical&gt;&lt;pages&gt;101121&lt;/pages&gt;&lt;volume&gt;47&lt;/volume&gt;&lt;dates&gt;&lt;year&gt;2023&lt;/year&gt;&lt;/dates&gt;&lt;isbn&gt;2211-9736&lt;/isbn&gt;&lt;urls&gt;&lt;/urls&gt;&lt;/record&gt;&lt;/Cite&gt;&lt;/EndNote&gt;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(Leong et al., 2023)</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w:t>
      </w:r>
    </w:p>
    <w:p w14:paraId="01FD5BBA"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lastRenderedPageBreak/>
        <w:t xml:space="preserve">Despite the breadth of this literature, its primary orientation toward marketing has restricted the treatment of IEQ to a largely perceptual variable rather than a spatial-design concern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&lt;EndNote&gt;&lt;Cite&gt;&lt;Author&gt;Turley&lt;/Author&gt;&lt;Year&gt;2000&lt;/Year&gt;&lt;RecNum&gt;4018&lt;/RecNum&gt;&lt;DisplayText&gt;(Turley &amp;amp; Milliman, 2000)&lt;/DisplayText&gt;&lt;record&gt;&lt;rec-number&gt;4018&lt;/rec-number&gt;&lt;foreign-keys&gt;&lt;key app="EN" db-id="wxpst05zptaafreftwnxf9z0wwzeppsvvads" timestamp="1779268683"&gt;4018&lt;/key&gt;&lt;/foreign-keys&gt;&lt;ref-type name="Journal Article"&gt;17&lt;/ref-type&gt;&lt;contributors&gt;&lt;authors&gt;&lt;author&gt;Turley, Lou W&lt;/author&gt;&lt;author&gt;Milliman, Ronald E&lt;/author&gt;&lt;/authors&gt;&lt;/contributors&gt;&lt;titles&gt;&lt;title&gt;Atmospheric effects on shopping behavior: a review of the experimental evidence&lt;/title&gt;&lt;secondary-title&gt;Journal of business research&lt;/secondary-title&gt;&lt;/titles&gt;&lt;periodical&gt;&lt;full-title&gt;Journal of business research&lt;/full-title&gt;&lt;/periodical&gt;&lt;pages&gt;193-211&lt;/pages&gt;&lt;volume&gt;49&lt;/volume&gt;&lt;number&gt;2&lt;/number&gt;&lt;dates&gt;&lt;year&gt;2000&lt;/year&gt;&lt;/dates&gt;&lt;isbn&gt;0148-2963&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(Turley &amp; Milliman, 2000)</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As a result, interior design dimensions often remain secondary or implicit. This has created a disciplinary divide: consumer researchers tend to evaluate behavioural outcomes without engaging deeply with the design production of space, whereas architectural scholars focus on spatial composition without measuring behavioural perception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&lt;EndNote&gt;&lt;Cite&gt;&lt;Author&gt;Spence&lt;/Author&gt;&lt;Year&gt;2021&lt;/Year&gt;&lt;RecNum&gt;4019&lt;/RecNum&gt;&lt;DisplayText&gt;(Spence, 2021)&lt;/DisplayText&gt;&lt;record&gt;&lt;rec-number&gt;4019&lt;/rec-number&gt;&lt;foreign-keys&gt;&lt;key app="EN" db-id="wxpst05zptaafreftwnxf9z0wwzeppsvvads" timestamp="1779268723"&gt;4019&lt;/key&gt;&lt;/foreign-keys&gt;&lt;ref-type name="Book"&gt;6&lt;/ref-type&gt;&lt;contributors&gt;&lt;authors&gt;&lt;author&gt;Spence, Charles&lt;/author&gt;&lt;/authors&gt;&lt;/contributors&gt;&lt;titles&gt;&lt;title&gt;Sensehacking: How to use the power of your senses for happier, healthier living&lt;/title&gt;&lt;/titles&gt;&lt;dates&gt;&lt;year&gt;2021&lt;/year&gt;&lt;/dates&gt;&lt;publisher&gt;Penguin UK&lt;/publisher&gt;&lt;isbn&gt;0241361168&lt;/isbn&gt;&lt;urls&gt;&lt;/urls&gt;&lt;/record&gt;&lt;/Cite&gt;&lt;/EndNote&gt;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(Spence, 2021)</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The lack of integration between these domains continues to limit the conceptual maturity of the field and highlights the need for a more interdisciplinary perspective.</w:t>
      </w:r>
    </w:p>
    <w:p w14:paraId="6FB4A0FF" w14:textId="77777777" w:rsidR="00E64CA0" w:rsidRPr="006E011C" w:rsidRDefault="00E64CA0" w:rsidP="00E64CA0">
      <w:pPr>
        <w:pStyle w:val="Heading2"/>
        <w:spacing w:before="100" w:beforeAutospacing="1" w:after="100" w:afterAutospacing="1" w:line="360" w:lineRule="auto"/>
        <w:rPr>
          <w:rFonts w:asciiTheme="majorBidi" w:hAnsiTheme="majorBidi"/>
          <w:b/>
          <w:bCs/>
          <w:i/>
          <w:iCs/>
          <w:color w:val="000000" w:themeColor="text1"/>
          <w:sz w:val="24"/>
          <w:szCs w:val="24"/>
        </w:rPr>
      </w:pPr>
      <w:r w:rsidRPr="006E011C">
        <w:rPr>
          <w:rFonts w:asciiTheme="majorBidi" w:hAnsiTheme="majorBidi"/>
          <w:b/>
          <w:bCs/>
          <w:i/>
          <w:iCs/>
          <w:color w:val="000000" w:themeColor="text1"/>
          <w:sz w:val="24"/>
          <w:szCs w:val="24"/>
        </w:rPr>
        <w:t>Visual Environment: Lighting and Colour in Hospitality Settings</w:t>
      </w:r>
    </w:p>
    <w:p w14:paraId="7F9139D7"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A substantial body of evidence indicates that lighting conditions and chromatic strategies influence customer mood, comfort, and behavioural intention within commercial interiors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&lt;EndNote&gt;&lt;Cite&gt;&lt;Author&gt;Shehab&lt;/Author&gt;&lt;Year&gt;2026&lt;/Year&gt;&lt;RecNum&gt;4030&lt;/RecNum&gt;&lt;DisplayText&gt;(Shehab &amp;amp; Durmus, 2026)&lt;/DisplayText&gt;&lt;record&gt;&lt;rec-number&gt;4030&lt;/rec-number&gt;&lt;foreign-keys&gt;&lt;key app="EN" db-id="wxpst05zptaafreftwnxf9z0wwzeppsvvads" timestamp="1779286018"&gt;4030&lt;/key&gt;&lt;/foreign-keys&gt;&lt;ref-type name="Journal Article"&gt;17&lt;/ref-type&gt;&lt;contributors&gt;&lt;authors&gt;&lt;author&gt;Shehab, Naser&lt;/author&gt;&lt;author&gt;Durmus, Dorukalp&lt;/author&gt;&lt;/authors&gt;&lt;/contributors&gt;&lt;titles&gt;&lt;title&gt;Effects of Ambient and Display Lighting Color on Risk‐Taking Behavior, Perceived Emotional States, and Visual Quality of Indoor Environment&lt;/title&gt;&lt;secondary-title&gt;Color Research &amp;amp; Application&lt;/secondary-title&gt;&lt;/titles&gt;&lt;periodical&gt;&lt;full-title&gt;Color Research &amp;amp; Application&lt;/full-title&gt;&lt;/periodical&gt;&lt;pages&gt;e70005&lt;/pages&gt;&lt;volume&gt;51&lt;/volume&gt;&lt;number&gt;1&lt;/number&gt;&lt;dates&gt;&lt;year&gt;2026&lt;/year&gt;&lt;/dates&gt;&lt;isbn&gt;0361-2317&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(Shehab &amp; Durmus, 2026)</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Warmer colour schemes and low-temperature lighting environments are frequently linked to calmness, prolonged occupancy, and greater purchasing inclination, while cooler visual atmospheres tend to encourage attentiveness and efficiency-oriented behaviour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&lt;EndNote&gt;&lt;Cite&gt;&lt;Author&gt;Leong&lt;/Author&gt;&lt;Year&gt;2023&lt;/Year&gt;&lt;RecNum&gt;4029&lt;/RecNum&gt;&lt;DisplayText&gt;(Leong et al., 2023)&lt;/DisplayText&gt;&lt;record&gt;&lt;rec-number&gt;4029&lt;/rec-number&gt;&lt;foreign-keys&gt;&lt;key app="EN" db-id="wxpst05zptaafreftwnxf9z0wwzeppsvvads" timestamp="1779285952"&gt;4029&lt;/key&gt;&lt;/foreign-keys&gt;&lt;ref-type name="Journal Article"&gt;17&lt;/ref-type&gt;&lt;contributors&gt;&lt;authors&gt;&lt;author&gt;Leong, Aliana Man Wai&lt;/author&gt;&lt;author&gt;Chen, Kuan-Ying&lt;/author&gt;&lt;author&gt;Chen, Hung-Bin&lt;/author&gt;&lt;author&gt;Chiang, Tai-En&lt;/author&gt;&lt;author&gt;Huan, Tzung-Cheng&lt;/author&gt;&lt;/authors&gt;&lt;/contributors&gt;&lt;titles&gt;&lt;title&gt;Exploring the effects of customers&amp;apos; assessments of a restaurant&amp;apos;s atmospherics and emotional assessments on a fine-dining experience and intentions to return&lt;/title&gt;&lt;secondary-title&gt;Tourism Management Perspectives&lt;/secondary-title&gt;&lt;/titles&gt;&lt;periodical&gt;&lt;full-title&gt;Tourism Management Perspectives&lt;/full-title&gt;&lt;/periodical&gt;&lt;pages&gt;101121&lt;/pages&gt;&lt;volume&gt;47&lt;/volume&gt;&lt;dates&gt;&lt;year&gt;2023&lt;/year&gt;&lt;/dates&gt;&lt;isbn&gt;2211-9736&lt;/isbn&gt;&lt;urls&gt;&lt;/urls&gt;&lt;/record&gt;&lt;/Cite&gt;&lt;/EndNote&gt;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(Leong et al., 2023)</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More recent experimental studies have advanced these observations. For example,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 AuthorYear="1"&gt;&lt;Author&gt;Shehab&lt;/Author&gt;&lt;Year&gt;2026&lt;/Year&gt;&lt;RecNum&gt;4030&lt;/RecNum&gt;&lt;DisplayText&gt;Shehab and Durmus (2026)&lt;/DisplayText&gt;&lt;record&gt;&lt;rec-number&gt;4030&lt;/rec-number&gt;&lt;foreign-keys&gt;&lt;key app="EN" db-id="wxpst05zptaafreftwnxf9z0wwzeppsvvads" timestamp="1779286018"&gt;4030&lt;/key&gt;&lt;/foreign-keys&gt;&lt;ref-type name="Journal Article"&gt;17&lt;/ref-type&gt;&lt;contributors&gt;&lt;authors&gt;&lt;author&gt;Shehab, Naser&lt;/author&gt;&lt;author&gt;Durmus, Dorukalp&lt;/author&gt;&lt;/authors&gt;&lt;/contributors&gt;&lt;titles&gt;&lt;title&gt;Effects of Ambient and Display Lighting Color on Risk‐Taking Behavior, Perceived Emotional States, and Visual Quality of Indoor Environment&lt;/title&gt;&lt;secondary-title&gt;Color Research &amp;amp; Application&lt;/secondary-title&gt;&lt;/titles&gt;&lt;periodical&gt;&lt;full-title&gt;Color Research &amp;amp; Application&lt;/full-title&gt;&lt;/periodical&gt;&lt;pages&gt;e70005&lt;/pages&gt;&lt;volume&gt;51&lt;/volume&gt;&lt;number&gt;1&lt;/number&gt;&lt;dates&gt;&lt;year&gt;2026&lt;/year&gt;&lt;/dates&gt;&lt;isbn&gt;0361-2317&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Shehab and Durmus (2026)</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found that ambient and display lighting independently shape emotional response, risk perception, and evaluations of IEQ, while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 AuthorYear="1"&gt;&lt;Author&gt;Wu&lt;/Author&gt;&lt;Year&gt;2021&lt;/Year&gt;&lt;RecNum&gt;4034&lt;/RecNum&gt;&lt;DisplayText&gt;Wu et al. (2021)&lt;/DisplayText&gt;&lt;record&gt;&lt;rec-number&gt;4034&lt;/rec-number&gt;&lt;foreign-keys&gt;&lt;key app="EN" db-id="wxpst05zptaafreftwnxf9z0wwzeppsvvads" timestamp="1779287609"&gt;4034&lt;/key&gt;&lt;/foreign-keys&gt;&lt;ref-type name="Journal Article"&gt;17&lt;/ref-type&gt;&lt;contributors&gt;&lt;authors&gt;&lt;author&gt;Wu, Laurie&lt;/author&gt;&lt;author&gt;He, Zeya&lt;/author&gt;&lt;author&gt;King, Ceridwyn&lt;/author&gt;&lt;author&gt;Mattila, Anna S&lt;/author&gt;&lt;/authors&gt;&lt;/contributors&gt;&lt;titles&gt;&lt;title&gt;In darkness we seek light: The impact of focal and general lighting designs on customers’ approach intentions toward restaurants&lt;/title&gt;&lt;secondary-title&gt;International Journal of Hospitality Management&lt;/secondary-title&gt;&lt;/titles&gt;&lt;periodical&gt;&lt;full-title&gt;International journal of hospitality management&lt;/full-title&gt;&lt;/periodical&gt;&lt;pages&gt;102735&lt;/pages&gt;&lt;volume&gt;92&lt;/volume&gt;&lt;dates&gt;&lt;year&gt;2021&lt;/year&gt;&lt;/dates&gt;&lt;isbn&gt;0278-4319&lt;/isbn&gt;&lt;urls&gt;&lt;/urls&gt;&lt;/record&gt;&lt;/Cite&gt;&lt;/EndNote&gt;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Wu et al. (2021)</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demonstrated that different lighting compositions in restaurant imagery generate distinct behavioural intentions.</w:t>
      </w:r>
    </w:p>
    <w:p w14:paraId="0164F0E9"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The evidence base remains inconsistent. Several reviews have identified contradictory outcomes across studies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&lt;EndNote&gt;&lt;Cite&gt;&lt;Author&gt;Spence&lt;/Author&gt;&lt;Year&gt;2021&lt;/Year&gt;&lt;RecNum&gt;4019&lt;/RecNum&gt;&lt;DisplayText&gt;(Spence, 2021)&lt;/DisplayText&gt;&lt;record&gt;&lt;rec-number&gt;4019&lt;/rec-number&gt;&lt;foreign-keys&gt;&lt;key app="EN" db-id="wxpst05zptaafreftwnxf9z0wwzeppsvvads" timestamp="1779268723"&gt;4019&lt;/key&gt;&lt;/foreign-keys&gt;&lt;ref-type name="Book"&gt;6&lt;/ref-type&gt;&lt;contributors&gt;&lt;authors&gt;&lt;author&gt;Spence, Charles&lt;/author&gt;&lt;/authors&gt;&lt;/contributors&gt;&lt;titles&gt;&lt;title&gt;Sensehacking: How to use the power of your senses for happier, healthier living&lt;/title&gt;&lt;/titles&gt;&lt;dates&gt;&lt;year&gt;2021&lt;/year&gt;&lt;/dates&gt;&lt;publisher&gt;Penguin UK&lt;/publisher&gt;&lt;isbn&gt;0241361168&lt;/isbn&gt;&lt;urls&gt;&lt;/urls&gt;&lt;/record&gt;&lt;/Cite&gt;&lt;/EndNote&gt;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(Spence, 2021)</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often due to recurring methodological limitations. Many investigations isolate a single environmental variable without adequately controlling related factors such as luminance, colour temperature, or material reflectivity, making causal interpretation difficult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&lt;EndNote&gt;&lt;Cite&gt;&lt;Author&gt;Shehab&lt;/Author&gt;&lt;Year&gt;2026&lt;/Year&gt;&lt;RecNum&gt;4030&lt;/RecNum&gt;&lt;DisplayText&gt;(Shehab &amp;amp; Durmus, 2026)&lt;/DisplayText&gt;&lt;record&gt;&lt;rec-number&gt;4030&lt;/rec-number&gt;&lt;foreign-keys&gt;&lt;key app="EN" db-id="wxpst05zptaafreftwnxf9z0wwzeppsvvads" timestamp="1779286018"&gt;4030&lt;/key&gt;&lt;/foreign-keys&gt;&lt;ref-type name="Journal Article"&gt;17&lt;/ref-type&gt;&lt;contributors&gt;&lt;authors&gt;&lt;author&gt;Shehab, Naser&lt;/author&gt;&lt;author&gt;Durmus, Dorukalp&lt;/author&gt;&lt;/authors&gt;&lt;/contributors&gt;&lt;titles&gt;&lt;title&gt;Effects of Ambient and Display Lighting Color on Risk‐Taking Behavior, Perceived Emotional States, and Visual Quality of Indoor Environment&lt;/title&gt;&lt;secondary-title&gt;Color Research &amp;amp; Application&lt;/secondary-title&gt;&lt;/titles&gt;&lt;periodical&gt;&lt;full-title&gt;Color Research &amp;amp; Application&lt;/full-title&gt;&lt;/periodical&gt;&lt;pages&gt;e70005&lt;/pages&gt;&lt;volume&gt;51&lt;/volume&gt;&lt;number&gt;1&lt;/number&gt;&lt;dates&gt;&lt;year&gt;2026&lt;/year&gt;&lt;/dates&gt;&lt;isbn&gt;0361-2317&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(Shehab &amp; Durmus, 2026)</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Additionally, research samples are heavily concentrated in Western hospitality environments and quick-service restaurants, leaving many cultural and regional contexts insufficiently explored. Another persistent issue concerns the oversimplification of colour as a single construct, despite the fact that hue, saturation, and brightness produce different perceptual effects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&lt;EndNote&gt;&lt;Cite&gt;&lt;Author&gt;Valdez&lt;/Author&gt;&lt;Year&gt;1994&lt;/Year&gt;&lt;RecNum&gt;4021&lt;/RecNum&gt;&lt;DisplayText&gt;(Farias &amp;amp; Aguiar, 2014; Valdez &amp;amp; Mehrabian, 1994)&lt;/DisplayText&gt;&lt;record&gt;&lt;rec-number&gt;4021&lt;/rec-number&gt;&lt;foreign-keys&gt;&lt;key app="EN" db-id="wxpst05zptaafreftwnxf9z0wwzeppsvvads" timestamp="1779268999"&gt;4021&lt;/key&gt;&lt;/foreign-keys&gt;&lt;ref-type name="Journal Article"&gt;17&lt;/ref-type&gt;&lt;contributors&gt;&lt;authors&gt;&lt;author&gt;Valdez, Patricia&lt;/author&gt;&lt;author&gt;Mehrabian, Albert&lt;/author&gt;&lt;/authors&gt;&lt;/contributors&gt;&lt;titles&gt;&lt;title&gt;Effects of color on emotions&lt;/title&gt;&lt;secondary-title&gt;Journal of experimental psychology: General&lt;/secondary-title&gt;&lt;/titles&gt;&lt;periodical&gt;&lt;full-title&gt;Journal of experimental psychology: General&lt;/full-title&gt;&lt;/periodical&gt;&lt;pages&gt;394&lt;/pages&gt;&lt;volume&gt;123&lt;/volume&gt;&lt;number&gt;4&lt;/number&gt;&lt;dates&gt;&lt;year&gt;1994&lt;/year&gt;&lt;/dates&gt;&lt;isbn&gt;1939-2222&lt;/isbn&gt;&lt;urls&gt;&lt;/urls&gt;&lt;/record&gt;&lt;/Cite&gt;&lt;Cite&gt;&lt;Author&gt;Farias&lt;/Author&gt;&lt;Year&gt;2014&lt;/Year&gt;&lt;RecNum&gt;4020&lt;/RecNum&gt;&lt;record&gt;&lt;rec-number&gt;4020&lt;/rec-number&gt;&lt;foreign-keys&gt;&lt;key app="EN" db-id="wxpst05zptaafreftwnxf9z0wwzeppsvvads" timestamp="1779268953"&gt;4020&lt;/key&gt;&lt;/foreign-keys&gt;&lt;ref-type name="Journal Article"&gt;17&lt;/ref-type&gt;&lt;contributors&gt;&lt;authors&gt;&lt;author&gt;Farias, Salomão Alencar&lt;/author&gt;&lt;author&gt;Aguiar, Edvan&lt;/author&gt;&lt;/authors&gt;&lt;/contributors&gt;&lt;titles&gt;&lt;title&gt;Store atmospherics and experiential marketing: A conceptual framework and research propositions for an extraordinary customer experience&lt;/title&gt;&lt;secondary-title&gt;International Business Research&lt;/secondary-title&gt;&lt;/titles&gt;&lt;periodical&gt;&lt;full-title&gt;International Business Research&lt;/full-title&gt;&lt;/periodical&gt;&lt;dates&gt;&lt;year&gt;2014&lt;/year&gt;&lt;/dates&gt;&lt;urls&gt;&lt;/urls&gt;&lt;/record&gt;&lt;/Cite&gt;&lt;/EndNote&gt;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(Farias &amp; Aguiar, 2014; Valdez &amp; Mehrabian, 1994)</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Although correlations between visual atmosphere and consumer response are widely reported, the literature offers relatively limited guidance for IEQ application.</w:t>
      </w:r>
    </w:p>
    <w:p w14:paraId="187ABB3E" w14:textId="77777777" w:rsidR="00E64CA0" w:rsidRPr="006E011C" w:rsidRDefault="00E64CA0" w:rsidP="00E64CA0">
      <w:pPr>
        <w:pStyle w:val="Heading2"/>
        <w:spacing w:before="100" w:beforeAutospacing="1" w:after="100" w:afterAutospacing="1" w:line="360" w:lineRule="auto"/>
        <w:rPr>
          <w:rFonts w:asciiTheme="majorBidi" w:hAnsiTheme="majorBidi"/>
          <w:b/>
          <w:bCs/>
          <w:i/>
          <w:iCs/>
          <w:color w:val="000000" w:themeColor="text1"/>
          <w:sz w:val="24"/>
          <w:szCs w:val="24"/>
        </w:rPr>
      </w:pPr>
      <w:r w:rsidRPr="006E011C">
        <w:rPr>
          <w:rFonts w:asciiTheme="majorBidi" w:hAnsiTheme="majorBidi"/>
          <w:b/>
          <w:bCs/>
          <w:i/>
          <w:iCs/>
          <w:color w:val="000000" w:themeColor="text1"/>
          <w:sz w:val="24"/>
          <w:szCs w:val="24"/>
        </w:rPr>
        <w:lastRenderedPageBreak/>
        <w:t>Waiting Experience and Environmental Perception</w:t>
      </w:r>
    </w:p>
    <w:p w14:paraId="376DED87"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Research on service environments has also examined the distinction between actual waiting duration and the way waiting is psychologically experienced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&lt;EndNote&gt;&lt;Cite&gt;&lt;Author&gt;Bielen&lt;/Author&gt;&lt;Year&gt;2007&lt;/Year&gt;&lt;RecNum&gt;4026&lt;/RecNum&gt;&lt;DisplayText&gt;(Bielen &amp;amp; Demoulin, 2007)&lt;/DisplayText&gt;&lt;record&gt;&lt;rec-number&gt;4026&lt;/rec-number&gt;&lt;foreign-keys&gt;&lt;key app="EN" db-id="wxpst05zptaafreftwnxf9z0wwzeppsvvads" timestamp="1779271316"&gt;4026&lt;/key&gt;&lt;/foreign-keys&gt;&lt;ref-type name="Journal Article"&gt;17&lt;/ref-type&gt;&lt;contributors&gt;&lt;authors&gt;&lt;author&gt;Bielen, Frédéric&lt;/author&gt;&lt;author&gt;Demoulin, Nathalie&lt;/author&gt;&lt;/authors&gt;&lt;/contributors&gt;&lt;titles&gt;&lt;title&gt;Waiting time influence on the satisfaction‐loyalty relationship in services&lt;/title&gt;&lt;secondary-title&gt;Managing Service Quality: An International Journal&lt;/secondary-title&gt;&lt;/titles&gt;&lt;periodical&gt;&lt;full-title&gt;Managing Service Quality: An International Journal&lt;/full-title&gt;&lt;/periodical&gt;&lt;pages&gt;174-193&lt;/pages&gt;&lt;volume&gt;17&lt;/volume&gt;&lt;number&gt;2&lt;/number&gt;&lt;dates&gt;&lt;year&gt;2007&lt;/year&gt;&lt;/dates&gt;&lt;isbn&gt;0960-4529&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(Bielen &amp; Demoulin, 2007)</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Earlier work by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 AuthorYear="1"&gt;&lt;Author&gt;Maister&lt;/Author&gt;&lt;Year&gt;1984&lt;/Year&gt;&lt;RecNum&gt;4035&lt;/RecNum&gt;&lt;DisplayText&gt;Maister (1984)&lt;/DisplayText&gt;&lt;record&gt;&lt;rec-number&gt;4035&lt;/rec-number&gt;&lt;foreign-keys&gt;&lt;key app="EN" db-id="wxpst05zptaafreftwnxf9z0wwzeppsvvads" timestamp="1779287884"&gt;4035&lt;/key&gt;&lt;/foreign-keys&gt;&lt;ref-type name="Book"&gt;6&lt;/ref-type&gt;&lt;contributors&gt;&lt;authors&gt;&lt;author&gt;Maister, David H&lt;/author&gt;&lt;/authors&gt;&lt;/contributors&gt;&lt;titles&gt;&lt;title&gt;The psychology of waiting lines&lt;/title&gt;&lt;/titles&gt;&lt;dates&gt;&lt;year&gt;1984&lt;/year&gt;&lt;/dates&gt;&lt;publisher&gt;Harvard Business School Boston&lt;/publisher&gt;&lt;urls&gt;&lt;/urls&gt;&lt;/record&gt;&lt;/Cite&gt;&lt;/EndNote&gt;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Maister (1984)</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argued that waiting becomes more tolerable when individuals are occupied, informed, and physically comfortable, and these principles continue to influence contemporary service research. Studies within restaurant contexts indicate that perceived waiting time strongly affects satisfaction, return intention, and customer recommendations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&lt;EndNote&gt;&lt;Cite&gt;&lt;Author&gt;Jo&lt;/Author&gt;&lt;Year&gt;2025&lt;/Year&gt;&lt;RecNum&gt;4036&lt;/RecNum&gt;&lt;DisplayText&gt;(Jo et al., 2025)&lt;/DisplayText&gt;&lt;record&gt;&lt;rec-number&gt;4036&lt;/rec-number&gt;&lt;foreign-keys&gt;&lt;key app="EN" db-id="wxpst05zptaafreftwnxf9z0wwzeppsvvads" timestamp="1779287971"&gt;4036&lt;/key&gt;&lt;/foreign-keys&gt;&lt;ref-type name="Journal Article"&gt;17&lt;/ref-type&gt;&lt;contributors&gt;&lt;authors&gt;&lt;author&gt;Jo, Elena Hwirim&lt;/author&gt;&lt;author&gt;Chi, Oscar Hengxuan&lt;/author&gt;&lt;author&gt;Kim, Jinwon&lt;/author&gt;&lt;/authors&gt;&lt;/contributors&gt;&lt;titles&gt;&lt;title&gt;How waiting decisions are made: A comparison of restaurant waiting equity and behavioral intentions in physical and virtual queues&lt;/title&gt;&lt;secondary-title&gt;Journal of Hospitality and Tourism Management&lt;/secondary-title&gt;&lt;/titles&gt;&lt;periodical&gt;&lt;full-title&gt;Journal of Hospitality and Tourism Management&lt;/full-title&gt;&lt;/periodical&gt;&lt;pages&gt;140-152&lt;/pages&gt;&lt;volume&gt;63&lt;/volume&gt;&lt;dates&gt;&lt;year&gt;2025&lt;/year&gt;&lt;/dates&gt;&lt;isbn&gt;1447-6770&lt;/isbn&gt;&lt;urls&gt;&lt;/urls&gt;&lt;/record&gt;&lt;/Cite&gt;&lt;/EndNote&gt;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(Jo et al., 2025)</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 AuthorYear="1"&gt;&lt;Author&gt;Chien&lt;/Author&gt;&lt;Year&gt;2015&lt;/Year&gt;&lt;RecNum&gt;4033&lt;/RecNum&gt;&lt;DisplayText&gt;Chien and Lin (2015)&lt;/DisplayText&gt;&lt;record&gt;&lt;rec-number&gt;4033&lt;/rec-number&gt;&lt;foreign-keys&gt;&lt;key app="EN" db-id="wxpst05zptaafreftwnxf9z0wwzeppsvvads" timestamp="1779286329"&gt;4033&lt;/key&gt;&lt;/foreign-keys&gt;&lt;ref-type name="Journal Article"&gt;17&lt;/ref-type&gt;&lt;contributors&gt;&lt;authors&gt;&lt;author&gt;Chien, Shih‐Yi&lt;/author&gt;&lt;author&gt;Lin, Ying‐Tung&lt;/author&gt;&lt;/authors&gt;&lt;/contributors&gt;&lt;titles&gt;&lt;title&gt;The effects of the service environment on perceived waiting time and emotions&lt;/title&gt;&lt;secondary-title&gt;Human Factors and Ergonomics in Manufacturing &amp;amp; Service Industries&lt;/secondary-title&gt;&lt;/titles&gt;&lt;periodical&gt;&lt;full-title&gt;Human Factors and Ergonomics in Manufacturing &amp;amp; Service Industries&lt;/full-title&gt;&lt;/periodical&gt;&lt;pages&gt;319-328&lt;/pages&gt;&lt;volume&gt;25&lt;/volume&gt;&lt;number&gt;3&lt;/number&gt;&lt;dates&gt;&lt;year&gt;2015&lt;/year&gt;&lt;/dates&gt;&lt;isbn&gt;1090-8471&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Chien and Lin (2015)</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for instance, identified emotional response and perceived waiting duration as two separate mechanisms through which service environments influence customer behaviour, with crowding and communication emerging as particularly influential variables.</w:t>
      </w:r>
    </w:p>
    <w:p w14:paraId="0F3E1545"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This field has generally prioritised managerial and operational concerns—such as queuing systems, employee interaction, and informational strategies—rather than spatial or architectural conditions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&lt;EndNote&gt;&lt;Cite&gt;&lt;Author&gt;Lee&lt;/Author&gt;&lt;Year&gt;2006&lt;/Year&gt;&lt;RecNum&gt;4038&lt;/RecNum&gt;&lt;DisplayText&gt;(Lee &amp;amp; Lambert, 2006)&lt;/DisplayText&gt;&lt;record&gt;&lt;rec-number&gt;4038&lt;/rec-number&gt;&lt;foreign-keys&gt;&lt;key app="EN" db-id="wxpst05zptaafreftwnxf9z0wwzeppsvvads" timestamp="1779288212"&gt;4038&lt;/key&gt;&lt;/foreign-keys&gt;&lt;ref-type name="Journal Article"&gt;17&lt;/ref-type&gt;&lt;contributors&gt;&lt;authors&gt;&lt;author&gt;Lee, Wonjae&lt;/author&gt;&lt;author&gt;Lambert, Carolyn U&lt;/author&gt;&lt;/authors&gt;&lt;/contributors&gt;&lt;titles&gt;&lt;title&gt;The effect of waiting time and affective reactions on customers&amp;apos; evaluation of service quality in a cafeteria&lt;/title&gt;&lt;secondary-title&gt;Journal of foodservice business research&lt;/secondary-title&gt;&lt;/titles&gt;&lt;periodical&gt;&lt;full-title&gt;Journal of foodservice business research&lt;/full-title&gt;&lt;/periodical&gt;&lt;pages&gt;19-37&lt;/pages&gt;&lt;volume&gt;8&lt;/volume&gt;&lt;number&gt;2&lt;/number&gt;&lt;dates&gt;&lt;year&gt;2006&lt;/year&gt;&lt;/dates&gt;&lt;isbn&gt;1537-8020&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(Lee &amp; Lambert, 2006)</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Environmental influences are often reduced to broad notions such as “comfort” or “ambience,” without translating them into measurable IEQ dimensions.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 AuthorYear="1"&gt;&lt;Author&gt;Worlitz&lt;/Author&gt;&lt;Year&gt;2019&lt;/Year&gt;&lt;RecNum&gt;4039&lt;/RecNum&gt;&lt;DisplayText&gt;Worlitz et al. (2019)&lt;/DisplayText&gt;&lt;record&gt;&lt;rec-number&gt;4039&lt;/rec-number&gt;&lt;foreign-keys&gt;&lt;key app="EN" db-id="wxpst05zptaafreftwnxf9z0wwzeppsvvads" timestamp="1779288255"&gt;4039&lt;/key&gt;&lt;/foreign-keys&gt;&lt;ref-type name="Journal Article"&gt;17&lt;/ref-type&gt;&lt;contributors&gt;&lt;authors&gt;&lt;author&gt;Worlitz, Jane&lt;/author&gt;&lt;author&gt;Vu, Duy Linh&lt;/author&gt;&lt;author&gt;Hettling, Laura&lt;/author&gt;&lt;author&gt;Woll, Ralf&lt;/author&gt;&lt;/authors&gt;&lt;/contributors&gt;&lt;titles&gt;&lt;title&gt;Perceived waiting time and waiting satisfaction: a systematic literature review&lt;/title&gt;&lt;/titles&gt;&lt;dates&gt;&lt;year&gt;2019&lt;/year&gt;&lt;/dates&gt;&lt;urls&gt;&lt;/urls&gt;&lt;/record&gt;&lt;/Cite&gt;&lt;/EndNote&gt;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Worlitz et al. (2019)</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noted that waiting-environment research lacks methodological consistency and rarely incorporates architectural or design-based frameworks. More recent attention to digital queuing systems and augmented dining technologies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&lt;EndNote&gt;&lt;Cite&gt;&lt;Author&gt;Jo&lt;/Author&gt;&lt;Year&gt;2025&lt;/Year&gt;&lt;RecNum&gt;4036&lt;/RecNum&gt;&lt;DisplayText&gt;(Jo et al., 2025)&lt;/DisplayText&gt;&lt;record&gt;&lt;rec-number&gt;4036&lt;/rec-number&gt;&lt;foreign-keys&gt;&lt;key app="EN" db-id="wxpst05zptaafreftwnxf9z0wwzeppsvvads" timestamp="1779287971"&gt;4036&lt;/key&gt;&lt;/foreign-keys&gt;&lt;ref-type name="Journal Article"&gt;17&lt;/ref-type&gt;&lt;contributors&gt;&lt;authors&gt;&lt;author&gt;Jo, Elena Hwirim&lt;/author&gt;&lt;author&gt;Chi, Oscar Hengxuan&lt;/author&gt;&lt;author&gt;Kim, Jinwon&lt;/author&gt;&lt;/authors&gt;&lt;/contributors&gt;&lt;titles&gt;&lt;title&gt;How waiting decisions are made: A comparison of restaurant waiting equity and behavioral intentions in physical and virtual queues&lt;/title&gt;&lt;secondary-title&gt;Journal of Hospitality and Tourism Management&lt;/secondary-title&gt;&lt;/titles&gt;&lt;periodical&gt;&lt;full-title&gt;Journal of Hospitality and Tourism Management&lt;/full-title&gt;&lt;/periodical&gt;&lt;pages&gt;140-152&lt;/pages&gt;&lt;volume&gt;63&lt;/volume&gt;&lt;dates&gt;&lt;year&gt;2025&lt;/year&gt;&lt;/dates&gt;&lt;isbn&gt;1447-6770&lt;/isbn&gt;&lt;urls&gt;&lt;/urls&gt;&lt;/record&gt;&lt;/Cite&gt;&lt;/EndNote&gt;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(Jo et al., 2025)</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has further shifted focus away from the physical environment, despite the continued relevance of in-person waiting experiences in restaurants globally.</w:t>
      </w:r>
    </w:p>
    <w:p w14:paraId="5BC2C34B" w14:textId="77777777" w:rsidR="00E64CA0" w:rsidRPr="006E011C" w:rsidRDefault="00E64CA0" w:rsidP="00E64CA0">
      <w:pPr>
        <w:pStyle w:val="Heading2"/>
        <w:spacing w:before="100" w:beforeAutospacing="1" w:after="100" w:afterAutospacing="1" w:line="360" w:lineRule="auto"/>
        <w:rPr>
          <w:rFonts w:asciiTheme="majorBidi" w:hAnsiTheme="majorBidi"/>
          <w:b/>
          <w:bCs/>
          <w:i/>
          <w:iCs/>
          <w:color w:val="000000" w:themeColor="text1"/>
          <w:sz w:val="24"/>
          <w:szCs w:val="24"/>
        </w:rPr>
      </w:pPr>
      <w:r w:rsidRPr="006E011C">
        <w:rPr>
          <w:rFonts w:asciiTheme="majorBidi" w:hAnsiTheme="majorBidi"/>
          <w:b/>
          <w:bCs/>
          <w:i/>
          <w:iCs/>
          <w:color w:val="000000" w:themeColor="text1"/>
          <w:sz w:val="24"/>
          <w:szCs w:val="24"/>
        </w:rPr>
        <w:t>Indoor Environment Quality and the Perception of Time</w:t>
      </w:r>
    </w:p>
    <w:p w14:paraId="59CAFC2C" w14:textId="60C3AA44"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A smaller stream of research has begun to investigate whether lighting and colour directly alter temporal perception. Findings from transport and hospitality environments suggest that warm colours and softer lighting may shorten perceived waiting duration, whereas bright, cool-toned settings may intensify awareness of time passing. </w:t>
      </w:r>
      <w:r w:rsidRPr="006E011C">
        <w:rPr>
          <w:rFonts w:asciiTheme="majorBidi" w:hAnsiTheme="majorBidi" w:cstheme="majorBidi"/>
          <w:color w:val="000000" w:themeColor="text1"/>
          <w:sz w:val="24"/>
          <w:szCs w:val="24"/>
        </w:rPr>
        <w:fldChar w:fldCharType="begin"/>
      </w:r>
      <w:r w:rsidR="00D37E1E" w:rsidRPr="006E011C">
        <w:rPr>
          <w:rFonts w:asciiTheme="majorBidi" w:hAnsiTheme="majorBidi" w:cstheme="majorBidi"/>
          <w:color w:val="000000" w:themeColor="text1"/>
          <w:sz w:val="24"/>
          <w:szCs w:val="24"/>
        </w:rPr>
        <w:instrText xml:space="preserve"> ADDIN EN.CITE &lt;EndNote&gt;&lt;Cite AuthorYear="1"&gt;&lt;Author&gt;Bilgili&lt;/Author&gt;&lt;Year&gt;2020&lt;/Year&gt;&lt;RecNum&gt;4025&lt;/RecNum&gt;&lt;DisplayText&gt;Bilgili et al. (2020)&lt;/DisplayText&gt;&lt;record&gt;&lt;rec-number&gt;4025&lt;/rec-number&gt;&lt;foreign-keys&gt;&lt;key app="EN" db-id="wxpst05zptaafreftwnxf9z0wwzeppsvvads" timestamp="1779271239"&gt;4025&lt;/key&gt;&lt;/foreign-keys&gt;&lt;ref-type name="Journal Article"&gt;17&lt;/ref-type&gt;&lt;contributors&gt;&lt;authors&gt;&lt;author&gt;Bilgili, Bilsen&lt;/author&gt;&lt;author&gt;Ozkul, Emrah&lt;/author&gt;&lt;author&gt;Koc, Erdogan&lt;/author&gt;&lt;/authors&gt;&lt;/contributors&gt;&lt;titles&gt;&lt;title&gt;The influence of colour of lighting on customers’ waiting time perceptions&lt;/title&gt;&lt;secondary-title&gt;Total Quality Management &amp;amp; Business Excellence&lt;/secondary-title&gt;&lt;/titles&gt;&lt;periodical&gt;&lt;full-title&gt;Total Quality Management &amp;amp; Business Excellence&lt;/full-title&gt;&lt;/periodical&gt;&lt;pages&gt;1098-1111&lt;/pages&gt;&lt;volume&gt;31&lt;/volume&gt;&lt;number&gt;9-10&lt;/number&gt;&lt;dates&gt;&lt;year&gt;2020&lt;/year&gt;&lt;/dates&gt;&lt;isbn&gt;1478-3363&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Bilgili et al. (2020)</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applied this proposition to restaurant settings and reported shorter perceived waits under green lighting conditions. Although these matters indicate a potentially significant relationship between IEQ and time perception, the empirical evidence remains preliminary. Existing studies often rely on limited sample sizes, short-term simulations, and insufficient control over variables such as brightness and colour temperature. </w:t>
      </w:r>
      <w:r w:rsidRPr="006E011C">
        <w:rPr>
          <w:rFonts w:asciiTheme="majorBidi" w:hAnsiTheme="majorBidi" w:cstheme="majorBidi"/>
          <w:color w:val="000000" w:themeColor="text1"/>
          <w:sz w:val="24"/>
          <w:szCs w:val="24"/>
        </w:rPr>
        <w:lastRenderedPageBreak/>
        <w:t>Cross-cultural validation is also largely absent. More importantly, these investigations rarely situate lighting and colour within a broader architectural composition; instead, visual variables are treated as isolated experimental stimuli detached from the holistic spatial experience of interior environments.</w:t>
      </w:r>
    </w:p>
    <w:p w14:paraId="5B38FB59"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At the theoretical level, the continued reliance on the Stimulus–Organism–Response framework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&lt;EndNote&gt;&lt;Cite&gt;&lt;Author&gt;Mehrabian&lt;/Author&gt;&lt;Year&gt;1974&lt;/Year&gt;&lt;RecNum&gt;4024&lt;/RecNum&gt;&lt;DisplayText&gt;(Mehrabian &amp;amp; Russell, 1974)&lt;/DisplayText&gt;&lt;record&gt;&lt;rec-number&gt;4024&lt;/rec-number&gt;&lt;foreign-keys&gt;&lt;key app="EN" db-id="wxpst05zptaafreftwnxf9z0wwzeppsvvads" timestamp="1779271149"&gt;4024&lt;/key&gt;&lt;/foreign-keys&gt;&lt;ref-type name="Book"&gt;6&lt;/ref-type&gt;&lt;contributors&gt;&lt;authors&gt;&lt;author&gt;Mehrabian, Albert&lt;/author&gt;&lt;author&gt;Russell, James A&lt;/author&gt;&lt;/authors&gt;&lt;/contributors&gt;&lt;titles&gt;&lt;title&gt;An approach to environmental psychology&lt;/title&gt;&lt;/titles&gt;&lt;dates&gt;&lt;year&gt;1974&lt;/year&gt;&lt;/dates&gt;&lt;publisher&gt;the MIT Press&lt;/publisher&gt;&lt;isbn&gt;0262130904&lt;/isbn&gt;&lt;urls&gt;&lt;/urls&gt;&lt;/record&gt;&lt;/Cite&gt;&lt;/EndNote&gt;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(Mehrabian &amp; Russell, 1974)</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has also been questioned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&lt;EndNote&gt;&lt;Cite&gt;&lt;Author&gt;Leong&lt;/Author&gt;&lt;Year&gt;2023&lt;/Year&gt;&lt;RecNum&gt;4029&lt;/RecNum&gt;&lt;DisplayText&gt;(Leong et al., 2023)&lt;/DisplayText&gt;&lt;record&gt;&lt;rec-number&gt;4029&lt;/rec-number&gt;&lt;foreign-keys&gt;&lt;key app="EN" db-id="wxpst05zptaafreftwnxf9z0wwzeppsvvads" timestamp="1779285952"&gt;4029&lt;/key&gt;&lt;/foreign-keys&gt;&lt;ref-type name="Journal Article"&gt;17&lt;/ref-type&gt;&lt;contributors&gt;&lt;authors&gt;&lt;author&gt;Leong, Aliana Man Wai&lt;/author&gt;&lt;author&gt;Chen, Kuan-Ying&lt;/author&gt;&lt;author&gt;Chen, Hung-Bin&lt;/author&gt;&lt;author&gt;Chiang, Tai-En&lt;/author&gt;&lt;author&gt;Huan, Tzung-Cheng&lt;/author&gt;&lt;/authors&gt;&lt;/contributors&gt;&lt;titles&gt;&lt;title&gt;Exploring the effects of customers&amp;apos; assessments of a restaurant&amp;apos;s atmospherics and emotional assessments on a fine-dining experience and intentions to return&lt;/title&gt;&lt;secondary-title&gt;Tourism Management Perspectives&lt;/secondary-title&gt;&lt;/titles&gt;&lt;periodical&gt;&lt;full-title&gt;Tourism Management Perspectives&lt;/full-title&gt;&lt;/periodical&gt;&lt;pages&gt;101121&lt;/pages&gt;&lt;volume&gt;47&lt;/volume&gt;&lt;dates&gt;&lt;year&gt;2023&lt;/year&gt;&lt;/dates&gt;&lt;isbn&gt;2211-9736&lt;/isbn&gt;&lt;urls&gt;&lt;/urls&gt;&lt;/record&gt;&lt;/Cite&gt;&lt;/EndNote&gt;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(Leong et al., 2023)</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Critics argue that the model inadequately explains the cognitive mechanisms through which individuals process environmental information during waiting experiences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&lt;EndNote&gt;&lt;Cite&gt;&lt;Author&gt;Spence&lt;/Author&gt;&lt;Year&gt;2021&lt;/Year&gt;&lt;RecNum&gt;4019&lt;/RecNum&gt;&lt;DisplayText&gt;(Spence, 2021)&lt;/DisplayText&gt;&lt;record&gt;&lt;rec-number&gt;4019&lt;/rec-number&gt;&lt;foreign-keys&gt;&lt;key app="EN" db-id="wxpst05zptaafreftwnxf9z0wwzeppsvvads" timestamp="1779268723"&gt;4019&lt;/key&gt;&lt;/foreign-keys&gt;&lt;ref-type name="Book"&gt;6&lt;/ref-type&gt;&lt;contributors&gt;&lt;authors&gt;&lt;author&gt;Spence, Charles&lt;/author&gt;&lt;/authors&gt;&lt;/contributors&gt;&lt;titles&gt;&lt;title&gt;Sensehacking: How to use the power of your senses for happier, healthier living&lt;/title&gt;&lt;/titles&gt;&lt;dates&gt;&lt;year&gt;2021&lt;/year&gt;&lt;/dates&gt;&lt;publisher&gt;Penguin UK&lt;/publisher&gt;&lt;isbn&gt;0241361168&lt;/isbn&gt;&lt;urls&gt;&lt;/urls&gt;&lt;/record&gt;&lt;/Cite&gt;&lt;/EndNote&gt;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(Spence, 2021)</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Without integrating perspectives from environmental psychology, design theory, and studies of temporal perception, simplified conclusions regarding lighting and waiting experience risk becoming reductive design assumptions rather than evidence-based principles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&lt;EndNote&gt;&lt;Cite&gt;&lt;Author&gt;Leong&lt;/Author&gt;&lt;Year&gt;2023&lt;/Year&gt;&lt;RecNum&gt;4029&lt;/RecNum&gt;&lt;DisplayText&gt;(Leong et al., 2023; Spence, 2021)&lt;/DisplayText&gt;&lt;record&gt;&lt;rec-number&gt;4029&lt;/rec-number&gt;&lt;foreign-keys&gt;&lt;key app="EN" db-id="wxpst05zptaafreftwnxf9z0wwzeppsvvads" timestamp="1779285952"&gt;4029&lt;/key&gt;&lt;/foreign-keys&gt;&lt;ref-type name="Journal Article"&gt;17&lt;/ref-type&gt;&lt;contributors&gt;&lt;authors&gt;&lt;author&gt;Leong, Aliana Man Wai&lt;/author&gt;&lt;author&gt;Chen, Kuan-Ying&lt;/author&gt;&lt;author&gt;Chen, Hung-Bin&lt;/author&gt;&lt;author&gt;Chiang, Tai-En&lt;/author&gt;&lt;author&gt;Huan, Tzung-Cheng&lt;/author&gt;&lt;/authors&gt;&lt;/contributors&gt;&lt;titles&gt;&lt;title&gt;Exploring the effects of customers&amp;apos; assessments of a restaurant&amp;apos;s atmospherics and emotional assessments on a fine-dining experience and intentions to return&lt;/title&gt;&lt;secondary-title&gt;Tourism Management Perspectives&lt;/secondary-title&gt;&lt;/titles&gt;&lt;periodical&gt;&lt;full-title&gt;Tourism Management Perspectives&lt;/full-title&gt;&lt;/periodical&gt;&lt;pages&gt;101121&lt;/pages&gt;&lt;volume&gt;47&lt;/volume&gt;&lt;dates&gt;&lt;year&gt;2023&lt;/year&gt;&lt;/dates&gt;&lt;isbn&gt;2211-9736&lt;/isbn&gt;&lt;urls&gt;&lt;/urls&gt;&lt;/record&gt;&lt;/Cite&gt;&lt;Cite&gt;&lt;Author&gt;Spence&lt;/Author&gt;&lt;Year&gt;2021&lt;/Year&gt;&lt;RecNum&gt;4019&lt;/RecNum&gt;&lt;record&gt;&lt;rec-number&gt;4019&lt;/rec-number&gt;&lt;foreign-keys&gt;&lt;key app="EN" db-id="wxpst05zptaafreftwnxf9z0wwzeppsvvads" timestamp="1779268723"&gt;4019&lt;/key&gt;&lt;/foreign-keys&gt;&lt;ref-type name="Book"&gt;6&lt;/ref-type&gt;&lt;contributors&gt;&lt;authors&gt;&lt;author&gt;Spence, Charles&lt;/author&gt;&lt;/authors&gt;&lt;/contributors&gt;&lt;titles&gt;&lt;title&gt;Sensehacking: How to use the power of your senses for happier, healthier living&lt;/title&gt;&lt;/titles&gt;&lt;dates&gt;&lt;year&gt;2021&lt;/year&gt;&lt;/dates&gt;&lt;publisher&gt;Penguin UK&lt;/publisher&gt;&lt;isbn&gt;0241361168&lt;/isbn&gt;&lt;urls&gt;&lt;/urls&gt;&lt;/record&gt;&lt;/Cite&gt;&lt;/EndNote&gt;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(Leong et al., 2023; Spence, 2021)</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w:t>
      </w:r>
    </w:p>
    <w:p w14:paraId="340F7D98"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Despite the growing body of scholarship on atmospherics, </w:t>
      </w:r>
      <w:proofErr w:type="spellStart"/>
      <w:r w:rsidRPr="006E011C">
        <w:rPr>
          <w:rFonts w:asciiTheme="majorBidi" w:hAnsiTheme="majorBidi" w:cstheme="majorBidi"/>
          <w:color w:val="000000" w:themeColor="text1"/>
          <w:sz w:val="24"/>
          <w:szCs w:val="24"/>
        </w:rPr>
        <w:t>servicescapes</w:t>
      </w:r>
      <w:proofErr w:type="spellEnd"/>
      <w:r w:rsidRPr="006E011C">
        <w:rPr>
          <w:rFonts w:asciiTheme="majorBidi" w:hAnsiTheme="majorBidi" w:cstheme="majorBidi"/>
          <w:color w:val="000000" w:themeColor="text1"/>
          <w:sz w:val="24"/>
          <w:szCs w:val="24"/>
        </w:rPr>
        <w:t xml:space="preserve">, and perceived waiting time, a significant conceptual gap remains within the literature. </w:t>
      </w:r>
      <w:r w:rsidRPr="006E011C">
        <w:rPr>
          <w:rFonts w:asciiTheme="majorBidi" w:hAnsiTheme="majorBidi" w:cstheme="majorBidi"/>
          <w:i/>
          <w:iCs/>
          <w:color w:val="000000" w:themeColor="text1"/>
          <w:sz w:val="24"/>
          <w:szCs w:val="24"/>
        </w:rPr>
        <w:t xml:space="preserve">Current studies still lack a comprehensive framework capable of linking IEQ (light and colour) to perceived waiting-time experiences through the mediating roles of emotion, cognition, and customer behaviour. </w:t>
      </w:r>
      <w:r w:rsidRPr="006E011C">
        <w:rPr>
          <w:rFonts w:asciiTheme="majorBidi" w:hAnsiTheme="majorBidi" w:cstheme="majorBidi"/>
          <w:color w:val="000000" w:themeColor="text1"/>
          <w:sz w:val="24"/>
          <w:szCs w:val="24"/>
        </w:rPr>
        <w:t>Existing research frequently isolates environmental stimuli as independent variables without situating them within a coherent spatial and experiential design context. The relational dynamics between IEQ elements, spatial composition, and customers’ behavioural and emotional responses remain insufficiently theorised and empirically integrated. In response to this limitation, the present study positions lighting and colour as integral components of IEQ and examines their influence on perceived waiting duration within restaurant environments.</w:t>
      </w:r>
    </w:p>
    <w:p w14:paraId="5151F826" w14:textId="77777777" w:rsidR="00E64CA0" w:rsidRPr="006E011C" w:rsidRDefault="00E64CA0" w:rsidP="00E64CA0">
      <w:pPr>
        <w:pStyle w:val="Heading1"/>
        <w:spacing w:before="100" w:beforeAutospacing="1" w:after="100" w:afterAutospacing="1" w:line="360" w:lineRule="auto"/>
        <w:rPr>
          <w:rFonts w:asciiTheme="majorBidi" w:hAnsiTheme="majorBidi"/>
          <w:b/>
          <w:bCs/>
          <w:color w:val="000000" w:themeColor="text1"/>
          <w:sz w:val="24"/>
          <w:szCs w:val="24"/>
        </w:rPr>
      </w:pPr>
      <w:r w:rsidRPr="006E011C">
        <w:rPr>
          <w:rFonts w:asciiTheme="majorBidi" w:hAnsiTheme="majorBidi"/>
          <w:b/>
          <w:bCs/>
          <w:color w:val="000000" w:themeColor="text1"/>
          <w:sz w:val="24"/>
          <w:szCs w:val="24"/>
        </w:rPr>
        <w:t xml:space="preserve">Research Framework and Methodology </w:t>
      </w:r>
    </w:p>
    <w:p w14:paraId="50A9B207"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The research framework, grounded in a pragmatic perspective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&lt;EndNote&gt;&lt;Cite&gt;&lt;Author&gt;Saunders&lt;/Author&gt;&lt;Year&gt;2009&lt;/Year&gt;&lt;RecNum&gt;4022&lt;/RecNum&gt;&lt;DisplayText&gt;(Saunders, 2009)&lt;/DisplayText&gt;&lt;record&gt;&lt;rec-number&gt;4022&lt;/rec-number&gt;&lt;foreign-keys&gt;&lt;key app="EN" db-id="wxpst05zptaafreftwnxf9z0wwzeppsvvads" timestamp="1779271043"&gt;4022&lt;/key&gt;&lt;/foreign-keys&gt;&lt;ref-type name="Journal Article"&gt;17&lt;/ref-type&gt;&lt;contributors&gt;&lt;authors&gt;&lt;author&gt;Saunders, Mark&lt;/author&gt;&lt;/authors&gt;&lt;/contributors&gt;&lt;titles&gt;&lt;title&gt;Research methods for business students&lt;/title&gt;&lt;secondary-title&gt;Person Education Limited&lt;/secondary-title&gt;&lt;/titles&gt;&lt;periodical&gt;&lt;full-title&gt;Person Education Limited&lt;/full-title&gt;&lt;/periodical&gt;&lt;dates&gt;&lt;year&gt;2009&lt;/year&gt;&lt;/dates&gt;&lt;urls&gt;&lt;/urls&gt;&lt;/record&gt;&lt;/Cite&gt;&lt;/EndNote&gt;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(Saunders, 2009)</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conceptualises customer attraction as a key outcome of IEQ and associated customer perceptions. The model is structured around four interrelated constructs: colour, light, perceived waiting time, and emotion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&lt;EndNote&gt;&lt;Cite&gt;&lt;Author&gt;Russell&lt;/Author&gt;&lt;Year&gt;1980&lt;/Year&gt;&lt;RecNum&gt;4023&lt;/RecNum&gt;&lt;DisplayText&gt;(Leong et al., 2023; Russell &amp;amp; Pratt, 1980)&lt;/DisplayText&gt;&lt;record&gt;&lt;rec-number&gt;4023&lt;/rec-number&gt;&lt;foreign-keys&gt;&lt;key app="EN" db-id="wxpst05zptaafreftwnxf9z0wwzeppsvvads" timestamp="1779271104"&gt;4023&lt;/key&gt;&lt;/foreign-keys&gt;&lt;ref-type name="Journal Article"&gt;17&lt;/ref-type&gt;&lt;contributors&gt;&lt;authors&gt;&lt;author&gt;Russell, James A&lt;/author&gt;&lt;author&gt;Pratt, Geraldine&lt;/author&gt;&lt;/authors&gt;&lt;/contributors&gt;&lt;titles&gt;&lt;title&gt;A description of the affective quality attributed to environments&lt;/title&gt;&lt;secondary-title&gt;Journal of personality and social psychology&lt;/secondary-title&gt;&lt;/titles&gt;&lt;periodical&gt;&lt;full-title&gt;Journal of personality and social psychology&lt;/full-title&gt;&lt;/periodical&gt;&lt;pages&gt;311&lt;/pages&gt;&lt;volume&gt;38&lt;/volume&gt;&lt;number&gt;2&lt;/number&gt;&lt;dates&gt;&lt;year&gt;1980&lt;/year&gt;&lt;/dates&gt;&lt;isbn&gt;1939-1315&lt;/isbn&gt;&lt;urls&gt;&lt;/urls&gt;&lt;/record&gt;&lt;/Cite&gt;&lt;Cite&gt;&lt;Author&gt;Leong&lt;/Author&gt;&lt;Year&gt;2023&lt;/Year&gt;&lt;RecNum&gt;4029&lt;/RecNum&gt;&lt;record&gt;&lt;rec-number&gt;4029&lt;/rec-number&gt;&lt;foreign-keys&gt;&lt;key app="EN" db-id="wxpst05zptaafreftwnxf9z0wwzeppsvvads" timestamp="1779285952"&gt;4029&lt;/key&gt;&lt;/foreign-keys&gt;&lt;ref-type name="Journal Article"&gt;17&lt;/ref-type&gt;&lt;contributors&gt;&lt;authors&gt;&lt;author&gt;Leong, Aliana Man Wai&lt;/author&gt;&lt;author&gt;Chen, Kuan-Ying&lt;/author&gt;&lt;author&gt;Chen, Hung-Bin&lt;/author&gt;&lt;author&gt;Chiang, Tai-En&lt;/author&gt;&lt;author&gt;Huan, Tzung-Cheng&lt;/author&gt;&lt;/authors&gt;&lt;/contributors&gt;&lt;titles&gt;&lt;title&gt;Exploring the effects of customers&amp;apos; assessments of a restaurant&amp;apos;s atmospherics and emotional assessments on a fine-dining experience and intentions to return&lt;/title&gt;&lt;secondary-title&gt;Tourism Management Perspectives&lt;/secondary-title&gt;&lt;/titles&gt;&lt;periodical&gt;&lt;full-title&gt;Tourism Management Perspectives&lt;/full-title&gt;&lt;/periodical&gt;&lt;pages&gt;101121&lt;/pages&gt;&lt;volume&gt;47&lt;/volume&gt;&lt;dates&gt;&lt;year&gt;2023&lt;/year&gt;&lt;/dates&gt;&lt;isbn&gt;2211-9736&lt;/isbn&gt;&lt;urls&gt;&lt;/urls&gt;&lt;/record&gt;&lt;/Cite&gt;&lt;/EndNote&gt;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(Leong et al., 2023; Russell &amp; Pratt, 1980)</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To examine the relationships among these mediating variables in an integrated manner, the research model (Figure 1) visually represents the </w:t>
      </w:r>
      <w:r w:rsidRPr="006E011C">
        <w:rPr>
          <w:rFonts w:asciiTheme="majorBidi" w:hAnsiTheme="majorBidi" w:cstheme="majorBidi"/>
          <w:color w:val="000000" w:themeColor="text1"/>
          <w:sz w:val="24"/>
          <w:szCs w:val="24"/>
        </w:rPr>
        <w:lastRenderedPageBreak/>
        <w:t>hypothesised pathways and their interconnections. Accordingly, the study tests the following hypotheses:</w:t>
      </w:r>
    </w:p>
    <w:p w14:paraId="191FA9C9" w14:textId="77777777" w:rsidR="00E64CA0" w:rsidRPr="006E011C" w:rsidRDefault="00E64CA0" w:rsidP="00E64CA0">
      <w:pPr>
        <w:numPr>
          <w:ilvl w:val="0"/>
          <w:numId w:val="1"/>
        </w:num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b/>
          <w:bCs/>
          <w:color w:val="000000" w:themeColor="text1"/>
          <w:sz w:val="24"/>
          <w:szCs w:val="24"/>
        </w:rPr>
        <w:t>H1:</w:t>
      </w:r>
      <w:r w:rsidRPr="006E011C">
        <w:rPr>
          <w:rFonts w:asciiTheme="majorBidi" w:hAnsiTheme="majorBidi" w:cstheme="majorBidi"/>
          <w:color w:val="000000" w:themeColor="text1"/>
          <w:sz w:val="24"/>
          <w:szCs w:val="24"/>
        </w:rPr>
        <w:t xml:space="preserve"> Colour and lighting in the environment affect visitors’ emotional responses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&lt;EndNote&gt;&lt;Cite&gt;&lt;Author&gt;Valdez&lt;/Author&gt;&lt;Year&gt;1994&lt;/Year&gt;&lt;RecNum&gt;4021&lt;/RecNum&gt;&lt;DisplayText&gt;(Valdez &amp;amp; Mehrabian, 1994)&lt;/DisplayText&gt;&lt;record&gt;&lt;rec-number&gt;4021&lt;/rec-number&gt;&lt;foreign-keys&gt;&lt;key app="EN" db-id="wxpst05zptaafreftwnxf9z0wwzeppsvvads" timestamp="1779268999"&gt;4021&lt;/key&gt;&lt;/foreign-keys&gt;&lt;ref-type name="Journal Article"&gt;17&lt;/ref-type&gt;&lt;contributors&gt;&lt;authors&gt;&lt;author&gt;Valdez, Patricia&lt;/author&gt;&lt;author&gt;Mehrabian, Albert&lt;/author&gt;&lt;/authors&gt;&lt;/contributors&gt;&lt;titles&gt;&lt;title&gt;Effects of color on emotions&lt;/title&gt;&lt;secondary-title&gt;Journal of experimental psychology: General&lt;/secondary-title&gt;&lt;/titles&gt;&lt;periodical&gt;&lt;full-title&gt;Journal of experimental psychology: General&lt;/full-title&gt;&lt;/periodical&gt;&lt;pages&gt;394&lt;/pages&gt;&lt;volume&gt;123&lt;/volume&gt;&lt;number&gt;4&lt;/number&gt;&lt;dates&gt;&lt;year&gt;1994&lt;/year&gt;&lt;/dates&gt;&lt;isbn&gt;1939-2222&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(Valdez &amp; Mehrabian, 1994)</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w:t>
      </w:r>
    </w:p>
    <w:p w14:paraId="6EC1456E" w14:textId="77777777" w:rsidR="00E64CA0" w:rsidRPr="006E011C" w:rsidRDefault="00E64CA0" w:rsidP="00E64CA0">
      <w:pPr>
        <w:numPr>
          <w:ilvl w:val="0"/>
          <w:numId w:val="1"/>
        </w:num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b/>
          <w:bCs/>
          <w:color w:val="000000" w:themeColor="text1"/>
          <w:sz w:val="24"/>
          <w:szCs w:val="24"/>
        </w:rPr>
        <w:t>H2:</w:t>
      </w:r>
      <w:r w:rsidRPr="006E011C">
        <w:rPr>
          <w:rFonts w:asciiTheme="majorBidi" w:hAnsiTheme="majorBidi" w:cstheme="majorBidi"/>
          <w:color w:val="000000" w:themeColor="text1"/>
          <w:sz w:val="24"/>
          <w:szCs w:val="24"/>
        </w:rPr>
        <w:t xml:space="preserve"> Colour and lighting in the environment affect perceived waiting time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&lt;EndNote&gt;&lt;Cite&gt;&lt;Author&gt;Bilgili&lt;/Author&gt;&lt;Year&gt;2020&lt;/Year&gt;&lt;RecNum&gt;4025&lt;/RecNum&gt;&lt;DisplayText&gt;(Bilgili et al., 2020)&lt;/DisplayText&gt;&lt;record&gt;&lt;rec-number&gt;4025&lt;/rec-number&gt;&lt;foreign-keys&gt;&lt;key app="EN" db-id="wxpst05zptaafreftwnxf9z0wwzeppsvvads" timestamp="1779271239"&gt;4025&lt;/key&gt;&lt;/foreign-keys&gt;&lt;ref-type name="Journal Article"&gt;17&lt;/ref-type&gt;&lt;contributors&gt;&lt;authors&gt;&lt;author&gt;Bilgili, Bilsen&lt;/author&gt;&lt;author&gt;Ozkul, Emrah&lt;/author&gt;&lt;author&gt;Koc, Erdogan&lt;/author&gt;&lt;/authors&gt;&lt;/contributors&gt;&lt;titles&gt;&lt;title&gt;The influence of colour of lighting on customers’ waiting time perceptions&lt;/title&gt;&lt;secondary-title&gt;Total Quality Management &amp;amp; Business Excellence&lt;/secondary-title&gt;&lt;/titles&gt;&lt;periodical&gt;&lt;full-title&gt;Total Quality Management &amp;amp; Business Excellence&lt;/full-title&gt;&lt;/periodical&gt;&lt;pages&gt;1098-1111&lt;/pages&gt;&lt;volume&gt;31&lt;/volume&gt;&lt;number&gt;9-10&lt;/number&gt;&lt;dates&gt;&lt;year&gt;2020&lt;/year&gt;&lt;/dates&gt;&lt;isbn&gt;1478-3363&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(Bilgili et al., 2020)</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w:t>
      </w:r>
    </w:p>
    <w:p w14:paraId="07917CC2" w14:textId="77777777" w:rsidR="00E64CA0" w:rsidRPr="006E011C" w:rsidRDefault="00E64CA0" w:rsidP="00E64CA0">
      <w:pPr>
        <w:numPr>
          <w:ilvl w:val="0"/>
          <w:numId w:val="1"/>
        </w:num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b/>
          <w:bCs/>
          <w:color w:val="000000" w:themeColor="text1"/>
          <w:sz w:val="24"/>
          <w:szCs w:val="24"/>
        </w:rPr>
        <w:t>H3:</w:t>
      </w:r>
      <w:r w:rsidRPr="006E011C">
        <w:rPr>
          <w:rFonts w:asciiTheme="majorBidi" w:hAnsiTheme="majorBidi" w:cstheme="majorBidi"/>
          <w:color w:val="000000" w:themeColor="text1"/>
          <w:sz w:val="24"/>
          <w:szCs w:val="24"/>
        </w:rPr>
        <w:t xml:space="preserve"> Emotional stimulation positively affects customer attraction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&lt;EndNote&gt;&lt;Cite&gt;&lt;Author&gt;Mehrabian&lt;/Author&gt;&lt;Year&gt;1974&lt;/Year&gt;&lt;RecNum&gt;4024&lt;/RecNum&gt;&lt;DisplayText&gt;(Mehrabian &amp;amp; Russell, 1974)&lt;/DisplayText&gt;&lt;record&gt;&lt;rec-number&gt;4024&lt;/rec-number&gt;&lt;foreign-keys&gt;&lt;key app="EN" db-id="wxpst05zptaafreftwnxf9z0wwzeppsvvads" timestamp="1779271149"&gt;4024&lt;/key&gt;&lt;/foreign-keys&gt;&lt;ref-type name="Book"&gt;6&lt;/ref-type&gt;&lt;contributors&gt;&lt;authors&gt;&lt;author&gt;Mehrabian, Albert&lt;/author&gt;&lt;author&gt;Russell, James A&lt;/author&gt;&lt;/authors&gt;&lt;/contributors&gt;&lt;titles&gt;&lt;title&gt;An approach to environmental psychology&lt;/title&gt;&lt;/titles&gt;&lt;dates&gt;&lt;year&gt;1974&lt;/year&gt;&lt;/dates&gt;&lt;publisher&gt;the MIT Press&lt;/publisher&gt;&lt;isbn&gt;0262130904&lt;/isbn&gt;&lt;urls&gt;&lt;/urls&gt;&lt;/record&gt;&lt;/Cite&gt;&lt;/EndNote&gt;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(Mehrabian &amp; Russell, 1974)</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w:t>
      </w:r>
    </w:p>
    <w:p w14:paraId="736BD240" w14:textId="36F1C592" w:rsidR="00E64CA0" w:rsidRPr="006E011C" w:rsidRDefault="00E71B7D" w:rsidP="00E64CA0">
      <w:pPr>
        <w:numPr>
          <w:ilvl w:val="0"/>
          <w:numId w:val="1"/>
        </w:num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noProof/>
          <w:color w:val="000000" w:themeColor="text1"/>
          <w:sz w:val="24"/>
          <w:szCs w:val="24"/>
        </w:rPr>
        <mc:AlternateContent>
          <mc:Choice Requires="wpg">
            <w:drawing>
              <wp:anchor distT="0" distB="0" distL="114300" distR="114300" simplePos="0" relativeHeight="251659264" behindDoc="0" locked="0" layoutInCell="1" allowOverlap="1" wp14:anchorId="06FE3F15" wp14:editId="079D0F04">
                <wp:simplePos x="0" y="0"/>
                <wp:positionH relativeFrom="column">
                  <wp:posOffset>-142126</wp:posOffset>
                </wp:positionH>
                <wp:positionV relativeFrom="paragraph">
                  <wp:posOffset>613154</wp:posOffset>
                </wp:positionV>
                <wp:extent cx="6244321" cy="4215283"/>
                <wp:effectExtent l="0" t="0" r="23495" b="13970"/>
                <wp:wrapNone/>
                <wp:docPr id="144039888" name="Group 32"/>
                <wp:cNvGraphicFramePr/>
                <a:graphic xmlns:a="http://schemas.openxmlformats.org/drawingml/2006/main">
                  <a:graphicData uri="http://schemas.microsoft.com/office/word/2010/wordprocessingGroup">
                    <wpg:wgp>
                      <wpg:cNvGrpSpPr/>
                      <wpg:grpSpPr>
                        <a:xfrm>
                          <a:off x="0" y="0"/>
                          <a:ext cx="6244321" cy="4215283"/>
                          <a:chOff x="0" y="0"/>
                          <a:chExt cx="6244321" cy="4215283"/>
                        </a:xfrm>
                        <a:noFill/>
                      </wpg:grpSpPr>
                      <wpg:grpSp>
                        <wpg:cNvPr id="1238543660" name="Group 31"/>
                        <wpg:cNvGrpSpPr/>
                        <wpg:grpSpPr>
                          <a:xfrm>
                            <a:off x="0" y="497393"/>
                            <a:ext cx="5902960" cy="3589879"/>
                            <a:chOff x="23053" y="-49428"/>
                            <a:chExt cx="5902988" cy="3589919"/>
                          </a:xfrm>
                          <a:grpFill/>
                        </wpg:grpSpPr>
                        <wps:wsp>
                          <wps:cNvPr id="1464553354" name="Rectangle 1"/>
                          <wps:cNvSpPr>
                            <a:spLocks/>
                          </wps:cNvSpPr>
                          <wps:spPr>
                            <a:xfrm>
                              <a:off x="23053" y="245830"/>
                              <a:ext cx="2217054" cy="2416628"/>
                            </a:xfrm>
                            <a:prstGeom prst="rect">
                              <a:avLst/>
                            </a:prstGeom>
                            <a:grpFill/>
                            <a:ln w="6350" cap="flat" cmpd="sng" algn="ctr">
                              <a:solidFill>
                                <a:srgbClr val="EE0000">
                                  <a:alpha val="50000"/>
                                </a:srgbClr>
                              </a:solidFill>
                              <a:prstDash val="dash"/>
                              <a:miter lim="800000"/>
                            </a:ln>
                            <a:effectLst/>
                          </wps:spPr>
                          <wps:txbx>
                            <w:txbxContent>
                              <w:p w14:paraId="454F6A71" w14:textId="77777777" w:rsidR="00E64CA0" w:rsidRPr="00394545" w:rsidRDefault="00E64CA0" w:rsidP="00E64CA0">
                                <w:pPr>
                                  <w:jc w:val="center"/>
                                  <w:rPr>
                                    <w:rFonts w:ascii="Times New Roman" w:hAnsi="Times New Roman" w:cs="Times New Roman"/>
                                    <w:b/>
                                    <w:bCs/>
                                    <w:sz w:val="24"/>
                                    <w:szCs w:val="2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9644437" name="Group 30"/>
                          <wpg:cNvGrpSpPr/>
                          <wpg:grpSpPr>
                            <a:xfrm>
                              <a:off x="38421" y="-49428"/>
                              <a:ext cx="5887620" cy="3589919"/>
                              <a:chOff x="38421" y="-49428"/>
                              <a:chExt cx="5887620" cy="3589919"/>
                            </a:xfrm>
                            <a:grpFill/>
                          </wpg:grpSpPr>
                          <wps:wsp>
                            <wps:cNvPr id="87641993" name="Rectangle 71"/>
                            <wps:cNvSpPr>
                              <a:spLocks/>
                            </wps:cNvSpPr>
                            <wps:spPr>
                              <a:xfrm>
                                <a:off x="115261" y="975723"/>
                                <a:ext cx="916746" cy="439420"/>
                              </a:xfrm>
                              <a:prstGeom prst="rect">
                                <a:avLst/>
                              </a:prstGeom>
                              <a:grpFill/>
                              <a:ln w="12700" cap="flat" cmpd="sng" algn="ctr">
                                <a:noFill/>
                                <a:prstDash val="solid"/>
                                <a:miter lim="800000"/>
                              </a:ln>
                              <a:effectLst/>
                            </wps:spPr>
                            <wps:txbx>
                              <w:txbxContent>
                                <w:p w14:paraId="01B4B0DE" w14:textId="77777777" w:rsidR="00E64CA0" w:rsidRPr="00394545" w:rsidRDefault="00E64CA0" w:rsidP="00E64CA0">
                                  <w:pPr>
                                    <w:jc w:val="center"/>
                                    <w:rPr>
                                      <w:rFonts w:ascii="Times New Roman" w:hAnsi="Times New Roman" w:cs="Times New Roman"/>
                                      <w:lang w:bidi="fa-IR"/>
                                    </w:rPr>
                                  </w:pPr>
                                  <w:r w:rsidRPr="00394545">
                                    <w:rPr>
                                      <w:rFonts w:ascii="Times New Roman" w:hAnsi="Times New Roman" w:cs="Times New Roman"/>
                                      <w:lang w:bidi="fa-IR"/>
                                    </w:rPr>
                                    <w:t>Warm/Dim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874183" name="Rectangle 70"/>
                            <wps:cNvSpPr>
                              <a:spLocks/>
                            </wps:cNvSpPr>
                            <wps:spPr>
                              <a:xfrm>
                                <a:off x="69157" y="1275550"/>
                                <a:ext cx="1009015" cy="439420"/>
                              </a:xfrm>
                              <a:prstGeom prst="rect">
                                <a:avLst/>
                              </a:prstGeom>
                              <a:grpFill/>
                              <a:ln w="12700" cap="flat" cmpd="sng" algn="ctr">
                                <a:noFill/>
                                <a:prstDash val="solid"/>
                                <a:miter lim="800000"/>
                              </a:ln>
                              <a:effectLst/>
                            </wps:spPr>
                            <wps:txbx>
                              <w:txbxContent>
                                <w:p w14:paraId="5BC75543" w14:textId="77777777" w:rsidR="00E64CA0" w:rsidRPr="00394545" w:rsidRDefault="00E64CA0" w:rsidP="00E64CA0">
                                  <w:pPr>
                                    <w:jc w:val="center"/>
                                    <w:rPr>
                                      <w:rFonts w:ascii="Times New Roman" w:hAnsi="Times New Roman" w:cs="Times New Roman"/>
                                      <w:lang w:bidi="fa-IR"/>
                                    </w:rPr>
                                  </w:pPr>
                                  <w:r w:rsidRPr="00394545">
                                    <w:rPr>
                                      <w:rFonts w:ascii="Times New Roman" w:hAnsi="Times New Roman" w:cs="Times New Roman"/>
                                      <w:lang w:bidi="fa-IR"/>
                                    </w:rPr>
                                    <w:t>Warm/Bright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417223" name="Rectangle 67"/>
                            <wps:cNvSpPr>
                              <a:spLocks/>
                            </wps:cNvSpPr>
                            <wps:spPr>
                              <a:xfrm>
                                <a:off x="130628" y="1828492"/>
                                <a:ext cx="878327" cy="439420"/>
                              </a:xfrm>
                              <a:prstGeom prst="rect">
                                <a:avLst/>
                              </a:prstGeom>
                              <a:grpFill/>
                              <a:ln w="12700" cap="flat" cmpd="sng" algn="ctr">
                                <a:noFill/>
                                <a:prstDash val="solid"/>
                                <a:miter lim="800000"/>
                              </a:ln>
                              <a:effectLst/>
                            </wps:spPr>
                            <wps:txbx>
                              <w:txbxContent>
                                <w:p w14:paraId="7E08B9A6" w14:textId="77777777" w:rsidR="00E64CA0" w:rsidRPr="00394545" w:rsidRDefault="00E64CA0" w:rsidP="00E64CA0">
                                  <w:pPr>
                                    <w:jc w:val="center"/>
                                    <w:rPr>
                                      <w:rFonts w:ascii="Times New Roman" w:hAnsi="Times New Roman" w:cs="Times New Roman"/>
                                      <w:lang w:bidi="fa-IR"/>
                                    </w:rPr>
                                  </w:pPr>
                                  <w:r w:rsidRPr="00394545">
                                    <w:rPr>
                                      <w:rFonts w:ascii="Times New Roman" w:hAnsi="Times New Roman" w:cs="Times New Roman"/>
                                      <w:lang w:bidi="fa-IR"/>
                                    </w:rPr>
                                    <w:t>Cold/Dim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790500" name="Rectangle 66"/>
                            <wps:cNvSpPr>
                              <a:spLocks/>
                            </wps:cNvSpPr>
                            <wps:spPr>
                              <a:xfrm>
                                <a:off x="38421" y="2120793"/>
                                <a:ext cx="1009015" cy="439420"/>
                              </a:xfrm>
                              <a:prstGeom prst="rect">
                                <a:avLst/>
                              </a:prstGeom>
                              <a:grpFill/>
                              <a:ln w="12700" cap="flat" cmpd="sng" algn="ctr">
                                <a:noFill/>
                                <a:prstDash val="solid"/>
                                <a:miter lim="800000"/>
                              </a:ln>
                              <a:effectLst/>
                            </wps:spPr>
                            <wps:txbx>
                              <w:txbxContent>
                                <w:p w14:paraId="04CFFFB2" w14:textId="77777777" w:rsidR="00E64CA0" w:rsidRPr="00394545" w:rsidRDefault="00E64CA0" w:rsidP="00E64CA0">
                                  <w:pPr>
                                    <w:jc w:val="center"/>
                                    <w:rPr>
                                      <w:rFonts w:ascii="Times New Roman" w:hAnsi="Times New Roman" w:cs="Times New Roman"/>
                                      <w:lang w:bidi="fa-IR"/>
                                    </w:rPr>
                                  </w:pPr>
                                  <w:r w:rsidRPr="00394545">
                                    <w:rPr>
                                      <w:rFonts w:ascii="Times New Roman" w:hAnsi="Times New Roman" w:cs="Times New Roman"/>
                                      <w:lang w:bidi="fa-IR"/>
                                    </w:rPr>
                                    <w:t>Cold/Bright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3427893" name="Group 28"/>
                            <wpg:cNvGrpSpPr/>
                            <wpg:grpSpPr>
                              <a:xfrm>
                                <a:off x="1214047" y="-49428"/>
                                <a:ext cx="4711994" cy="3589919"/>
                                <a:chOff x="18630" y="-49428"/>
                                <a:chExt cx="4711994" cy="3589919"/>
                              </a:xfrm>
                              <a:grpFill/>
                            </wpg:grpSpPr>
                            <wpg:grpSp>
                              <wpg:cNvPr id="1267268559" name="Group 1267268559"/>
                              <wpg:cNvGrpSpPr/>
                              <wpg:grpSpPr>
                                <a:xfrm>
                                  <a:off x="18630" y="-49428"/>
                                  <a:ext cx="4711994" cy="3589919"/>
                                  <a:chOff x="18630" y="-49428"/>
                                  <a:chExt cx="4711994" cy="3589919"/>
                                </a:xfrm>
                                <a:grpFill/>
                              </wpg:grpSpPr>
                              <wps:wsp>
                                <wps:cNvPr id="1510296368" name="Rounded Rectangle 22"/>
                                <wps:cNvSpPr>
                                  <a:spLocks/>
                                </wps:cNvSpPr>
                                <wps:spPr>
                                  <a:xfrm>
                                    <a:off x="1752600" y="838200"/>
                                    <a:ext cx="949960" cy="415925"/>
                                  </a:xfrm>
                                  <a:prstGeom prst="roundRect">
                                    <a:avLst/>
                                  </a:prstGeom>
                                  <a:grpFill/>
                                  <a:ln w="15875" cap="flat" cmpd="sng" algn="ctr">
                                    <a:solidFill>
                                      <a:schemeClr val="bg2">
                                        <a:lumMod val="75000"/>
                                      </a:schemeClr>
                                    </a:solidFill>
                                    <a:prstDash val="solid"/>
                                    <a:miter lim="800000"/>
                                  </a:ln>
                                  <a:effectLst/>
                                </wps:spPr>
                                <wps:txbx>
                                  <w:txbxContent>
                                    <w:p w14:paraId="6AA7D16D" w14:textId="77777777" w:rsidR="00E64CA0" w:rsidRPr="00394545" w:rsidRDefault="00E64CA0" w:rsidP="00E64CA0">
                                      <w:pPr>
                                        <w:jc w:val="center"/>
                                        <w:rPr>
                                          <w:rFonts w:asciiTheme="majorBidi" w:hAnsiTheme="majorBidi" w:cstheme="majorBidi"/>
                                          <w:sz w:val="20"/>
                                          <w:szCs w:val="20"/>
                                          <w:lang w:bidi="fa-IR"/>
                                        </w:rPr>
                                      </w:pPr>
                                      <w:r w:rsidRPr="00394545">
                                        <w:rPr>
                                          <w:rFonts w:asciiTheme="majorBidi" w:hAnsiTheme="majorBidi" w:cstheme="majorBidi"/>
                                          <w:sz w:val="20"/>
                                          <w:szCs w:val="20"/>
                                          <w:lang w:bidi="fa-IR"/>
                                        </w:rPr>
                                        <w:t>Waiting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10199" name="Rectangle 149110199"/>
                                <wps:cNvSpPr>
                                  <a:spLocks/>
                                </wps:cNvSpPr>
                                <wps:spPr>
                                  <a:xfrm>
                                    <a:off x="1754454" y="-49428"/>
                                    <a:ext cx="1009015" cy="439420"/>
                                  </a:xfrm>
                                  <a:prstGeom prst="rect">
                                    <a:avLst/>
                                  </a:prstGeom>
                                  <a:grpFill/>
                                  <a:ln w="6350" cap="flat" cmpd="sng" algn="ctr">
                                    <a:solidFill>
                                      <a:srgbClr val="70AD47"/>
                                    </a:solidFill>
                                    <a:prstDash val="dash"/>
                                    <a:miter lim="800000"/>
                                  </a:ln>
                                  <a:effectLst/>
                                </wps:spPr>
                                <wps:txbx>
                                  <w:txbxContent>
                                    <w:p w14:paraId="5E6B07B5" w14:textId="77777777" w:rsidR="00E64CA0" w:rsidRPr="00394545" w:rsidRDefault="00E64CA0" w:rsidP="00E64CA0">
                                      <w:pPr>
                                        <w:jc w:val="center"/>
                                        <w:rPr>
                                          <w:rFonts w:ascii="Times New Roman" w:hAnsi="Times New Roman" w:cs="Times New Roman"/>
                                          <w:i/>
                                          <w:iCs/>
                                          <w:sz w:val="20"/>
                                          <w:szCs w:val="20"/>
                                          <w:lang w:bidi="fa-IR"/>
                                        </w:rPr>
                                      </w:pPr>
                                      <w:r w:rsidRPr="00394545">
                                        <w:rPr>
                                          <w:rFonts w:ascii="Times New Roman" w:hAnsi="Times New Roman" w:cs="Times New Roman"/>
                                          <w:i/>
                                          <w:iCs/>
                                          <w:sz w:val="20"/>
                                          <w:szCs w:val="20"/>
                                          <w:lang w:bidi="fa-IR"/>
                                        </w:rPr>
                                        <w:t>Perception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321397" name="Straight Arrow Connector 453321397"/>
                                <wps:cNvCnPr>
                                  <a:cxnSpLocks/>
                                </wps:cNvCnPr>
                                <wps:spPr>
                                  <a:xfrm>
                                    <a:off x="2735561" y="1234426"/>
                                    <a:ext cx="921890" cy="209398"/>
                                  </a:xfrm>
                                  <a:prstGeom prst="straightConnector1">
                                    <a:avLst/>
                                  </a:prstGeom>
                                  <a:grpFill/>
                                  <a:ln w="6350" cap="flat" cmpd="sng" algn="ctr">
                                    <a:solidFill>
                                      <a:sysClr val="windowText" lastClr="000000"/>
                                    </a:solidFill>
                                    <a:prstDash val="solid"/>
                                    <a:miter lim="800000"/>
                                    <a:tailEnd type="triangle"/>
                                  </a:ln>
                                  <a:effectLst/>
                                </wps:spPr>
                                <wps:bodyPr/>
                              </wps:wsp>
                              <wps:wsp>
                                <wps:cNvPr id="495369010" name="Straight Arrow Connector 495369010"/>
                                <wps:cNvCnPr>
                                  <a:cxnSpLocks/>
                                </wps:cNvCnPr>
                                <wps:spPr>
                                  <a:xfrm flipV="1">
                                    <a:off x="960100" y="1254110"/>
                                    <a:ext cx="771373" cy="386693"/>
                                  </a:xfrm>
                                  <a:prstGeom prst="straightConnector1">
                                    <a:avLst/>
                                  </a:prstGeom>
                                  <a:grpFill/>
                                  <a:ln w="6350" cap="flat" cmpd="sng" algn="ctr">
                                    <a:solidFill>
                                      <a:sysClr val="windowText" lastClr="000000"/>
                                    </a:solidFill>
                                    <a:prstDash val="solid"/>
                                    <a:miter lim="800000"/>
                                    <a:tailEnd type="triangle"/>
                                  </a:ln>
                                  <a:effectLst/>
                                </wps:spPr>
                                <wps:bodyPr/>
                              </wps:wsp>
                              <wpg:grpSp>
                                <wpg:cNvPr id="1442211481" name="Group 1442211481"/>
                                <wpg:cNvGrpSpPr/>
                                <wpg:grpSpPr>
                                  <a:xfrm>
                                    <a:off x="18630" y="1443841"/>
                                    <a:ext cx="4711994" cy="2096650"/>
                                    <a:chOff x="18630" y="-49679"/>
                                    <a:chExt cx="4711994" cy="2096650"/>
                                  </a:xfrm>
                                  <a:grpFill/>
                                </wpg:grpSpPr>
                                <wps:wsp>
                                  <wps:cNvPr id="1330629259" name="Rounded Rectangle 65"/>
                                  <wps:cNvSpPr>
                                    <a:spLocks/>
                                  </wps:cNvSpPr>
                                  <wps:spPr>
                                    <a:xfrm>
                                      <a:off x="18630" y="80306"/>
                                      <a:ext cx="949960" cy="497183"/>
                                    </a:xfrm>
                                    <a:prstGeom prst="roundRect">
                                      <a:avLst/>
                                    </a:prstGeom>
                                    <a:grpFill/>
                                    <a:ln w="15875" cap="flat" cmpd="sng" algn="ctr">
                                      <a:solidFill>
                                        <a:schemeClr val="bg2">
                                          <a:lumMod val="75000"/>
                                        </a:schemeClr>
                                      </a:solidFill>
                                      <a:prstDash val="solid"/>
                                      <a:miter lim="800000"/>
                                    </a:ln>
                                    <a:effectLst/>
                                  </wps:spPr>
                                  <wps:txbx>
                                    <w:txbxContent>
                                      <w:p w14:paraId="49DD89D8"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b/>
                                            <w:bCs/>
                                            <w:sz w:val="20"/>
                                            <w:szCs w:val="20"/>
                                            <w:lang w:bidi="fa-IR"/>
                                          </w:rPr>
                                          <w:t>Light &amp; Colour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108101" name="Rounded Rectangle 7"/>
                                  <wps:cNvSpPr>
                                    <a:spLocks/>
                                  </wps:cNvSpPr>
                                  <wps:spPr>
                                    <a:xfrm>
                                      <a:off x="3657474" y="-49679"/>
                                      <a:ext cx="1073150" cy="557954"/>
                                    </a:xfrm>
                                    <a:prstGeom prst="roundRect">
                                      <a:avLst/>
                                    </a:prstGeom>
                                    <a:grpFill/>
                                    <a:ln w="15875" cap="flat" cmpd="sng" algn="ctr">
                                      <a:solidFill>
                                        <a:schemeClr val="bg2">
                                          <a:lumMod val="75000"/>
                                        </a:schemeClr>
                                      </a:solidFill>
                                      <a:prstDash val="solid"/>
                                      <a:miter lim="800000"/>
                                    </a:ln>
                                    <a:effectLst/>
                                  </wps:spPr>
                                  <wps:txbx>
                                    <w:txbxContent>
                                      <w:p w14:paraId="74367984"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b/>
                                            <w:bCs/>
                                            <w:sz w:val="20"/>
                                            <w:szCs w:val="20"/>
                                            <w:lang w:bidi="fa-IR"/>
                                          </w:rPr>
                                          <w:t>Customer attraction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975159" name="Rounded Rectangle 10"/>
                                  <wps:cNvSpPr>
                                    <a:spLocks/>
                                  </wps:cNvSpPr>
                                  <wps:spPr>
                                    <a:xfrm>
                                      <a:off x="1811072" y="775529"/>
                                      <a:ext cx="949960" cy="415925"/>
                                    </a:xfrm>
                                    <a:prstGeom prst="roundRect">
                                      <a:avLst/>
                                    </a:prstGeom>
                                    <a:grpFill/>
                                    <a:ln w="15875" cap="flat" cmpd="sng" algn="ctr">
                                      <a:solidFill>
                                        <a:schemeClr val="bg2">
                                          <a:lumMod val="75000"/>
                                        </a:schemeClr>
                                      </a:solidFill>
                                      <a:prstDash val="solid"/>
                                      <a:miter lim="800000"/>
                                    </a:ln>
                                    <a:effectLst/>
                                  </wps:spPr>
                                  <wps:txbx>
                                    <w:txbxContent>
                                      <w:p w14:paraId="0F5E2986" w14:textId="77777777" w:rsidR="00E64CA0" w:rsidRPr="00394545" w:rsidRDefault="00E64CA0" w:rsidP="00E64CA0">
                                        <w:pPr>
                                          <w:jc w:val="center"/>
                                          <w:rPr>
                                            <w:rFonts w:asciiTheme="majorBidi" w:hAnsiTheme="majorBidi" w:cstheme="majorBidi"/>
                                            <w:sz w:val="20"/>
                                            <w:szCs w:val="20"/>
                                            <w:lang w:bidi="fa-IR"/>
                                          </w:rPr>
                                        </w:pPr>
                                        <w:r w:rsidRPr="00394545">
                                          <w:rPr>
                                            <w:rFonts w:asciiTheme="majorBidi" w:hAnsiTheme="majorBidi" w:cstheme="majorBidi"/>
                                            <w:sz w:val="20"/>
                                            <w:szCs w:val="20"/>
                                            <w:lang w:bidi="fa-IR"/>
                                          </w:rPr>
                                          <w:t>Emotion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472936" name="Rectangle 1441472936"/>
                                  <wps:cNvSpPr>
                                    <a:spLocks/>
                                  </wps:cNvSpPr>
                                  <wps:spPr>
                                    <a:xfrm>
                                      <a:off x="2305232" y="1608186"/>
                                      <a:ext cx="1009015" cy="438785"/>
                                    </a:xfrm>
                                    <a:prstGeom prst="rect">
                                      <a:avLst/>
                                    </a:prstGeom>
                                    <a:grpFill/>
                                    <a:ln w="6350" cap="flat" cmpd="sng" algn="ctr">
                                      <a:solidFill>
                                        <a:srgbClr val="70AD47"/>
                                      </a:solidFill>
                                      <a:prstDash val="dash"/>
                                      <a:miter lim="800000"/>
                                    </a:ln>
                                    <a:effectLst/>
                                  </wps:spPr>
                                  <wps:txbx>
                                    <w:txbxContent>
                                      <w:p w14:paraId="7E99D7D0" w14:textId="77777777" w:rsidR="00E64CA0" w:rsidRPr="00394545" w:rsidRDefault="00E64CA0" w:rsidP="00E64CA0">
                                        <w:pPr>
                                          <w:jc w:val="center"/>
                                          <w:rPr>
                                            <w:rFonts w:ascii="Times New Roman" w:hAnsi="Times New Roman" w:cs="Times New Roman"/>
                                            <w:i/>
                                            <w:iCs/>
                                            <w:sz w:val="20"/>
                                            <w:szCs w:val="20"/>
                                            <w:lang w:bidi="fa-IR"/>
                                          </w:rPr>
                                        </w:pPr>
                                        <w:r w:rsidRPr="00394545">
                                          <w:rPr>
                                            <w:rFonts w:ascii="Times New Roman" w:hAnsi="Times New Roman" w:cs="Times New Roman"/>
                                            <w:i/>
                                            <w:iCs/>
                                            <w:sz w:val="20"/>
                                            <w:szCs w:val="20"/>
                                            <w:lang w:bidi="fa-IR"/>
                                          </w:rPr>
                                          <w:t>Pleasure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30187" name="Rectangle 136730187"/>
                                  <wps:cNvSpPr>
                                    <a:spLocks/>
                                  </wps:cNvSpPr>
                                  <wps:spPr>
                                    <a:xfrm>
                                      <a:off x="1044690" y="1607550"/>
                                      <a:ext cx="1009015" cy="439420"/>
                                    </a:xfrm>
                                    <a:prstGeom prst="rect">
                                      <a:avLst/>
                                    </a:prstGeom>
                                    <a:grpFill/>
                                    <a:ln w="6350" cap="flat" cmpd="sng" algn="ctr">
                                      <a:solidFill>
                                        <a:srgbClr val="70AD47"/>
                                      </a:solidFill>
                                      <a:prstDash val="dash"/>
                                      <a:miter lim="800000"/>
                                    </a:ln>
                                    <a:effectLst/>
                                  </wps:spPr>
                                  <wps:txbx>
                                    <w:txbxContent>
                                      <w:p w14:paraId="6CD77677" w14:textId="77777777" w:rsidR="00E64CA0" w:rsidRPr="00394545" w:rsidRDefault="00E64CA0" w:rsidP="00E64CA0">
                                        <w:pPr>
                                          <w:jc w:val="center"/>
                                          <w:rPr>
                                            <w:rFonts w:ascii="Times New Roman" w:hAnsi="Times New Roman" w:cs="Times New Roman"/>
                                            <w:i/>
                                            <w:iCs/>
                                            <w:sz w:val="20"/>
                                            <w:szCs w:val="20"/>
                                            <w:lang w:bidi="fa-IR"/>
                                          </w:rPr>
                                        </w:pPr>
                                        <w:r w:rsidRPr="00394545">
                                          <w:rPr>
                                            <w:rFonts w:ascii="Times New Roman" w:hAnsi="Times New Roman" w:cs="Times New Roman"/>
                                            <w:i/>
                                            <w:iCs/>
                                            <w:sz w:val="20"/>
                                            <w:szCs w:val="20"/>
                                            <w:lang w:bidi="fa-IR"/>
                                          </w:rPr>
                                          <w:t xml:space="preserve">Arousal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62382" name="Straight Arrow Connector 137262382"/>
                                  <wps:cNvCnPr>
                                    <a:cxnSpLocks/>
                                  </wps:cNvCnPr>
                                  <wps:spPr>
                                    <a:xfrm flipH="1">
                                      <a:off x="1746696" y="1196340"/>
                                      <a:ext cx="89828" cy="345591"/>
                                    </a:xfrm>
                                    <a:prstGeom prst="straightConnector1">
                                      <a:avLst/>
                                    </a:prstGeom>
                                    <a:grpFill/>
                                    <a:ln w="6350" cap="flat" cmpd="sng" algn="ctr">
                                      <a:solidFill>
                                        <a:schemeClr val="bg2">
                                          <a:lumMod val="75000"/>
                                        </a:schemeClr>
                                      </a:solidFill>
                                      <a:prstDash val="dash"/>
                                      <a:miter lim="800000"/>
                                      <a:tailEnd type="triangle"/>
                                    </a:ln>
                                    <a:effectLst/>
                                  </wps:spPr>
                                  <wps:bodyPr/>
                                </wps:wsp>
                                <wps:wsp>
                                  <wps:cNvPr id="1130044892" name="Straight Arrow Connector 1130044892"/>
                                  <wps:cNvCnPr>
                                    <a:cxnSpLocks/>
                                  </wps:cNvCnPr>
                                  <wps:spPr>
                                    <a:xfrm flipV="1">
                                      <a:off x="2766041" y="522559"/>
                                      <a:ext cx="868373" cy="310534"/>
                                    </a:xfrm>
                                    <a:prstGeom prst="straightConnector1">
                                      <a:avLst/>
                                    </a:prstGeom>
                                    <a:grpFill/>
                                    <a:ln w="6350" cap="flat" cmpd="sng" algn="ctr">
                                      <a:solidFill>
                                        <a:sysClr val="windowText" lastClr="000000"/>
                                      </a:solidFill>
                                      <a:prstDash val="solid"/>
                                      <a:miter lim="800000"/>
                                      <a:tailEnd type="triangle"/>
                                    </a:ln>
                                    <a:effectLst/>
                                  </wps:spPr>
                                  <wps:bodyPr/>
                                </wps:wsp>
                                <wps:wsp>
                                  <wps:cNvPr id="294969153" name="Straight Arrow Connector 294969153"/>
                                  <wps:cNvCnPr>
                                    <a:cxnSpLocks/>
                                  </wps:cNvCnPr>
                                  <wps:spPr>
                                    <a:xfrm>
                                      <a:off x="949940" y="522559"/>
                                      <a:ext cx="861118" cy="251781"/>
                                    </a:xfrm>
                                    <a:prstGeom prst="straightConnector1">
                                      <a:avLst/>
                                    </a:prstGeom>
                                    <a:grpFill/>
                                    <a:ln w="6350" cap="flat" cmpd="sng" algn="ctr">
                                      <a:solidFill>
                                        <a:sysClr val="windowText" lastClr="000000"/>
                                      </a:solidFill>
                                      <a:prstDash val="solid"/>
                                      <a:miter lim="800000"/>
                                      <a:tailEnd type="triangle"/>
                                    </a:ln>
                                    <a:effectLst/>
                                  </wps:spPr>
                                  <wps:bodyPr/>
                                </wps:wsp>
                                <wps:wsp>
                                  <wps:cNvPr id="1117034679" name="Straight Arrow Connector 1117034679"/>
                                  <wps:cNvCnPr>
                                    <a:cxnSpLocks/>
                                  </wps:cNvCnPr>
                                  <wps:spPr>
                                    <a:xfrm>
                                      <a:off x="2743200" y="1196340"/>
                                      <a:ext cx="113845" cy="385785"/>
                                    </a:xfrm>
                                    <a:prstGeom prst="straightConnector1">
                                      <a:avLst/>
                                    </a:prstGeom>
                                    <a:grpFill/>
                                    <a:ln w="6350" cap="flat" cmpd="sng" algn="ctr">
                                      <a:solidFill>
                                        <a:schemeClr val="bg2">
                                          <a:lumMod val="75000"/>
                                        </a:schemeClr>
                                      </a:solidFill>
                                      <a:prstDash val="dash"/>
                                      <a:miter lim="800000"/>
                                      <a:tailEnd type="triangle"/>
                                    </a:ln>
                                    <a:effectLst/>
                                  </wps:spPr>
                                  <wps:bodyPr/>
                                </wps:wsp>
                              </wpg:grpSp>
                            </wpg:grpSp>
                            <wps:wsp>
                              <wps:cNvPr id="1197035505" name="Straight Arrow Connector 1197035505"/>
                              <wps:cNvCnPr>
                                <a:cxnSpLocks/>
                              </wps:cNvCnPr>
                              <wps:spPr>
                                <a:xfrm flipV="1">
                                  <a:off x="2245979" y="441955"/>
                                  <a:ext cx="0" cy="373590"/>
                                </a:xfrm>
                                <a:prstGeom prst="straightConnector1">
                                  <a:avLst/>
                                </a:prstGeom>
                                <a:grpFill/>
                                <a:ln w="6350" cap="flat" cmpd="sng" algn="ctr">
                                  <a:solidFill>
                                    <a:schemeClr val="bg2">
                                      <a:lumMod val="75000"/>
                                    </a:schemeClr>
                                  </a:solidFill>
                                  <a:prstDash val="dash"/>
                                  <a:miter lim="800000"/>
                                  <a:tailEnd type="triangle"/>
                                </a:ln>
                                <a:effectLst/>
                              </wps:spPr>
                              <wps:bodyPr/>
                            </wps:wsp>
                          </wpg:grpSp>
                          <wps:wsp>
                            <wps:cNvPr id="248982131" name="Right Brace 29"/>
                            <wps:cNvSpPr/>
                            <wps:spPr>
                              <a:xfrm>
                                <a:off x="983557" y="1029661"/>
                                <a:ext cx="172617" cy="1389924"/>
                              </a:xfrm>
                              <a:prstGeom prst="rightBrace">
                                <a:avLst/>
                              </a:prstGeom>
                              <a:grpFill/>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92456383" name="Rounded Rectangle 22"/>
                            <wps:cNvSpPr>
                              <a:spLocks/>
                            </wps:cNvSpPr>
                            <wps:spPr>
                              <a:xfrm>
                                <a:off x="630091" y="153681"/>
                                <a:ext cx="949882" cy="415855"/>
                              </a:xfrm>
                              <a:prstGeom prst="roundRect">
                                <a:avLst/>
                              </a:prstGeom>
                              <a:grpFill/>
                              <a:ln w="15875" cap="flat" cmpd="sng" algn="ctr">
                                <a:noFill/>
                                <a:prstDash val="solid"/>
                                <a:miter lim="800000"/>
                              </a:ln>
                              <a:effectLst/>
                            </wps:spPr>
                            <wps:txbx>
                              <w:txbxContent>
                                <w:p w14:paraId="1A43FA8E"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b/>
                                      <w:bCs/>
                                      <w:sz w:val="20"/>
                                      <w:szCs w:val="20"/>
                                      <w:lang w:bidi="fa-IR"/>
                                    </w:rPr>
                                    <w:t>Zone of IEQ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09318012" name="Rectangle 1"/>
                        <wps:cNvSpPr>
                          <a:spLocks/>
                        </wps:cNvSpPr>
                        <wps:spPr>
                          <a:xfrm>
                            <a:off x="2049863" y="10048"/>
                            <a:ext cx="2557849" cy="4205235"/>
                          </a:xfrm>
                          <a:prstGeom prst="rect">
                            <a:avLst/>
                          </a:prstGeom>
                          <a:grpFill/>
                          <a:ln w="6350" cap="flat" cmpd="sng" algn="ctr">
                            <a:solidFill>
                              <a:srgbClr val="EE0000">
                                <a:alpha val="50000"/>
                              </a:srgbClr>
                            </a:solidFill>
                            <a:prstDash val="dash"/>
                            <a:miter lim="800000"/>
                          </a:ln>
                          <a:effectLst/>
                        </wps:spPr>
                        <wps:txbx>
                          <w:txbxContent>
                            <w:p w14:paraId="5ADC1F78" w14:textId="77777777" w:rsidR="00E64CA0" w:rsidRPr="00394545" w:rsidRDefault="00E64CA0" w:rsidP="00E64CA0">
                              <w:pPr>
                                <w:jc w:val="center"/>
                                <w:rPr>
                                  <w:rFonts w:ascii="Times New Roman" w:hAnsi="Times New Roman" w:cs="Times New Roman"/>
                                  <w:b/>
                                  <w:bCs/>
                                  <w:sz w:val="24"/>
                                  <w:szCs w:val="2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888727" name="Rounded Rectangle 22"/>
                        <wps:cNvSpPr>
                          <a:spLocks/>
                        </wps:cNvSpPr>
                        <wps:spPr>
                          <a:xfrm>
                            <a:off x="2160395" y="0"/>
                            <a:ext cx="2336242" cy="415290"/>
                          </a:xfrm>
                          <a:prstGeom prst="roundRect">
                            <a:avLst/>
                          </a:prstGeom>
                          <a:grpFill/>
                          <a:ln w="15875" cap="flat" cmpd="sng" algn="ctr">
                            <a:noFill/>
                            <a:prstDash val="solid"/>
                            <a:miter lim="800000"/>
                          </a:ln>
                          <a:effectLst/>
                        </wps:spPr>
                        <wps:txbx>
                          <w:txbxContent>
                            <w:p w14:paraId="053B79C4"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b/>
                                  <w:bCs/>
                                  <w:sz w:val="20"/>
                                  <w:szCs w:val="20"/>
                                  <w:lang w:bidi="fa-IR"/>
                                </w:rPr>
                                <w:t>Zone of behavioural psychology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512404" name="Rectangle 1"/>
                        <wps:cNvSpPr>
                          <a:spLocks/>
                        </wps:cNvSpPr>
                        <wps:spPr>
                          <a:xfrm>
                            <a:off x="4486589" y="406958"/>
                            <a:ext cx="1757732" cy="2866768"/>
                          </a:xfrm>
                          <a:prstGeom prst="rect">
                            <a:avLst/>
                          </a:prstGeom>
                          <a:grpFill/>
                          <a:ln w="6350" cap="flat" cmpd="sng" algn="ctr">
                            <a:solidFill>
                              <a:srgbClr val="EE0000">
                                <a:alpha val="50000"/>
                              </a:srgbClr>
                            </a:solidFill>
                            <a:prstDash val="dash"/>
                            <a:miter lim="800000"/>
                          </a:ln>
                          <a:effectLst/>
                        </wps:spPr>
                        <wps:txbx>
                          <w:txbxContent>
                            <w:p w14:paraId="02399A5D" w14:textId="77777777" w:rsidR="00E64CA0" w:rsidRPr="00394545" w:rsidRDefault="00E64CA0" w:rsidP="00E64CA0">
                              <w:pPr>
                                <w:jc w:val="center"/>
                                <w:rPr>
                                  <w:rFonts w:ascii="Times New Roman" w:hAnsi="Times New Roman" w:cs="Times New Roman"/>
                                  <w:b/>
                                  <w:bCs/>
                                  <w:sz w:val="24"/>
                                  <w:szCs w:val="2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034425" name="Rounded Rectangle 22"/>
                        <wps:cNvSpPr>
                          <a:spLocks/>
                        </wps:cNvSpPr>
                        <wps:spPr>
                          <a:xfrm>
                            <a:off x="4607169" y="366765"/>
                            <a:ext cx="1627833" cy="415290"/>
                          </a:xfrm>
                          <a:prstGeom prst="roundRect">
                            <a:avLst/>
                          </a:prstGeom>
                          <a:grpFill/>
                          <a:ln w="15875" cap="flat" cmpd="sng" algn="ctr">
                            <a:noFill/>
                            <a:prstDash val="solid"/>
                            <a:miter lim="800000"/>
                          </a:ln>
                          <a:effectLst/>
                        </wps:spPr>
                        <wps:txbx>
                          <w:txbxContent>
                            <w:p w14:paraId="1218F194"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b/>
                                  <w:bCs/>
                                  <w:sz w:val="20"/>
                                  <w:szCs w:val="20"/>
                                  <w:lang w:bidi="fa-IR"/>
                                </w:rPr>
                                <w:t>Zone of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153472" name="Rounded Rectangle 22"/>
                        <wps:cNvSpPr>
                          <a:spLocks/>
                        </wps:cNvSpPr>
                        <wps:spPr>
                          <a:xfrm>
                            <a:off x="2336241" y="2376435"/>
                            <a:ext cx="472273" cy="339927"/>
                          </a:xfrm>
                          <a:prstGeom prst="roundRect">
                            <a:avLst/>
                          </a:prstGeom>
                          <a:grpFill/>
                          <a:ln w="15875" cap="flat" cmpd="sng" algn="ctr">
                            <a:noFill/>
                            <a:prstDash val="solid"/>
                            <a:miter lim="800000"/>
                          </a:ln>
                          <a:effectLst/>
                        </wps:spPr>
                        <wps:txbx>
                          <w:txbxContent>
                            <w:p w14:paraId="168125F8" w14:textId="77777777" w:rsidR="00E64CA0" w:rsidRPr="00394545" w:rsidRDefault="00E64CA0" w:rsidP="00E64CA0">
                              <w:pPr>
                                <w:jc w:val="center"/>
                                <w:rPr>
                                  <w:rFonts w:asciiTheme="majorBidi" w:hAnsiTheme="majorBidi" w:cstheme="majorBidi"/>
                                  <w:sz w:val="20"/>
                                  <w:szCs w:val="20"/>
                                  <w:lang w:bidi="fa-IR"/>
                                </w:rPr>
                              </w:pPr>
                              <w:r w:rsidRPr="00394545">
                                <w:rPr>
                                  <w:rFonts w:asciiTheme="majorBidi" w:hAnsiTheme="majorBidi" w:cstheme="majorBidi"/>
                                  <w:sz w:val="20"/>
                                  <w:szCs w:val="20"/>
                                  <w:lang w:bidi="fa-IR"/>
                                </w:rP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642577" name="Rounded Rectangle 22"/>
                        <wps:cNvSpPr>
                          <a:spLocks/>
                        </wps:cNvSpPr>
                        <wps:spPr>
                          <a:xfrm>
                            <a:off x="2336241" y="1924259"/>
                            <a:ext cx="472273" cy="339927"/>
                          </a:xfrm>
                          <a:prstGeom prst="roundRect">
                            <a:avLst/>
                          </a:prstGeom>
                          <a:grpFill/>
                          <a:ln w="15875" cap="flat" cmpd="sng" algn="ctr">
                            <a:noFill/>
                            <a:prstDash val="solid"/>
                            <a:miter lim="800000"/>
                          </a:ln>
                          <a:effectLst/>
                        </wps:spPr>
                        <wps:txbx>
                          <w:txbxContent>
                            <w:p w14:paraId="0334F829"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sz w:val="20"/>
                                  <w:szCs w:val="20"/>
                                  <w:lang w:bidi="fa-IR"/>
                                </w:rP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156329" name="Rounded Rectangle 22"/>
                        <wps:cNvSpPr>
                          <a:spLocks/>
                        </wps:cNvSpPr>
                        <wps:spPr>
                          <a:xfrm>
                            <a:off x="3989195" y="2441749"/>
                            <a:ext cx="472273" cy="339927"/>
                          </a:xfrm>
                          <a:prstGeom prst="roundRect">
                            <a:avLst/>
                          </a:prstGeom>
                          <a:grpFill/>
                          <a:ln w="15875" cap="flat" cmpd="sng" algn="ctr">
                            <a:noFill/>
                            <a:prstDash val="solid"/>
                            <a:miter lim="800000"/>
                          </a:ln>
                          <a:effectLst/>
                        </wps:spPr>
                        <wps:txbx>
                          <w:txbxContent>
                            <w:p w14:paraId="6616AE26"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sz w:val="20"/>
                                  <w:szCs w:val="20"/>
                                  <w:lang w:bidi="fa-IR"/>
                                </w:rP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00746" name="Rounded Rectangle 22"/>
                        <wps:cNvSpPr>
                          <a:spLocks/>
                        </wps:cNvSpPr>
                        <wps:spPr>
                          <a:xfrm>
                            <a:off x="3954026" y="1783582"/>
                            <a:ext cx="472273" cy="339927"/>
                          </a:xfrm>
                          <a:prstGeom prst="roundRect">
                            <a:avLst/>
                          </a:prstGeom>
                          <a:grpFill/>
                          <a:ln w="15875" cap="flat" cmpd="sng" algn="ctr">
                            <a:noFill/>
                            <a:prstDash val="solid"/>
                            <a:miter lim="800000"/>
                          </a:ln>
                          <a:effectLst/>
                        </wps:spPr>
                        <wps:txbx>
                          <w:txbxContent>
                            <w:p w14:paraId="6B5276E5"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sz w:val="20"/>
                                  <w:szCs w:val="20"/>
                                  <w:lang w:bidi="fa-IR"/>
                                </w:rPr>
                                <w:t>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FE3F15" id="Group 32" o:spid="_x0000_s1026" style="position:absolute;left:0;text-align:left;margin-left:-11.2pt;margin-top:48.3pt;width:491.7pt;height:331.9pt;z-index:251659264" coordsize="62443,4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">
                <v:group id="Group 31" o:spid="_x0000_s1027" style="position:absolute;top:4973;width:59029;height:35899" coordorigin="230,-494" coordsize="59029,3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">
                  <v:rect id="Rectangle 1" o:spid="_x0000_s1028" style="position:absolute;left:230;top:2458;width:22171;height:2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" filled="f" strokecolor="#e00" strokeweight=".5pt">
                    <v:stroke dashstyle="dash" opacity="32896f"/>
                    <v:path arrowok="t"/>
                    <v:textbox>
                      <w:txbxContent>
                        <w:p w14:paraId="454F6A71" w14:textId="77777777" w:rsidR="00E64CA0" w:rsidRPr="00394545" w:rsidRDefault="00E64CA0" w:rsidP="00E64CA0">
                          <w:pPr>
                            <w:jc w:val="center"/>
                            <w:rPr>
                              <w:rFonts w:ascii="Times New Roman" w:hAnsi="Times New Roman" w:cs="Times New Roman"/>
                              <w:b/>
                              <w:bCs/>
                              <w:sz w:val="24"/>
                              <w:szCs w:val="24"/>
                              <w:lang w:bidi="fa-IR"/>
                            </w:rPr>
                          </w:pPr>
                        </w:p>
                      </w:txbxContent>
                    </v:textbox>
                  </v:rect>
                  <v:group id="Group 30" o:spid="_x0000_s1029" style="position:absolute;left:384;top:-494;width:58876;height:35898" coordorigin="384,-494" coordsize="58876,3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">
                    <v:rect id="Rectangle 71" o:spid="_x0000_s1030" style="position:absolute;left:1152;top:9757;width:9168;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" filled="f" stroked="f" strokeweight="1pt">
                      <v:textbox>
                        <w:txbxContent>
                          <w:p w14:paraId="01B4B0DE" w14:textId="77777777" w:rsidR="00E64CA0" w:rsidRPr="00394545" w:rsidRDefault="00E64CA0" w:rsidP="00E64CA0">
                            <w:pPr>
                              <w:jc w:val="center"/>
                              <w:rPr>
                                <w:rFonts w:ascii="Times New Roman" w:hAnsi="Times New Roman" w:cs="Times New Roman"/>
                                <w:lang w:bidi="fa-IR"/>
                              </w:rPr>
                            </w:pPr>
                            <w:r w:rsidRPr="00394545">
                              <w:rPr>
                                <w:rFonts w:ascii="Times New Roman" w:hAnsi="Times New Roman" w:cs="Times New Roman"/>
                                <w:lang w:bidi="fa-IR"/>
                              </w:rPr>
                              <w:t>Warm/Dim</w:t>
                            </w:r>
                          </w:p>
                        </w:txbxContent>
                      </v:textbox>
                    </v:rect>
                    <v:rect id="Rectangle 70" o:spid="_x0000_s1031" style="position:absolute;left:691;top:12755;width:10090;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" filled="f" stroked="f" strokeweight="1pt">
                      <v:textbox>
                        <w:txbxContent>
                          <w:p w14:paraId="5BC75543" w14:textId="77777777" w:rsidR="00E64CA0" w:rsidRPr="00394545" w:rsidRDefault="00E64CA0" w:rsidP="00E64CA0">
                            <w:pPr>
                              <w:jc w:val="center"/>
                              <w:rPr>
                                <w:rFonts w:ascii="Times New Roman" w:hAnsi="Times New Roman" w:cs="Times New Roman"/>
                                <w:lang w:bidi="fa-IR"/>
                              </w:rPr>
                            </w:pPr>
                            <w:r w:rsidRPr="00394545">
                              <w:rPr>
                                <w:rFonts w:ascii="Times New Roman" w:hAnsi="Times New Roman" w:cs="Times New Roman"/>
                                <w:lang w:bidi="fa-IR"/>
                              </w:rPr>
                              <w:t>Warm/Bright</w:t>
                            </w:r>
                          </w:p>
                        </w:txbxContent>
                      </v:textbox>
                    </v:rect>
                    <v:rect id="Rectangle 67" o:spid="_x0000_s1032" style="position:absolute;left:1306;top:18284;width:8783;height: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" filled="f" stroked="f" strokeweight="1pt">
                      <v:textbox>
                        <w:txbxContent>
                          <w:p w14:paraId="7E08B9A6" w14:textId="77777777" w:rsidR="00E64CA0" w:rsidRPr="00394545" w:rsidRDefault="00E64CA0" w:rsidP="00E64CA0">
                            <w:pPr>
                              <w:jc w:val="center"/>
                              <w:rPr>
                                <w:rFonts w:ascii="Times New Roman" w:hAnsi="Times New Roman" w:cs="Times New Roman"/>
                                <w:lang w:bidi="fa-IR"/>
                              </w:rPr>
                            </w:pPr>
                            <w:r w:rsidRPr="00394545">
                              <w:rPr>
                                <w:rFonts w:ascii="Times New Roman" w:hAnsi="Times New Roman" w:cs="Times New Roman"/>
                                <w:lang w:bidi="fa-IR"/>
                              </w:rPr>
                              <w:t>Cold/Dim</w:t>
                            </w:r>
                          </w:p>
                        </w:txbxContent>
                      </v:textbox>
                    </v:rect>
                    <v:rect id="Rectangle 66" o:spid="_x0000_s1033" style="position:absolute;left:384;top:21207;width:10090;height: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" filled="f" stroked="f" strokeweight="1pt">
                      <v:textbox>
                        <w:txbxContent>
                          <w:p w14:paraId="04CFFFB2" w14:textId="77777777" w:rsidR="00E64CA0" w:rsidRPr="00394545" w:rsidRDefault="00E64CA0" w:rsidP="00E64CA0">
                            <w:pPr>
                              <w:jc w:val="center"/>
                              <w:rPr>
                                <w:rFonts w:ascii="Times New Roman" w:hAnsi="Times New Roman" w:cs="Times New Roman"/>
                                <w:lang w:bidi="fa-IR"/>
                              </w:rPr>
                            </w:pPr>
                            <w:r w:rsidRPr="00394545">
                              <w:rPr>
                                <w:rFonts w:ascii="Times New Roman" w:hAnsi="Times New Roman" w:cs="Times New Roman"/>
                                <w:lang w:bidi="fa-IR"/>
                              </w:rPr>
                              <w:t>Cold/Bright</w:t>
                            </w:r>
                          </w:p>
                        </w:txbxContent>
                      </v:textbox>
                    </v:rect>
                    <v:group id="Group 28" o:spid="_x0000_s1034" style="position:absolute;left:12140;top:-494;width:47120;height:35898" coordorigin="186,-494" coordsize="47119,3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">
                      <v:group id="Group 1267268559" o:spid="_x0000_s1035" style="position:absolute;left:186;top:-494;width:47120;height:35898" coordorigin="186,-494" coordsize="47119,3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">
                        <v:roundrect id="Rounded Rectangle 22" o:spid="_x0000_s1036" style="position:absolute;left:17526;top:8382;width:9499;height:4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" filled="f" strokecolor="#adadad [2414]" strokeweight="1.25pt">
                          <v:stroke joinstyle="miter"/>
                          <v:path arrowok="t"/>
                          <v:textbox>
                            <w:txbxContent>
                              <w:p w14:paraId="6AA7D16D" w14:textId="77777777" w:rsidR="00E64CA0" w:rsidRPr="00394545" w:rsidRDefault="00E64CA0" w:rsidP="00E64CA0">
                                <w:pPr>
                                  <w:jc w:val="center"/>
                                  <w:rPr>
                                    <w:rFonts w:asciiTheme="majorBidi" w:hAnsiTheme="majorBidi" w:cstheme="majorBidi"/>
                                    <w:sz w:val="20"/>
                                    <w:szCs w:val="20"/>
                                    <w:lang w:bidi="fa-IR"/>
                                  </w:rPr>
                                </w:pPr>
                                <w:r w:rsidRPr="00394545">
                                  <w:rPr>
                                    <w:rFonts w:asciiTheme="majorBidi" w:hAnsiTheme="majorBidi" w:cstheme="majorBidi"/>
                                    <w:sz w:val="20"/>
                                    <w:szCs w:val="20"/>
                                    <w:lang w:bidi="fa-IR"/>
                                  </w:rPr>
                                  <w:t>Waiting time</w:t>
                                </w:r>
                              </w:p>
                            </w:txbxContent>
                          </v:textbox>
                        </v:roundrect>
                        <v:rect id="Rectangle 149110199" o:spid="_x0000_s1037" style="position:absolute;left:17544;top:-494;width:1009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" filled="f" strokecolor="#70ad47" strokeweight=".5pt">
                          <v:stroke dashstyle="dash"/>
                          <v:path arrowok="t"/>
                          <v:textbox>
                            <w:txbxContent>
                              <w:p w14:paraId="5E6B07B5" w14:textId="77777777" w:rsidR="00E64CA0" w:rsidRPr="00394545" w:rsidRDefault="00E64CA0" w:rsidP="00E64CA0">
                                <w:pPr>
                                  <w:jc w:val="center"/>
                                  <w:rPr>
                                    <w:rFonts w:ascii="Times New Roman" w:hAnsi="Times New Roman" w:cs="Times New Roman"/>
                                    <w:i/>
                                    <w:iCs/>
                                    <w:sz w:val="20"/>
                                    <w:szCs w:val="20"/>
                                    <w:lang w:bidi="fa-IR"/>
                                  </w:rPr>
                                </w:pPr>
                                <w:r w:rsidRPr="00394545">
                                  <w:rPr>
                                    <w:rFonts w:ascii="Times New Roman" w:hAnsi="Times New Roman" w:cs="Times New Roman"/>
                                    <w:i/>
                                    <w:iCs/>
                                    <w:sz w:val="20"/>
                                    <w:szCs w:val="20"/>
                                    <w:lang w:bidi="fa-IR"/>
                                  </w:rPr>
                                  <w:t>Perception</w:t>
                                </w:r>
                              </w:p>
                            </w:txbxContent>
                          </v:textbox>
                        </v:rect>
                        <v:shapetype id="_x0000_t32" coordsize="21600,21600" o:spt="32" o:oned="t" path="m,l21600,21600e" filled="f">
                          <v:path arrowok="t" fillok="f" o:connecttype="none"/>
                          <o:lock v:ext="edit" shapetype="t"/>
                        </v:shapetype>
                        <v:shape id="Straight Arrow Connector 453321397" o:spid="_x0000_s1038" type="#_x0000_t32" style="position:absolute;left:27355;top:12344;width:9219;height:2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" strokecolor="windowText" strokeweight=".5pt">
                          <v:stroke endarrow="block" joinstyle="miter"/>
                          <o:lock v:ext="edit" shapetype="f"/>
                        </v:shape>
                        <v:shape id="Straight Arrow Connector 495369010" o:spid="_x0000_s1039" type="#_x0000_t32" style="position:absolute;left:9601;top:12541;width:7713;height:38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" strokecolor="windowText" strokeweight=".5pt">
                          <v:stroke endarrow="block" joinstyle="miter"/>
                          <o:lock v:ext="edit" shapetype="f"/>
                        </v:shape>
                        <v:group id="Group 1442211481" o:spid="_x0000_s1040" style="position:absolute;left:186;top:14438;width:47120;height:20966" coordorigin="186,-496" coordsize="47119,2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">
                          <v:roundrect id="Rounded Rectangle 65" o:spid="_x0000_s1041" style="position:absolute;left:186;top:803;width:9499;height:49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" filled="f" strokecolor="#adadad [2414]" strokeweight="1.25pt">
                            <v:stroke joinstyle="miter"/>
                            <v:path arrowok="t"/>
                            <v:textbox>
                              <w:txbxContent>
                                <w:p w14:paraId="49DD89D8"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b/>
                                      <w:bCs/>
                                      <w:sz w:val="20"/>
                                      <w:szCs w:val="20"/>
                                      <w:lang w:bidi="fa-IR"/>
                                    </w:rPr>
                                    <w:t>Light &amp; Colour</w:t>
                                  </w:r>
                                </w:p>
                              </w:txbxContent>
                            </v:textbox>
                          </v:roundrect>
                          <v:roundrect id="Rounded Rectangle 7" o:spid="_x0000_s1042" style="position:absolute;left:36574;top:-496;width:10732;height:5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" filled="f" strokecolor="#adadad [2414]" strokeweight="1.25pt">
                            <v:stroke joinstyle="miter"/>
                            <v:path arrowok="t"/>
                            <v:textbox>
                              <w:txbxContent>
                                <w:p w14:paraId="74367984"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b/>
                                      <w:bCs/>
                                      <w:sz w:val="20"/>
                                      <w:szCs w:val="20"/>
                                      <w:lang w:bidi="fa-IR"/>
                                    </w:rPr>
                                    <w:t>Customer attraction</w:t>
                                  </w:r>
                                </w:p>
                              </w:txbxContent>
                            </v:textbox>
                          </v:roundrect>
                          <v:roundrect id="Rounded Rectangle 10" o:spid="_x0000_s1043" style="position:absolute;left:18110;top:7755;width:9500;height:4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" filled="f" strokecolor="#adadad [2414]" strokeweight="1.25pt">
                            <v:stroke joinstyle="miter"/>
                            <v:path arrowok="t"/>
                            <v:textbox>
                              <w:txbxContent>
                                <w:p w14:paraId="0F5E2986" w14:textId="77777777" w:rsidR="00E64CA0" w:rsidRPr="00394545" w:rsidRDefault="00E64CA0" w:rsidP="00E64CA0">
                                  <w:pPr>
                                    <w:jc w:val="center"/>
                                    <w:rPr>
                                      <w:rFonts w:asciiTheme="majorBidi" w:hAnsiTheme="majorBidi" w:cstheme="majorBidi"/>
                                      <w:sz w:val="20"/>
                                      <w:szCs w:val="20"/>
                                      <w:lang w:bidi="fa-IR"/>
                                    </w:rPr>
                                  </w:pPr>
                                  <w:r w:rsidRPr="00394545">
                                    <w:rPr>
                                      <w:rFonts w:asciiTheme="majorBidi" w:hAnsiTheme="majorBidi" w:cstheme="majorBidi"/>
                                      <w:sz w:val="20"/>
                                      <w:szCs w:val="20"/>
                                      <w:lang w:bidi="fa-IR"/>
                                    </w:rPr>
                                    <w:t>Emotion</w:t>
                                  </w:r>
                                </w:p>
                              </w:txbxContent>
                            </v:textbox>
                          </v:roundrect>
                          <v:rect id="Rectangle 1441472936" o:spid="_x0000_s1044" style="position:absolute;left:23052;top:16081;width:10090;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" filled="f" strokecolor="#70ad47" strokeweight=".5pt">
                            <v:stroke dashstyle="dash"/>
                            <v:path arrowok="t"/>
                            <v:textbox>
                              <w:txbxContent>
                                <w:p w14:paraId="7E99D7D0" w14:textId="77777777" w:rsidR="00E64CA0" w:rsidRPr="00394545" w:rsidRDefault="00E64CA0" w:rsidP="00E64CA0">
                                  <w:pPr>
                                    <w:jc w:val="center"/>
                                    <w:rPr>
                                      <w:rFonts w:ascii="Times New Roman" w:hAnsi="Times New Roman" w:cs="Times New Roman"/>
                                      <w:i/>
                                      <w:iCs/>
                                      <w:sz w:val="20"/>
                                      <w:szCs w:val="20"/>
                                      <w:lang w:bidi="fa-IR"/>
                                    </w:rPr>
                                  </w:pPr>
                                  <w:r w:rsidRPr="00394545">
                                    <w:rPr>
                                      <w:rFonts w:ascii="Times New Roman" w:hAnsi="Times New Roman" w:cs="Times New Roman"/>
                                      <w:i/>
                                      <w:iCs/>
                                      <w:sz w:val="20"/>
                                      <w:szCs w:val="20"/>
                                      <w:lang w:bidi="fa-IR"/>
                                    </w:rPr>
                                    <w:t>Pleasure</w:t>
                                  </w:r>
                                </w:p>
                              </w:txbxContent>
                            </v:textbox>
                          </v:rect>
                          <v:rect id="Rectangle 136730187" o:spid="_x0000_s1045" style="position:absolute;left:10446;top:16075;width:10091;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" filled="f" strokecolor="#70ad47" strokeweight=".5pt">
                            <v:stroke dashstyle="dash"/>
                            <v:path arrowok="t"/>
                            <v:textbox>
                              <w:txbxContent>
                                <w:p w14:paraId="6CD77677" w14:textId="77777777" w:rsidR="00E64CA0" w:rsidRPr="00394545" w:rsidRDefault="00E64CA0" w:rsidP="00E64CA0">
                                  <w:pPr>
                                    <w:jc w:val="center"/>
                                    <w:rPr>
                                      <w:rFonts w:ascii="Times New Roman" w:hAnsi="Times New Roman" w:cs="Times New Roman"/>
                                      <w:i/>
                                      <w:iCs/>
                                      <w:sz w:val="20"/>
                                      <w:szCs w:val="20"/>
                                      <w:lang w:bidi="fa-IR"/>
                                    </w:rPr>
                                  </w:pPr>
                                  <w:r w:rsidRPr="00394545">
                                    <w:rPr>
                                      <w:rFonts w:ascii="Times New Roman" w:hAnsi="Times New Roman" w:cs="Times New Roman"/>
                                      <w:i/>
                                      <w:iCs/>
                                      <w:sz w:val="20"/>
                                      <w:szCs w:val="20"/>
                                      <w:lang w:bidi="fa-IR"/>
                                    </w:rPr>
                                    <w:t xml:space="preserve">Arousal </w:t>
                                  </w:r>
                                </w:p>
                              </w:txbxContent>
                            </v:textbox>
                          </v:rect>
                          <v:shape id="Straight Arrow Connector 137262382" o:spid="_x0000_s1046" type="#_x0000_t32" style="position:absolute;left:17466;top:11963;width:899;height:3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" strokecolor="#adadad [2414]" strokeweight=".5pt">
                            <v:stroke dashstyle="dash" endarrow="block" joinstyle="miter"/>
                            <o:lock v:ext="edit" shapetype="f"/>
                          </v:shape>
                          <v:shape id="Straight Arrow Connector 1130044892" o:spid="_x0000_s1047" type="#_x0000_t32" style="position:absolute;left:27660;top:5225;width:8684;height:3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" strokecolor="windowText" strokeweight=".5pt">
                            <v:stroke endarrow="block" joinstyle="miter"/>
                            <o:lock v:ext="edit" shapetype="f"/>
                          </v:shape>
                          <v:shape id="Straight Arrow Connector 294969153" o:spid="_x0000_s1048" type="#_x0000_t32" style="position:absolute;left:9499;top:5225;width:8611;height:2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" strokecolor="windowText" strokeweight=".5pt">
                            <v:stroke endarrow="block" joinstyle="miter"/>
                            <o:lock v:ext="edit" shapetype="f"/>
                          </v:shape>
                          <v:shape id="Straight Arrow Connector 1117034679" o:spid="_x0000_s1049" type="#_x0000_t32" style="position:absolute;left:27432;top:11963;width:1138;height:3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" strokecolor="#adadad [2414]" strokeweight=".5pt">
                            <v:stroke dashstyle="dash" endarrow="block" joinstyle="miter"/>
                            <o:lock v:ext="edit" shapetype="f"/>
                          </v:shape>
                        </v:group>
                      </v:group>
                      <v:shape id="Straight Arrow Connector 1197035505" o:spid="_x0000_s1050" type="#_x0000_t32" style="position:absolute;left:22459;top:4419;width:0;height:37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" strokecolor="#adadad [2414]" strokeweight=".5pt">
                        <v:stroke dashstyle="dash" endarrow="block" joinstyle="miter"/>
                        <o:lock v:ext="edit" shapetype="f"/>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 o:spid="_x0000_s1051" type="#_x0000_t88" style="position:absolute;left:9835;top:10296;width:1726;height:1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" adj="224" strokecolor="black [3213]">
                      <v:stroke joinstyle="miter"/>
                    </v:shape>
                    <v:roundrect id="Rounded Rectangle 22" o:spid="_x0000_s1052" style="position:absolute;left:6300;top:1536;width:9499;height:4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" filled="f" stroked="f" strokeweight="1.25pt">
                      <v:stroke joinstyle="miter"/>
                      <v:textbox>
                        <w:txbxContent>
                          <w:p w14:paraId="1A43FA8E"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b/>
                                <w:bCs/>
                                <w:sz w:val="20"/>
                                <w:szCs w:val="20"/>
                                <w:lang w:bidi="fa-IR"/>
                              </w:rPr>
                              <w:t>Zone of IEQ</w:t>
                            </w:r>
                          </w:p>
                        </w:txbxContent>
                      </v:textbox>
                    </v:roundrect>
                  </v:group>
                </v:group>
                <v:rect id="Rectangle 1" o:spid="_x0000_s1053" style="position:absolute;left:20498;top:100;width:25579;height:4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" filled="f" strokecolor="#e00" strokeweight=".5pt">
                  <v:stroke dashstyle="dash" opacity="32896f"/>
                  <v:path arrowok="t"/>
                  <v:textbox>
                    <w:txbxContent>
                      <w:p w14:paraId="5ADC1F78" w14:textId="77777777" w:rsidR="00E64CA0" w:rsidRPr="00394545" w:rsidRDefault="00E64CA0" w:rsidP="00E64CA0">
                        <w:pPr>
                          <w:jc w:val="center"/>
                          <w:rPr>
                            <w:rFonts w:ascii="Times New Roman" w:hAnsi="Times New Roman" w:cs="Times New Roman"/>
                            <w:b/>
                            <w:bCs/>
                            <w:sz w:val="24"/>
                            <w:szCs w:val="24"/>
                            <w:lang w:bidi="fa-IR"/>
                          </w:rPr>
                        </w:pPr>
                      </w:p>
                    </w:txbxContent>
                  </v:textbox>
                </v:rect>
                <v:roundrect id="Rounded Rectangle 22" o:spid="_x0000_s1054" style="position:absolute;left:21603;width:23363;height:4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" filled="f" stroked="f" strokeweight="1.25pt">
                  <v:stroke joinstyle="miter"/>
                  <v:textbox>
                    <w:txbxContent>
                      <w:p w14:paraId="053B79C4"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b/>
                            <w:bCs/>
                            <w:sz w:val="20"/>
                            <w:szCs w:val="20"/>
                            <w:lang w:bidi="fa-IR"/>
                          </w:rPr>
                          <w:t>Zone of behavioural psychology</w:t>
                        </w:r>
                      </w:p>
                    </w:txbxContent>
                  </v:textbox>
                </v:roundrect>
                <v:rect id="Rectangle 1" o:spid="_x0000_s1055" style="position:absolute;left:44865;top:4069;width:17578;height:2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" filled="f" strokecolor="#e00" strokeweight=".5pt">
                  <v:stroke dashstyle="dash" opacity="32896f"/>
                  <v:path arrowok="t"/>
                  <v:textbox>
                    <w:txbxContent>
                      <w:p w14:paraId="02399A5D" w14:textId="77777777" w:rsidR="00E64CA0" w:rsidRPr="00394545" w:rsidRDefault="00E64CA0" w:rsidP="00E64CA0">
                        <w:pPr>
                          <w:jc w:val="center"/>
                          <w:rPr>
                            <w:rFonts w:ascii="Times New Roman" w:hAnsi="Times New Roman" w:cs="Times New Roman"/>
                            <w:b/>
                            <w:bCs/>
                            <w:sz w:val="24"/>
                            <w:szCs w:val="24"/>
                            <w:lang w:bidi="fa-IR"/>
                          </w:rPr>
                        </w:pPr>
                      </w:p>
                    </w:txbxContent>
                  </v:textbox>
                </v:rect>
                <v:roundrect id="Rounded Rectangle 22" o:spid="_x0000_s1056" style="position:absolute;left:46071;top:3667;width:16279;height:4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" filled="f" stroked="f" strokeweight="1.25pt">
                  <v:stroke joinstyle="miter"/>
                  <v:textbox>
                    <w:txbxContent>
                      <w:p w14:paraId="1218F194"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b/>
                            <w:bCs/>
                            <w:sz w:val="20"/>
                            <w:szCs w:val="20"/>
                            <w:lang w:bidi="fa-IR"/>
                          </w:rPr>
                          <w:t>Zone of Marketing</w:t>
                        </w:r>
                      </w:p>
                    </w:txbxContent>
                  </v:textbox>
                </v:roundrect>
                <v:roundrect id="Rounded Rectangle 22" o:spid="_x0000_s1057" style="position:absolute;left:23362;top:23764;width:4723;height:3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" filled="f" stroked="f" strokeweight="1.25pt">
                  <v:stroke joinstyle="miter"/>
                  <v:textbox>
                    <w:txbxContent>
                      <w:p w14:paraId="168125F8" w14:textId="77777777" w:rsidR="00E64CA0" w:rsidRPr="00394545" w:rsidRDefault="00E64CA0" w:rsidP="00E64CA0">
                        <w:pPr>
                          <w:jc w:val="center"/>
                          <w:rPr>
                            <w:rFonts w:asciiTheme="majorBidi" w:hAnsiTheme="majorBidi" w:cstheme="majorBidi"/>
                            <w:sz w:val="20"/>
                            <w:szCs w:val="20"/>
                            <w:lang w:bidi="fa-IR"/>
                          </w:rPr>
                        </w:pPr>
                        <w:r w:rsidRPr="00394545">
                          <w:rPr>
                            <w:rFonts w:asciiTheme="majorBidi" w:hAnsiTheme="majorBidi" w:cstheme="majorBidi"/>
                            <w:sz w:val="20"/>
                            <w:szCs w:val="20"/>
                            <w:lang w:bidi="fa-IR"/>
                          </w:rPr>
                          <w:t>H1</w:t>
                        </w:r>
                      </w:p>
                    </w:txbxContent>
                  </v:textbox>
                </v:roundrect>
                <v:roundrect id="Rounded Rectangle 22" o:spid="_x0000_s1058" style="position:absolute;left:23362;top:19242;width:4723;height:3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" filled="f" stroked="f" strokeweight="1.25pt">
                  <v:stroke joinstyle="miter"/>
                  <v:textbox>
                    <w:txbxContent>
                      <w:p w14:paraId="0334F829"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sz w:val="20"/>
                            <w:szCs w:val="20"/>
                            <w:lang w:bidi="fa-IR"/>
                          </w:rPr>
                          <w:t>H2</w:t>
                        </w:r>
                      </w:p>
                    </w:txbxContent>
                  </v:textbox>
                </v:roundrect>
                <v:roundrect id="Rounded Rectangle 22" o:spid="_x0000_s1059" style="position:absolute;left:39891;top:24417;width:4723;height:3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" filled="f" stroked="f" strokeweight="1.25pt">
                  <v:stroke joinstyle="miter"/>
                  <v:textbox>
                    <w:txbxContent>
                      <w:p w14:paraId="6616AE26"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sz w:val="20"/>
                            <w:szCs w:val="20"/>
                            <w:lang w:bidi="fa-IR"/>
                          </w:rPr>
                          <w:t>H3</w:t>
                        </w:r>
                      </w:p>
                    </w:txbxContent>
                  </v:textbox>
                </v:roundrect>
                <v:roundrect id="Rounded Rectangle 22" o:spid="_x0000_s1060" style="position:absolute;left:39540;top:17835;width:4722;height:3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" filled="f" stroked="f" strokeweight="1.25pt">
                  <v:stroke joinstyle="miter"/>
                  <v:textbox>
                    <w:txbxContent>
                      <w:p w14:paraId="6B5276E5" w14:textId="77777777" w:rsidR="00E64CA0" w:rsidRPr="00394545" w:rsidRDefault="00E64CA0" w:rsidP="00E64CA0">
                        <w:pPr>
                          <w:jc w:val="center"/>
                          <w:rPr>
                            <w:rFonts w:asciiTheme="majorBidi" w:hAnsiTheme="majorBidi" w:cstheme="majorBidi"/>
                            <w:b/>
                            <w:bCs/>
                            <w:sz w:val="20"/>
                            <w:szCs w:val="20"/>
                            <w:lang w:bidi="fa-IR"/>
                          </w:rPr>
                        </w:pPr>
                        <w:r w:rsidRPr="00394545">
                          <w:rPr>
                            <w:rFonts w:asciiTheme="majorBidi" w:hAnsiTheme="majorBidi" w:cstheme="majorBidi"/>
                            <w:sz w:val="20"/>
                            <w:szCs w:val="20"/>
                            <w:lang w:bidi="fa-IR"/>
                          </w:rPr>
                          <w:t>H4</w:t>
                        </w:r>
                      </w:p>
                    </w:txbxContent>
                  </v:textbox>
                </v:roundrect>
              </v:group>
            </w:pict>
          </mc:Fallback>
        </mc:AlternateContent>
      </w:r>
      <w:r w:rsidR="00E64CA0" w:rsidRPr="006E011C">
        <w:rPr>
          <w:rFonts w:asciiTheme="majorBidi" w:hAnsiTheme="majorBidi" w:cstheme="majorBidi"/>
          <w:b/>
          <w:bCs/>
          <w:color w:val="000000" w:themeColor="text1"/>
          <w:sz w:val="24"/>
          <w:szCs w:val="24"/>
        </w:rPr>
        <w:t>H4:</w:t>
      </w:r>
      <w:r w:rsidR="00E64CA0" w:rsidRPr="006E011C">
        <w:rPr>
          <w:rFonts w:asciiTheme="majorBidi" w:hAnsiTheme="majorBidi" w:cstheme="majorBidi"/>
          <w:color w:val="000000" w:themeColor="text1"/>
          <w:sz w:val="24"/>
          <w:szCs w:val="24"/>
        </w:rPr>
        <w:t xml:space="preserve"> Optimal perception of waiting time positively affects customer attraction </w:t>
      </w:r>
      <w:r w:rsidR="00E64CA0" w:rsidRPr="006E011C">
        <w:rPr>
          <w:rFonts w:asciiTheme="majorBidi" w:hAnsiTheme="majorBidi" w:cstheme="majorBidi"/>
          <w:color w:val="000000" w:themeColor="text1"/>
          <w:sz w:val="24"/>
          <w:szCs w:val="24"/>
        </w:rPr>
        <w:fldChar w:fldCharType="begin"/>
      </w:r>
      <w:r w:rsidR="00E64CA0" w:rsidRPr="006E011C">
        <w:rPr>
          <w:rFonts w:asciiTheme="majorBidi" w:hAnsiTheme="majorBidi" w:cstheme="majorBidi"/>
          <w:color w:val="000000" w:themeColor="text1"/>
          <w:sz w:val="24"/>
          <w:szCs w:val="24"/>
        </w:rPr>
        <w:instrText xml:space="preserve"> ADDIN EN.CITE &lt;EndNote&gt;&lt;Cite&gt;&lt;Author&gt;Bielen&lt;/Author&gt;&lt;Year&gt;2007&lt;/Year&gt;&lt;RecNum&gt;4026&lt;/RecNum&gt;&lt;DisplayText&gt;(Bielen &amp;amp; Demoulin, 2007)&lt;/DisplayText&gt;&lt;record&gt;&lt;rec-number&gt;4026&lt;/rec-number&gt;&lt;foreign-keys&gt;&lt;key app="EN" db-id="wxpst05zptaafreftwnxf9z0wwzeppsvvads" timestamp="1779271316"&gt;4026&lt;/key&gt;&lt;/foreign-keys&gt;&lt;ref-type name="Journal Article"&gt;17&lt;/ref-type&gt;&lt;contributors&gt;&lt;authors&gt;&lt;author&gt;Bielen, Frédéric&lt;/author&gt;&lt;author&gt;Demoulin, Nathalie&lt;/author&gt;&lt;/authors&gt;&lt;/contributors&gt;&lt;titles&gt;&lt;title&gt;Waiting time influence on the satisfaction‐loyalty relationship in services&lt;/title&gt;&lt;secondary-title&gt;Managing Service Quality: An International Journal&lt;/secondary-title&gt;&lt;/titles&gt;&lt;periodical&gt;&lt;full-title&gt;Managing Service Quality: An International Journal&lt;/full-title&gt;&lt;/periodical&gt;&lt;pages&gt;174-193&lt;/pages&gt;&lt;volume&gt;17&lt;/volume&gt;&lt;number&gt;2&lt;/number&gt;&lt;dates&gt;&lt;year&gt;2007&lt;/year&gt;&lt;/dates&gt;&lt;isbn&gt;0960-4529&lt;/isbn&gt;&lt;urls&gt;&lt;/urls&gt;&lt;/record&gt;&lt;/Cite&gt;&lt;/EndNote&gt;</w:instrText>
      </w:r>
      <w:r w:rsidR="00E64CA0" w:rsidRPr="006E011C">
        <w:rPr>
          <w:rFonts w:asciiTheme="majorBidi" w:hAnsiTheme="majorBidi" w:cstheme="majorBidi"/>
          <w:color w:val="000000" w:themeColor="text1"/>
          <w:sz w:val="24"/>
          <w:szCs w:val="24"/>
        </w:rPr>
        <w:fldChar w:fldCharType="separate"/>
      </w:r>
      <w:r w:rsidR="00E64CA0" w:rsidRPr="006E011C">
        <w:rPr>
          <w:rFonts w:asciiTheme="majorBidi" w:hAnsiTheme="majorBidi" w:cstheme="majorBidi"/>
          <w:color w:val="000000" w:themeColor="text1"/>
          <w:sz w:val="24"/>
          <w:szCs w:val="24"/>
        </w:rPr>
        <w:t>(Bielen &amp; Demoulin, 2007)</w:t>
      </w:r>
      <w:r w:rsidR="00E64CA0" w:rsidRPr="006E011C">
        <w:rPr>
          <w:rFonts w:asciiTheme="majorBidi" w:hAnsiTheme="majorBidi" w:cstheme="majorBidi"/>
          <w:color w:val="000000" w:themeColor="text1"/>
          <w:sz w:val="24"/>
          <w:szCs w:val="24"/>
        </w:rPr>
        <w:fldChar w:fldCharType="end"/>
      </w:r>
      <w:r w:rsidR="00E64CA0" w:rsidRPr="006E011C">
        <w:rPr>
          <w:rFonts w:asciiTheme="majorBidi" w:hAnsiTheme="majorBidi" w:cstheme="majorBidi"/>
          <w:color w:val="000000" w:themeColor="text1"/>
          <w:sz w:val="24"/>
          <w:szCs w:val="24"/>
        </w:rPr>
        <w:t>.</w:t>
      </w:r>
    </w:p>
    <w:p w14:paraId="0A6DCECC" w14:textId="13D6EA93" w:rsidR="00E64CA0" w:rsidRPr="006E011C" w:rsidRDefault="00E64CA0" w:rsidP="00E64CA0">
      <w:pPr>
        <w:spacing w:before="100" w:beforeAutospacing="1" w:after="100" w:afterAutospacing="1" w:line="360" w:lineRule="auto"/>
        <w:ind w:left="720"/>
        <w:jc w:val="both"/>
        <w:rPr>
          <w:rFonts w:asciiTheme="majorBidi" w:hAnsiTheme="majorBidi" w:cstheme="majorBidi"/>
          <w:color w:val="000000" w:themeColor="text1"/>
          <w:sz w:val="24"/>
          <w:szCs w:val="24"/>
        </w:rPr>
      </w:pPr>
    </w:p>
    <w:p w14:paraId="31A3312A" w14:textId="77777777" w:rsidR="00E64CA0" w:rsidRPr="006E011C" w:rsidRDefault="00E64CA0" w:rsidP="00E64CA0">
      <w:pPr>
        <w:spacing w:before="100" w:beforeAutospacing="1" w:after="100" w:afterAutospacing="1" w:line="360" w:lineRule="auto"/>
        <w:ind w:left="720"/>
        <w:jc w:val="both"/>
        <w:rPr>
          <w:rFonts w:asciiTheme="majorBidi" w:hAnsiTheme="majorBidi" w:cstheme="majorBidi"/>
          <w:color w:val="000000" w:themeColor="text1"/>
          <w:sz w:val="24"/>
          <w:szCs w:val="24"/>
        </w:rPr>
      </w:pPr>
    </w:p>
    <w:p w14:paraId="5CA1F5EB" w14:textId="77777777" w:rsidR="00E64CA0" w:rsidRPr="006E011C" w:rsidRDefault="00E64CA0" w:rsidP="00E64CA0">
      <w:pPr>
        <w:spacing w:before="100" w:beforeAutospacing="1" w:after="100" w:afterAutospacing="1" w:line="360" w:lineRule="auto"/>
        <w:ind w:left="284"/>
        <w:jc w:val="both"/>
        <w:rPr>
          <w:rFonts w:asciiTheme="majorBidi" w:hAnsiTheme="majorBidi" w:cstheme="majorBidi"/>
          <w:color w:val="000000" w:themeColor="text1"/>
          <w:sz w:val="24"/>
          <w:szCs w:val="24"/>
        </w:rPr>
      </w:pPr>
    </w:p>
    <w:p w14:paraId="4C641428" w14:textId="77777777" w:rsidR="00E64CA0" w:rsidRPr="006E011C" w:rsidRDefault="00E64CA0" w:rsidP="00E64CA0">
      <w:pPr>
        <w:spacing w:before="100" w:beforeAutospacing="1" w:after="100" w:afterAutospacing="1" w:line="360" w:lineRule="auto"/>
        <w:ind w:left="284"/>
        <w:jc w:val="both"/>
        <w:rPr>
          <w:rFonts w:asciiTheme="majorBidi" w:hAnsiTheme="majorBidi" w:cstheme="majorBidi"/>
          <w:color w:val="000000" w:themeColor="text1"/>
          <w:sz w:val="24"/>
          <w:szCs w:val="24"/>
          <w:rtl/>
        </w:rPr>
      </w:pPr>
    </w:p>
    <w:p w14:paraId="36662FED" w14:textId="77777777" w:rsidR="00E64CA0" w:rsidRPr="006E011C" w:rsidRDefault="00E64CA0" w:rsidP="00E64CA0">
      <w:pPr>
        <w:spacing w:before="100" w:beforeAutospacing="1" w:after="100" w:afterAutospacing="1" w:line="360" w:lineRule="auto"/>
        <w:ind w:left="284"/>
        <w:jc w:val="both"/>
        <w:rPr>
          <w:rFonts w:asciiTheme="majorBidi" w:hAnsiTheme="majorBidi" w:cstheme="majorBidi"/>
          <w:color w:val="000000" w:themeColor="text1"/>
          <w:sz w:val="24"/>
          <w:szCs w:val="24"/>
          <w:rtl/>
        </w:rPr>
      </w:pPr>
    </w:p>
    <w:p w14:paraId="0949786F" w14:textId="77777777" w:rsidR="00E64CA0" w:rsidRPr="006E011C" w:rsidRDefault="00E64CA0" w:rsidP="00E64CA0">
      <w:pPr>
        <w:spacing w:before="100" w:beforeAutospacing="1" w:after="100" w:afterAutospacing="1" w:line="360" w:lineRule="auto"/>
        <w:ind w:left="284"/>
        <w:jc w:val="both"/>
        <w:rPr>
          <w:rFonts w:asciiTheme="majorBidi" w:hAnsiTheme="majorBidi" w:cstheme="majorBidi"/>
          <w:color w:val="000000" w:themeColor="text1"/>
          <w:sz w:val="24"/>
          <w:szCs w:val="24"/>
          <w:rtl/>
        </w:rPr>
      </w:pPr>
    </w:p>
    <w:p w14:paraId="629DEBED" w14:textId="77777777" w:rsidR="00E64CA0" w:rsidRPr="006E011C" w:rsidRDefault="00E64CA0" w:rsidP="00E64CA0">
      <w:pPr>
        <w:spacing w:before="100" w:beforeAutospacing="1" w:after="100" w:afterAutospacing="1" w:line="360" w:lineRule="auto"/>
        <w:ind w:left="284"/>
        <w:jc w:val="both"/>
        <w:rPr>
          <w:rFonts w:asciiTheme="majorBidi" w:hAnsiTheme="majorBidi" w:cstheme="majorBidi"/>
          <w:color w:val="000000" w:themeColor="text1"/>
          <w:sz w:val="24"/>
          <w:szCs w:val="24"/>
          <w:rtl/>
        </w:rPr>
      </w:pPr>
    </w:p>
    <w:p w14:paraId="5F70C660" w14:textId="77777777" w:rsidR="00E64CA0" w:rsidRPr="006E011C" w:rsidRDefault="00E64CA0" w:rsidP="00E64CA0">
      <w:pPr>
        <w:spacing w:before="100" w:beforeAutospacing="1" w:after="100" w:afterAutospacing="1" w:line="360" w:lineRule="auto"/>
        <w:ind w:left="284"/>
        <w:jc w:val="both"/>
        <w:rPr>
          <w:rFonts w:asciiTheme="majorBidi" w:hAnsiTheme="majorBidi" w:cstheme="majorBidi"/>
          <w:color w:val="000000" w:themeColor="text1"/>
          <w:sz w:val="24"/>
          <w:szCs w:val="24"/>
          <w:rtl/>
        </w:rPr>
      </w:pPr>
    </w:p>
    <w:p w14:paraId="04774491" w14:textId="77777777" w:rsidR="00E64CA0" w:rsidRPr="006E011C" w:rsidRDefault="00E64CA0" w:rsidP="00E64CA0">
      <w:pPr>
        <w:spacing w:before="100" w:beforeAutospacing="1" w:after="100" w:afterAutospacing="1" w:line="360" w:lineRule="auto"/>
        <w:ind w:left="284"/>
        <w:jc w:val="both"/>
        <w:rPr>
          <w:rFonts w:asciiTheme="majorBidi" w:hAnsiTheme="majorBidi" w:cstheme="majorBidi"/>
          <w:color w:val="000000" w:themeColor="text1"/>
          <w:sz w:val="24"/>
          <w:szCs w:val="24"/>
          <w:rtl/>
        </w:rPr>
      </w:pPr>
    </w:p>
    <w:p w14:paraId="6E8E3388" w14:textId="77777777" w:rsidR="00E64CA0" w:rsidRPr="006E011C" w:rsidRDefault="00E64CA0" w:rsidP="00E64CA0">
      <w:pPr>
        <w:spacing w:before="100" w:beforeAutospacing="1" w:after="100" w:afterAutospacing="1" w:line="360" w:lineRule="auto"/>
        <w:jc w:val="center"/>
        <w:rPr>
          <w:rFonts w:asciiTheme="majorBidi" w:hAnsiTheme="majorBidi" w:cstheme="majorBidi"/>
          <w:color w:val="000000" w:themeColor="text1"/>
          <w:sz w:val="24"/>
          <w:szCs w:val="24"/>
        </w:rPr>
      </w:pPr>
    </w:p>
    <w:p w14:paraId="605BE5D6" w14:textId="77777777" w:rsidR="00E64CA0" w:rsidRPr="006E011C" w:rsidRDefault="00E64CA0" w:rsidP="00E64CA0">
      <w:pPr>
        <w:spacing w:before="100" w:beforeAutospacing="1" w:after="100" w:afterAutospacing="1" w:line="360" w:lineRule="auto"/>
        <w:jc w:val="center"/>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Figure 1: The research framework (authors)</w:t>
      </w:r>
    </w:p>
    <w:p w14:paraId="408D1F47"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This study adopts a quantitative research design grounded in a postdigital methodological approach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&lt;EndNote&gt;&lt;Cite&gt;&lt;Author&gt;Jandrić&lt;/Author&gt;&lt;Year&gt;2018&lt;/Year&gt;&lt;RecNum&gt;3799&lt;/RecNum&gt;&lt;DisplayText&gt;(Jandrić et al., 2018)&lt;/DisplayText&gt;&lt;record&gt;&lt;rec-number&gt;3799&lt;/rec-number&gt;&lt;foreign-keys&gt;&lt;key app="EN" db-id="wxpst05zptaafreftwnxf9z0wwzeppsvvads" timestamp="1759043019"&gt;3799&lt;/key&gt;&lt;/foreign-keys&gt;&lt;ref-type name="Generic"&gt;13&lt;/ref-type&gt;&lt;contributors&gt;&lt;authors&gt;&lt;author&gt;Jandrić, Petar&lt;/author&gt;&lt;author&gt;Knox, Jeremy&lt;/author&gt;&lt;author&gt;Besley, Tina&lt;/author&gt;&lt;author&gt;Ryberg, Thomas&lt;/author&gt;&lt;author&gt;Suoranta, Juha&lt;/author&gt;&lt;author&gt;Hayes, Sarah&lt;/author&gt;&lt;/authors&gt;&lt;/contributors&gt;&lt;titles&gt;&lt;title&gt;Postdigital science and education&lt;/title&gt;&lt;/titles&gt;&lt;pages&gt;893-899&lt;/pages&gt;&lt;volume&gt;50&lt;/volume&gt;&lt;number&gt;10&lt;/number&gt;&lt;dates&gt;&lt;year&gt;2018&lt;/year&gt;&lt;/dates&gt;&lt;publisher&gt;Taylor &amp;amp; Francis&lt;/publisher&gt;&lt;isbn&gt;0013-1857&lt;/isbn&gt;&lt;urls&gt;&lt;/urls&gt;&lt;/record&gt;&lt;/Cite&gt;&lt;/EndNote&gt;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(Jandrić et al., 2018)</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which enables a more efficient and cost-effective process of data collection. Rather than relying on the physical modification of built environments—a resource-</w:t>
      </w:r>
      <w:r w:rsidRPr="006E011C">
        <w:rPr>
          <w:rFonts w:asciiTheme="majorBidi" w:hAnsiTheme="majorBidi" w:cstheme="majorBidi"/>
          <w:color w:val="000000" w:themeColor="text1"/>
          <w:sz w:val="24"/>
          <w:szCs w:val="24"/>
        </w:rPr>
        <w:lastRenderedPageBreak/>
        <w:t>intensive approach often constrained by financial and infrastructural limitations in contexts such as Iran—the study employs digital simulation tools to construct experimental settings. In this regard, Autodesk 3ds Max was used to model a restaurant interior, allowing systematic manipulation of lighting and colour conditions across controlled visual scenarios.</w:t>
      </w:r>
    </w:p>
    <w:p w14:paraId="00F5CD26"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As illustrated in Figure 2, four distinct experimental configurations of lighting and colour were developed and presented to participants. The colour schemes were informed by Johannes Itten’s colour theory, particularly his framework of contrasts and perceptual interactions between hues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&lt;EndNote&gt;&lt;Cite&gt;&lt;Author&gt;Itten&lt;/Author&gt;&lt;Year&gt;1970&lt;/Year&gt;&lt;RecNum&gt;4027&lt;/RecNum&gt;&lt;DisplayText&gt;(Itten, 1970)&lt;/DisplayText&gt;&lt;record&gt;&lt;rec-number&gt;4027&lt;/rec-number&gt;&lt;foreign-keys&gt;&lt;key app="EN" db-id="wxpst05zptaafreftwnxf9z0wwzeppsvvads" timestamp="1779272602"&gt;4027&lt;/key&gt;&lt;/foreign-keys&gt;&lt;ref-type name="Book"&gt;6&lt;/ref-type&gt;&lt;contributors&gt;&lt;authors&gt;&lt;author&gt;Itten, Johannes&lt;/author&gt;&lt;/authors&gt;&lt;/contributors&gt;&lt;titles&gt;&lt;title&gt;The elements of color&lt;/title&gt;&lt;/titles&gt;&lt;volume&gt;4&lt;/volume&gt;&lt;dates&gt;&lt;year&gt;1970&lt;/year&gt;&lt;/dates&gt;&lt;publisher&gt;John Wiley &amp;amp; Sons&lt;/publisher&gt;&lt;isbn&gt;0471289299&lt;/isbn&gt;&lt;urls&gt;&lt;/urls&gt;&lt;/record&gt;&lt;/Cite&gt;&lt;/EndNote&gt;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(Itten, 1970)</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This theoretical basis ensured that the visual stimuli reflected established principles of colour harmony and contrast within design theory. </w:t>
      </w:r>
    </w:p>
    <w:p w14:paraId="70CBE2EC"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The study employs a correlational design to examine relationships between variables. The target population consisted of restaurant visitors in Tehran. Given the absence of access to a single controlled physical environment with variable lighting and colour conditions, and the financial constraints associated with constructing experimental interiors, the study utilised image-based experimental panels as a data collection instrument. This approach is widely accepted in environmental perception and </w:t>
      </w:r>
      <w:proofErr w:type="spellStart"/>
      <w:r w:rsidRPr="006E011C">
        <w:rPr>
          <w:rFonts w:asciiTheme="majorBidi" w:hAnsiTheme="majorBidi" w:cstheme="majorBidi"/>
          <w:color w:val="000000" w:themeColor="text1"/>
          <w:sz w:val="24"/>
          <w:szCs w:val="24"/>
        </w:rPr>
        <w:t>servicescape</w:t>
      </w:r>
      <w:proofErr w:type="spellEnd"/>
      <w:r w:rsidRPr="006E011C">
        <w:rPr>
          <w:rFonts w:asciiTheme="majorBidi" w:hAnsiTheme="majorBidi" w:cstheme="majorBidi"/>
          <w:color w:val="000000" w:themeColor="text1"/>
          <w:sz w:val="24"/>
          <w:szCs w:val="24"/>
        </w:rPr>
        <w:t xml:space="preserve"> research, particularly when real-world manipulation is impractical. Accordingly, data were collected through a structured questionnaire designed to measure emotional response, perceived waiting time, and customer attraction, adapted from established validated scales in environmental psychology and </w:t>
      </w:r>
      <w:proofErr w:type="spellStart"/>
      <w:r w:rsidRPr="006E011C">
        <w:rPr>
          <w:rFonts w:asciiTheme="majorBidi" w:hAnsiTheme="majorBidi" w:cstheme="majorBidi"/>
          <w:color w:val="000000" w:themeColor="text1"/>
          <w:sz w:val="24"/>
          <w:szCs w:val="24"/>
        </w:rPr>
        <w:t>servicescape</w:t>
      </w:r>
      <w:proofErr w:type="spellEnd"/>
      <w:r w:rsidRPr="006E011C">
        <w:rPr>
          <w:rFonts w:asciiTheme="majorBidi" w:hAnsiTheme="majorBidi" w:cstheme="majorBidi"/>
          <w:color w:val="000000" w:themeColor="text1"/>
          <w:sz w:val="24"/>
          <w:szCs w:val="24"/>
        </w:rPr>
        <w:t xml:space="preserve"> research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&lt;EndNote&gt;&lt;Cite&gt;&lt;Author&gt;Mehrabian&lt;/Author&gt;&lt;Year&gt;1974&lt;/Year&gt;&lt;RecNum&gt;4024&lt;/RecNum&gt;&lt;Prefix&gt;e.g.`, &lt;/Prefix&gt;&lt;DisplayText&gt;(e.g., Bitner, 1992; Mehrabian &amp;amp; Russell, 1974)&lt;/DisplayText&gt;&lt;record&gt;&lt;rec-number&gt;4024&lt;/rec-number&gt;&lt;foreign-keys&gt;&lt;key app="EN" db-id="wxpst05zptaafreftwnxf9z0wwzeppsvvads" timestamp="1779271149"&gt;4024&lt;/key&gt;&lt;/foreign-keys&gt;&lt;ref-type name="Book"&gt;6&lt;/ref-type&gt;&lt;contributors&gt;&lt;authors&gt;&lt;author&gt;Mehrabian, Albert&lt;/author&gt;&lt;author&gt;Russell, James A&lt;/author&gt;&lt;/authors&gt;&lt;/contributors&gt;&lt;titles&gt;&lt;title&gt;An approach to environmental psychology&lt;/title&gt;&lt;/titles&gt;&lt;dates&gt;&lt;year&gt;1974&lt;/year&gt;&lt;/dates&gt;&lt;publisher&gt;the MIT Press&lt;/publisher&gt;&lt;isbn&gt;0262130904&lt;/isbn&gt;&lt;urls&gt;&lt;/urls&gt;&lt;/record&gt;&lt;/Cite&gt;&lt;Cite&gt;&lt;Author&gt;Bitner&lt;/Author&gt;&lt;Year&gt;1992&lt;/Year&gt;&lt;RecNum&gt;4017&lt;/RecNum&gt;&lt;record&gt;&lt;rec-number&gt;4017&lt;/rec-number&gt;&lt;foreign-keys&gt;&lt;key app="EN" db-id="wxpst05zptaafreftwnxf9z0wwzeppsvvads" timestamp="1779268494"&gt;4017&lt;/key&gt;&lt;/foreign-keys&gt;&lt;ref-type name="Journal Article"&gt;17&lt;/ref-type&gt;&lt;contributors&gt;&lt;authors&gt;&lt;author&gt;Bitner, Mary Jo&lt;/author&gt;&lt;/authors&gt;&lt;/contributors&gt;&lt;titles&gt;&lt;title&gt;Servicescapes: The impact of physical surroundings on customers and employees&lt;/title&gt;&lt;secondary-title&gt;Journal of marketing&lt;/secondary-title&gt;&lt;/titles&gt;&lt;periodical&gt;&lt;full-title&gt;Journal of marketing&lt;/full-title&gt;&lt;/periodical&gt;&lt;pages&gt;57-71&lt;/pages&gt;&lt;volume&gt;56&lt;/volume&gt;&lt;number&gt;2&lt;/number&gt;&lt;dates&gt;&lt;year&gt;1992&lt;/year&gt;&lt;/dates&gt;&lt;isbn&gt;0022-2429&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(e.g., Bitner, 1992; Mehrabian &amp; Russell, 1974)</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All items were assessed using a seven-point Likert scale ranging from strong disagreement to strong agreement.</w:t>
      </w:r>
    </w:p>
    <w:p w14:paraId="58CD79CF"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Sample size was determined using Cochran’s formula. A total of 468 questionnaires were distributed; after excluding incomplete or invalid responses, 441 valid questionnaires were retained for analysis. Stratified random sampling was employed to ensure representation across different urban and socio-economic contexts within Tehran. Accordingly, data were collected from four geographical zones (North, South, East, and West Tehran) to capture variation across income groups and restaurant types. In addition, the sample was structured to reflect key demographic and behavioural variables, including age, gender, education level, income, type of restaurant visited (fast food, traditional Iranian restaurants, and multi-purpose restaurants), and frequency of </w:t>
      </w:r>
      <w:r w:rsidRPr="006E011C">
        <w:rPr>
          <w:rFonts w:asciiTheme="majorBidi" w:hAnsiTheme="majorBidi" w:cstheme="majorBidi"/>
          <w:color w:val="000000" w:themeColor="text1"/>
          <w:sz w:val="24"/>
          <w:szCs w:val="24"/>
        </w:rPr>
        <w:lastRenderedPageBreak/>
        <w:t>restaurant visits. This stratification allowed for a more comprehensive assessment of customer perceptions across diverse consumer segments.</w:t>
      </w:r>
    </w:p>
    <w:p w14:paraId="5DC6EC2A" w14:textId="77777777" w:rsidR="00E64CA0" w:rsidRPr="006E011C" w:rsidRDefault="00E64CA0" w:rsidP="00E64CA0">
      <w:pPr>
        <w:spacing w:before="100" w:beforeAutospacing="1" w:after="100" w:afterAutospacing="1" w:line="360" w:lineRule="auto"/>
        <w:ind w:left="284"/>
        <w:jc w:val="center"/>
        <w:rPr>
          <w:rFonts w:asciiTheme="majorBidi" w:hAnsiTheme="majorBidi" w:cstheme="majorBidi"/>
          <w:color w:val="000000" w:themeColor="text1"/>
          <w:sz w:val="24"/>
          <w:szCs w:val="24"/>
          <w:lang w:bidi="fa-IR"/>
        </w:rPr>
      </w:pPr>
      <w:r w:rsidRPr="006E011C">
        <w:rPr>
          <w:rFonts w:asciiTheme="majorBidi" w:hAnsiTheme="majorBidi" w:cstheme="majorBidi"/>
          <w:color w:val="000000" w:themeColor="text1"/>
          <w:sz w:val="24"/>
          <w:szCs w:val="24"/>
          <w:lang w:bidi="fa-IR"/>
        </w:rPr>
        <w:t>Cold/bright                                                              Warm/bright</w:t>
      </w:r>
    </w:p>
    <w:p w14:paraId="335EEBAA" w14:textId="77777777" w:rsidR="00E64CA0" w:rsidRPr="006E011C" w:rsidRDefault="00E64CA0" w:rsidP="00E64CA0">
      <w:pPr>
        <w:spacing w:before="100" w:beforeAutospacing="1" w:after="100" w:afterAutospacing="1" w:line="360" w:lineRule="auto"/>
        <w:ind w:left="284"/>
        <w:jc w:val="center"/>
        <w:rPr>
          <w:rFonts w:asciiTheme="majorBidi" w:hAnsiTheme="majorBidi" w:cstheme="majorBidi"/>
          <w:color w:val="000000" w:themeColor="text1"/>
          <w:sz w:val="24"/>
          <w:szCs w:val="24"/>
          <w:lang w:bidi="fa-IR"/>
        </w:rPr>
      </w:pPr>
      <w:r w:rsidRPr="006E011C">
        <w:rPr>
          <w:rFonts w:asciiTheme="majorBidi" w:hAnsiTheme="majorBidi" w:cstheme="majorBidi"/>
          <w:noProof/>
          <w:color w:val="000000" w:themeColor="text1"/>
          <w:sz w:val="24"/>
          <w:szCs w:val="24"/>
          <w:lang w:bidi="fa-IR"/>
        </w:rPr>
        <w:drawing>
          <wp:inline distT="0" distB="0" distL="0" distR="0" wp14:anchorId="001687DC" wp14:editId="7B66B8A4">
            <wp:extent cx="2355215" cy="1181735"/>
            <wp:effectExtent l="0" t="0" r="6985"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5215" cy="1181735"/>
                    </a:xfrm>
                    <a:prstGeom prst="rect">
                      <a:avLst/>
                    </a:prstGeom>
                    <a:noFill/>
                    <a:ln>
                      <a:noFill/>
                    </a:ln>
                  </pic:spPr>
                </pic:pic>
              </a:graphicData>
            </a:graphic>
          </wp:inline>
        </w:drawing>
      </w:r>
      <w:r w:rsidRPr="006E011C">
        <w:rPr>
          <w:rFonts w:asciiTheme="majorBidi" w:hAnsiTheme="majorBidi" w:cstheme="majorBidi"/>
          <w:color w:val="000000" w:themeColor="text1"/>
          <w:sz w:val="24"/>
          <w:szCs w:val="24"/>
          <w:lang w:bidi="fa-IR"/>
        </w:rPr>
        <w:t xml:space="preserve">           </w:t>
      </w:r>
      <w:r w:rsidRPr="006E011C">
        <w:rPr>
          <w:rFonts w:asciiTheme="majorBidi" w:hAnsiTheme="majorBidi" w:cstheme="majorBidi"/>
          <w:noProof/>
          <w:color w:val="000000" w:themeColor="text1"/>
          <w:sz w:val="24"/>
          <w:szCs w:val="24"/>
          <w:lang w:bidi="fa-IR"/>
        </w:rPr>
        <w:drawing>
          <wp:inline distT="0" distB="0" distL="0" distR="0" wp14:anchorId="2EC674D9" wp14:editId="0E7D8778">
            <wp:extent cx="2415540" cy="1198880"/>
            <wp:effectExtent l="0" t="0" r="3810" b="127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5540" cy="1198880"/>
                    </a:xfrm>
                    <a:prstGeom prst="rect">
                      <a:avLst/>
                    </a:prstGeom>
                    <a:noFill/>
                    <a:ln>
                      <a:noFill/>
                    </a:ln>
                  </pic:spPr>
                </pic:pic>
              </a:graphicData>
            </a:graphic>
          </wp:inline>
        </w:drawing>
      </w:r>
    </w:p>
    <w:p w14:paraId="5B839B84" w14:textId="77777777" w:rsidR="00E64CA0" w:rsidRPr="006E011C" w:rsidRDefault="00E64CA0" w:rsidP="00E64CA0">
      <w:pPr>
        <w:spacing w:before="100" w:beforeAutospacing="1" w:after="100" w:afterAutospacing="1" w:line="360" w:lineRule="auto"/>
        <w:ind w:left="284"/>
        <w:jc w:val="center"/>
        <w:rPr>
          <w:rFonts w:asciiTheme="majorBidi" w:hAnsiTheme="majorBidi" w:cstheme="majorBidi"/>
          <w:color w:val="000000" w:themeColor="text1"/>
          <w:sz w:val="24"/>
          <w:szCs w:val="24"/>
          <w:rtl/>
          <w:lang w:bidi="fa-IR"/>
        </w:rPr>
      </w:pPr>
      <w:r w:rsidRPr="006E011C">
        <w:rPr>
          <w:rFonts w:asciiTheme="majorBidi" w:hAnsiTheme="majorBidi" w:cstheme="majorBidi"/>
          <w:color w:val="000000" w:themeColor="text1"/>
          <w:sz w:val="24"/>
          <w:szCs w:val="24"/>
          <w:lang w:bidi="fa-IR"/>
        </w:rPr>
        <w:t>Cold/dim                                                                   Warm/dim</w:t>
      </w:r>
    </w:p>
    <w:p w14:paraId="62F21116" w14:textId="77777777" w:rsidR="00E64CA0" w:rsidRPr="006E011C" w:rsidRDefault="00E64CA0" w:rsidP="00E64CA0">
      <w:pPr>
        <w:spacing w:before="100" w:beforeAutospacing="1" w:after="100" w:afterAutospacing="1" w:line="360" w:lineRule="auto"/>
        <w:ind w:left="284"/>
        <w:jc w:val="center"/>
        <w:rPr>
          <w:rFonts w:asciiTheme="majorBidi" w:hAnsiTheme="majorBidi" w:cstheme="majorBidi"/>
          <w:color w:val="000000" w:themeColor="text1"/>
          <w:sz w:val="24"/>
          <w:szCs w:val="24"/>
          <w:lang w:bidi="fa-IR"/>
        </w:rPr>
      </w:pPr>
      <w:r w:rsidRPr="006E011C">
        <w:rPr>
          <w:rFonts w:asciiTheme="majorBidi" w:hAnsiTheme="majorBidi" w:cstheme="majorBidi"/>
          <w:noProof/>
          <w:color w:val="000000" w:themeColor="text1"/>
          <w:sz w:val="24"/>
          <w:szCs w:val="24"/>
          <w:lang w:bidi="fa-IR"/>
        </w:rPr>
        <w:drawing>
          <wp:inline distT="0" distB="0" distL="0" distR="0" wp14:anchorId="00C2C9E2" wp14:editId="4BC79AEC">
            <wp:extent cx="2338070" cy="1173480"/>
            <wp:effectExtent l="0" t="0" r="5080" b="762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8070" cy="1173480"/>
                    </a:xfrm>
                    <a:prstGeom prst="rect">
                      <a:avLst/>
                    </a:prstGeom>
                    <a:noFill/>
                    <a:ln>
                      <a:noFill/>
                    </a:ln>
                  </pic:spPr>
                </pic:pic>
              </a:graphicData>
            </a:graphic>
          </wp:inline>
        </w:drawing>
      </w:r>
      <w:r w:rsidRPr="006E011C">
        <w:rPr>
          <w:rFonts w:asciiTheme="majorBidi" w:hAnsiTheme="majorBidi" w:cstheme="majorBidi"/>
          <w:color w:val="000000" w:themeColor="text1"/>
          <w:sz w:val="24"/>
          <w:szCs w:val="24"/>
          <w:lang w:bidi="fa-IR"/>
        </w:rPr>
        <w:t xml:space="preserve">         </w:t>
      </w:r>
      <w:r w:rsidRPr="006E011C">
        <w:rPr>
          <w:rFonts w:asciiTheme="majorBidi" w:hAnsiTheme="majorBidi" w:cstheme="majorBidi"/>
          <w:noProof/>
          <w:color w:val="000000" w:themeColor="text1"/>
          <w:sz w:val="24"/>
          <w:szCs w:val="24"/>
          <w:lang w:bidi="fa-IR"/>
        </w:rPr>
        <w:drawing>
          <wp:inline distT="0" distB="0" distL="0" distR="0" wp14:anchorId="438F35F0" wp14:editId="68151433">
            <wp:extent cx="2406650" cy="1190625"/>
            <wp:effectExtent l="0" t="0" r="0" b="9525"/>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6650" cy="1190625"/>
                    </a:xfrm>
                    <a:prstGeom prst="rect">
                      <a:avLst/>
                    </a:prstGeom>
                    <a:noFill/>
                    <a:ln>
                      <a:noFill/>
                    </a:ln>
                  </pic:spPr>
                </pic:pic>
              </a:graphicData>
            </a:graphic>
          </wp:inline>
        </w:drawing>
      </w:r>
    </w:p>
    <w:p w14:paraId="7B8655AD" w14:textId="77777777" w:rsidR="00E64CA0" w:rsidRPr="006E011C" w:rsidRDefault="00E64CA0" w:rsidP="00E64CA0">
      <w:pPr>
        <w:spacing w:before="100" w:beforeAutospacing="1" w:after="100" w:afterAutospacing="1" w:line="360" w:lineRule="auto"/>
        <w:ind w:left="284"/>
        <w:jc w:val="center"/>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Figure 2: Simulation of four different options of restaurant IEQ (lighting and colour)</w:t>
      </w:r>
      <w:r w:rsidRPr="006E011C">
        <w:rPr>
          <w:rStyle w:val="FootnoteReference"/>
          <w:rFonts w:asciiTheme="majorBidi" w:hAnsiTheme="majorBidi" w:cstheme="majorBidi"/>
          <w:color w:val="000000" w:themeColor="text1"/>
          <w:sz w:val="24"/>
          <w:szCs w:val="24"/>
        </w:rPr>
        <w:footnoteReference w:id="1"/>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 Hidden="1"&gt;&lt;Author&gt;Wardono&lt;/Author&gt;&lt;Year&gt;2012&lt;/Year&gt;&lt;RecNum&gt;4028&lt;/RecNum&gt;&lt;record&gt;&lt;rec-number&gt;4028&lt;/rec-number&gt;&lt;foreign-keys&gt;&lt;key app="EN" db-id="wxpst05zptaafreftwnxf9z0wwzeppsvvads" timestamp="1779273247"&gt;4028&lt;/key&gt;&lt;/foreign-keys&gt;&lt;ref-type name="Journal Article"&gt;17&lt;/ref-type&gt;&lt;contributors&gt;&lt;authors&gt;&lt;author&gt;Wardono, Prabu&lt;/author&gt;&lt;author&gt;Hibino, Haruo&lt;/author&gt;&lt;author&gt;Koyama, Shinichi&lt;/author&gt;&lt;/authors&gt;&lt;/contributors&gt;&lt;titles&gt;&lt;title&gt;Effects of interior colors, lighting and decors on perceived sociability, emotion and behavior related to social dining&lt;/title&gt;&lt;secondary-title&gt;Procedia-Social and Behavioral Sciences&lt;/secondary-title&gt;&lt;/titles&gt;&lt;periodical&gt;&lt;full-title&gt;Procedia-Social and Behavioral Sciences&lt;/full-title&gt;&lt;/periodical&gt;&lt;pages&gt;362-372&lt;/pages&gt;&lt;volume&gt;38&lt;/volume&gt;&lt;dates&gt;&lt;year&gt;2012&lt;/year&gt;&lt;/dates&gt;&lt;isbn&gt;1877-0428&lt;/isbn&gt;&lt;urls&gt;&lt;/urls&gt;&lt;/record&gt;&lt;/Cite&gt;&lt;/EndNote&gt;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fldChar w:fldCharType="end"/>
      </w:r>
    </w:p>
    <w:p w14:paraId="6B91C222"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lang w:bidi="fa-IR"/>
        </w:rPr>
      </w:pPr>
      <w:r w:rsidRPr="006E011C">
        <w:rPr>
          <w:rFonts w:asciiTheme="majorBidi" w:hAnsiTheme="majorBidi" w:cstheme="majorBidi"/>
          <w:color w:val="000000" w:themeColor="text1"/>
          <w:sz w:val="24"/>
          <w:szCs w:val="24"/>
          <w:lang w:bidi="fa-IR"/>
        </w:rPr>
        <w:t xml:space="preserve">Regression analysis and ANOVA were employed to analyse the collected data. Prior to the main analysis, a pilot test was conducted with 30 respondents to assess the reliability of the questionnaire. The results indicated acceptable internal consistency, with Cronbach’s alpha values exceeding 0.70 across the measured constructs, confirming the adequacy of the instrument for further analysis </w:t>
      </w:r>
      <w:r w:rsidRPr="006E011C">
        <w:rPr>
          <w:rFonts w:asciiTheme="majorBidi" w:hAnsiTheme="majorBidi" w:cstheme="majorBidi"/>
          <w:color w:val="000000" w:themeColor="text1"/>
          <w:sz w:val="24"/>
          <w:szCs w:val="24"/>
          <w:lang w:bidi="fa-IR"/>
        </w:rPr>
        <w:fldChar w:fldCharType="begin"/>
      </w:r>
      <w:r w:rsidRPr="006E011C">
        <w:rPr>
          <w:rFonts w:asciiTheme="majorBidi" w:hAnsiTheme="majorBidi" w:cstheme="majorBidi"/>
          <w:color w:val="000000" w:themeColor="text1"/>
          <w:sz w:val="24"/>
          <w:szCs w:val="24"/>
          <w:lang w:bidi="fa-IR"/>
        </w:rPr>
        <w:instrText xml:space="preserve"> ADDIN EN.CITE &lt;EndNote&gt;&lt;Cite&gt;&lt;Author&gt;Saunders&lt;/Author&gt;&lt;Year&gt;2009&lt;/Year&gt;&lt;RecNum&gt;4022&lt;/RecNum&gt;&lt;DisplayText&gt;(Saunders, 2009)&lt;/DisplayText&gt;&lt;record&gt;&lt;rec-number&gt;4022&lt;/rec-number&gt;&lt;foreign-keys&gt;&lt;key app="EN" db-id="wxpst05zptaafreftwnxf9z0wwzeppsvvads" timestamp="1779271043"&gt;4022&lt;/key&gt;&lt;/foreign-keys&gt;&lt;ref-type name="Journal Article"&gt;17&lt;/ref-type&gt;&lt;contributors&gt;&lt;authors&gt;&lt;author&gt;Saunders, Mark&lt;/author&gt;&lt;/authors&gt;&lt;/contributors&gt;&lt;titles&gt;&lt;title&gt;Research methods for business students&lt;/title&gt;&lt;secondary-title&gt;Person Education Limited&lt;/secondary-title&gt;&lt;/titles&gt;&lt;periodical&gt;&lt;full-title&gt;Person Education Limited&lt;/full-title&gt;&lt;/periodical&gt;&lt;dates&gt;&lt;year&gt;2009&lt;/year&gt;&lt;/dates&gt;&lt;urls&gt;&lt;/urls&gt;&lt;/record&gt;&lt;/Cite&gt;&lt;/EndNote&gt;</w:instrText>
      </w:r>
      <w:r w:rsidRPr="006E011C">
        <w:rPr>
          <w:rFonts w:asciiTheme="majorBidi" w:hAnsiTheme="majorBidi" w:cstheme="majorBidi"/>
          <w:color w:val="000000" w:themeColor="text1"/>
          <w:sz w:val="24"/>
          <w:szCs w:val="24"/>
          <w:lang w:bidi="fa-IR"/>
        </w:rPr>
        <w:fldChar w:fldCharType="separate"/>
      </w:r>
      <w:r w:rsidRPr="006E011C">
        <w:rPr>
          <w:rFonts w:asciiTheme="majorBidi" w:hAnsiTheme="majorBidi" w:cstheme="majorBidi"/>
          <w:color w:val="000000" w:themeColor="text1"/>
          <w:sz w:val="24"/>
          <w:szCs w:val="24"/>
          <w:lang w:bidi="fa-IR"/>
        </w:rPr>
        <w:t>(Saunders, 2009)</w:t>
      </w:r>
      <w:r w:rsidRPr="006E011C">
        <w:rPr>
          <w:rFonts w:asciiTheme="majorBidi" w:hAnsiTheme="majorBidi" w:cstheme="majorBidi"/>
          <w:color w:val="000000" w:themeColor="text1"/>
          <w:sz w:val="24"/>
          <w:szCs w:val="24"/>
          <w:lang w:bidi="fa-IR"/>
        </w:rPr>
        <w:fldChar w:fldCharType="end"/>
      </w:r>
      <w:r w:rsidRPr="006E011C">
        <w:rPr>
          <w:rFonts w:asciiTheme="majorBidi" w:hAnsiTheme="majorBidi" w:cstheme="majorBidi"/>
          <w:color w:val="000000" w:themeColor="text1"/>
          <w:sz w:val="24"/>
          <w:szCs w:val="24"/>
          <w:lang w:bidi="fa-IR"/>
        </w:rPr>
        <w:t>.</w:t>
      </w:r>
    </w:p>
    <w:p w14:paraId="51D18EF5"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lang w:bidi="fa-IR"/>
        </w:rPr>
      </w:pPr>
      <w:r w:rsidRPr="006E011C">
        <w:rPr>
          <w:rFonts w:asciiTheme="majorBidi" w:hAnsiTheme="majorBidi" w:cstheme="majorBidi"/>
          <w:color w:val="000000" w:themeColor="text1"/>
          <w:sz w:val="24"/>
          <w:szCs w:val="24"/>
          <w:lang w:bidi="fa-IR"/>
        </w:rPr>
        <w:t xml:space="preserve">In the main study, participants were first exposed to the simulated restaurant images representing different lighting and colour conditions. They were then asked to complete a structured questionnaire based on these visual stimuli. The instrument consisted of two sections: the standard PAD (Pleasure–Arousal–Dominance) scale </w:t>
      </w:r>
      <w:r w:rsidRPr="006E011C">
        <w:rPr>
          <w:rFonts w:asciiTheme="majorBidi" w:hAnsiTheme="majorBidi" w:cstheme="majorBidi"/>
          <w:color w:val="000000" w:themeColor="text1"/>
          <w:sz w:val="24"/>
          <w:szCs w:val="24"/>
          <w:lang w:bidi="fa-IR"/>
        </w:rPr>
        <w:fldChar w:fldCharType="begin"/>
      </w:r>
      <w:r w:rsidRPr="006E011C">
        <w:rPr>
          <w:rFonts w:asciiTheme="majorBidi" w:hAnsiTheme="majorBidi" w:cstheme="majorBidi"/>
          <w:color w:val="000000" w:themeColor="text1"/>
          <w:sz w:val="24"/>
          <w:szCs w:val="24"/>
          <w:lang w:bidi="fa-IR"/>
        </w:rPr>
        <w:instrText xml:space="preserve"> ADDIN EN.CITE &lt;EndNote&gt;&lt;Cite&gt;&lt;Author&gt;Mehrabian&lt;/Author&gt;&lt;Year&gt;1974&lt;/Year&gt;&lt;RecNum&gt;4024&lt;/RecNum&gt;&lt;DisplayText&gt;(Mehrabian &amp;amp; Russell, 1974)&lt;/DisplayText&gt;&lt;record&gt;&lt;rec-number&gt;4024&lt;/rec-number&gt;&lt;foreign-keys&gt;&lt;key app="EN" db-id="wxpst05zptaafreftwnxf9z0wwzeppsvvads" timestamp="1779271149"&gt;4024&lt;/key&gt;&lt;/foreign-keys&gt;&lt;ref-type name="Book"&gt;6&lt;/ref-type&gt;&lt;contributors&gt;&lt;authors&gt;&lt;author&gt;Mehrabian, Albert&lt;/author&gt;&lt;author&gt;Russell, James A&lt;/author&gt;&lt;/authors&gt;&lt;/contributors&gt;&lt;titles&gt;&lt;title&gt;An approach to environmental psychology&lt;/title&gt;&lt;/titles&gt;&lt;dates&gt;&lt;year&gt;1974&lt;/year&gt;&lt;/dates&gt;&lt;publisher&gt;the MIT Press&lt;/publisher&gt;&lt;isbn&gt;0262130904&lt;/isbn&gt;&lt;urls&gt;&lt;/urls&gt;&lt;/record&gt;&lt;/Cite&gt;&lt;/EndNote&gt;</w:instrText>
      </w:r>
      <w:r w:rsidRPr="006E011C">
        <w:rPr>
          <w:rFonts w:asciiTheme="majorBidi" w:hAnsiTheme="majorBidi" w:cstheme="majorBidi"/>
          <w:color w:val="000000" w:themeColor="text1"/>
          <w:sz w:val="24"/>
          <w:szCs w:val="24"/>
          <w:lang w:bidi="fa-IR"/>
        </w:rPr>
        <w:fldChar w:fldCharType="separate"/>
      </w:r>
      <w:r w:rsidRPr="006E011C">
        <w:rPr>
          <w:rFonts w:asciiTheme="majorBidi" w:hAnsiTheme="majorBidi" w:cstheme="majorBidi"/>
          <w:color w:val="000000" w:themeColor="text1"/>
          <w:sz w:val="24"/>
          <w:szCs w:val="24"/>
          <w:lang w:bidi="fa-IR"/>
        </w:rPr>
        <w:t>(Mehrabian &amp; Russell, 1974)</w:t>
      </w:r>
      <w:r w:rsidRPr="006E011C">
        <w:rPr>
          <w:rFonts w:asciiTheme="majorBidi" w:hAnsiTheme="majorBidi" w:cstheme="majorBidi"/>
          <w:color w:val="000000" w:themeColor="text1"/>
          <w:sz w:val="24"/>
          <w:szCs w:val="24"/>
          <w:lang w:bidi="fa-IR"/>
        </w:rPr>
        <w:fldChar w:fldCharType="end"/>
      </w:r>
      <w:r w:rsidRPr="006E011C">
        <w:rPr>
          <w:rFonts w:asciiTheme="majorBidi" w:hAnsiTheme="majorBidi" w:cstheme="majorBidi"/>
          <w:color w:val="000000" w:themeColor="text1"/>
          <w:sz w:val="24"/>
          <w:szCs w:val="24"/>
          <w:lang w:bidi="fa-IR"/>
        </w:rPr>
        <w:t>, and a set of researcher-</w:t>
      </w:r>
      <w:r w:rsidRPr="006E011C">
        <w:rPr>
          <w:rFonts w:asciiTheme="majorBidi" w:hAnsiTheme="majorBidi" w:cstheme="majorBidi"/>
          <w:color w:val="000000" w:themeColor="text1"/>
          <w:sz w:val="24"/>
          <w:szCs w:val="24"/>
          <w:lang w:bidi="fa-IR"/>
        </w:rPr>
        <w:lastRenderedPageBreak/>
        <w:t>developed items measuring perceived waiting time. Following data collection, responses were analysed statistically, and reliability was assessed separately for each construct to ensure internal consistency across the different measurement scales.</w:t>
      </w:r>
    </w:p>
    <w:p w14:paraId="6F66298A" w14:textId="77777777" w:rsidR="00E64CA0" w:rsidRPr="006E011C" w:rsidRDefault="00E64CA0" w:rsidP="00E64CA0">
      <w:pPr>
        <w:pStyle w:val="Heading1"/>
        <w:rPr>
          <w:rFonts w:asciiTheme="majorBidi" w:hAnsiTheme="majorBidi"/>
          <w:b/>
          <w:bCs/>
          <w:color w:val="000000" w:themeColor="text1"/>
          <w:sz w:val="24"/>
          <w:szCs w:val="24"/>
          <w:lang w:bidi="fa-IR"/>
        </w:rPr>
      </w:pPr>
      <w:r w:rsidRPr="006E011C">
        <w:rPr>
          <w:rFonts w:asciiTheme="majorBidi" w:hAnsiTheme="majorBidi"/>
          <w:b/>
          <w:bCs/>
          <w:color w:val="000000" w:themeColor="text1"/>
          <w:sz w:val="24"/>
          <w:szCs w:val="24"/>
          <w:lang w:bidi="fa-IR"/>
        </w:rPr>
        <w:t xml:space="preserve">Results </w:t>
      </w:r>
    </w:p>
    <w:p w14:paraId="3D54797C"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lang w:bidi="fa-IR"/>
        </w:rPr>
      </w:pPr>
      <w:r w:rsidRPr="006E011C">
        <w:rPr>
          <w:rFonts w:asciiTheme="majorBidi" w:hAnsiTheme="majorBidi" w:cstheme="majorBidi"/>
          <w:color w:val="000000" w:themeColor="text1"/>
          <w:sz w:val="24"/>
          <w:szCs w:val="24"/>
          <w:lang w:bidi="fa-IR"/>
        </w:rPr>
        <w:t>Based on statistical significance, lighting and colour have a significant impact on perceived waiting time, with the strongest effect observed in the warm/bright condition; therefore, H1 is supported. According to the results presented in the following table, the mean differences between cold/dim and cold/bright, cold/bright and warm/dim, and finally warm/bright and both cold/dim and warm/dim conditions are statistically significant. The largest difference is observed between the warm/bright and warm/dim conditions (0.5783), indicating that the warm/bright condition has the strongest effect on perceived waiting time.</w:t>
      </w:r>
    </w:p>
    <w:p w14:paraId="6CC568AE"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lang w:bidi="fa-IR"/>
        </w:rPr>
      </w:pPr>
      <w:r w:rsidRPr="006E011C">
        <w:rPr>
          <w:rFonts w:asciiTheme="majorBidi" w:hAnsiTheme="majorBidi" w:cstheme="majorBidi"/>
          <w:color w:val="000000" w:themeColor="text1"/>
          <w:sz w:val="24"/>
          <w:szCs w:val="24"/>
          <w:lang w:bidi="fa-IR"/>
        </w:rPr>
        <w:t>This suggests that, in the majority of respondents, exposure to warm/bright environments reduces perceived waiting time and increases tolerance within the space. Overall, it can be argued that lighting and colour, as a combined IEQ factor in restaurant environments, significantly influence time perception. In particular, the findings of this study indicate that the warm/bright condition is associated with higher levels of perceived satisfaction and a more favourable waiting experience</w:t>
      </w:r>
      <w:r w:rsidRPr="006E011C">
        <w:rPr>
          <w:rFonts w:asciiTheme="majorBidi" w:hAnsiTheme="majorBidi" w:cstheme="majorBidi"/>
          <w:color w:val="000000" w:themeColor="text1"/>
          <w:sz w:val="24"/>
          <w:szCs w:val="24"/>
        </w:rPr>
        <w:t xml:space="preserve">. </w:t>
      </w:r>
    </w:p>
    <w:p w14:paraId="6C4DC4DC" w14:textId="77777777" w:rsidR="00E64CA0" w:rsidRPr="006E011C" w:rsidRDefault="00E64CA0" w:rsidP="003912E8">
      <w:pPr>
        <w:pStyle w:val="Heading2"/>
        <w:spacing w:before="100" w:beforeAutospacing="1" w:after="100" w:afterAutospacing="1" w:line="360" w:lineRule="auto"/>
        <w:rPr>
          <w:rFonts w:asciiTheme="majorBidi" w:hAnsiTheme="majorBidi"/>
          <w:b/>
          <w:bCs/>
          <w:i/>
          <w:iCs/>
          <w:color w:val="000000" w:themeColor="text1"/>
          <w:sz w:val="24"/>
          <w:szCs w:val="24"/>
        </w:rPr>
      </w:pPr>
      <w:r w:rsidRPr="006E011C">
        <w:rPr>
          <w:rFonts w:asciiTheme="majorBidi" w:hAnsiTheme="majorBidi"/>
          <w:b/>
          <w:bCs/>
          <w:i/>
          <w:iCs/>
          <w:color w:val="000000" w:themeColor="text1"/>
          <w:sz w:val="24"/>
          <w:szCs w:val="24"/>
        </w:rPr>
        <w:t xml:space="preserve">Waiting time </w:t>
      </w:r>
    </w:p>
    <w:p w14:paraId="7E860A41" w14:textId="77777777" w:rsidR="00E64CA0" w:rsidRPr="006E011C" w:rsidRDefault="00E64CA0" w:rsidP="00E64CA0">
      <w:pPr>
        <w:pStyle w:val="a0"/>
        <w:bidi w:val="0"/>
        <w:spacing w:line="360" w:lineRule="auto"/>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As presented in table 1, among the six examined customer characteristics, age and type of restaurant showed a significant influence on perceived waiting time. Younger respondents (18–25 years) showed a stronger preference for the warm/bright condition compared to other age groups. As age increased (25–35, 35–45, and above 45), preference for the warm/bright condition gradually decreased, while preference for the cold/bright condition showed a slight increase. Although these differences were more noticeable in the oldest group (above 45), they were not statistically strong, and overall the warm/bright condition remained the most preferred across all age categories.</w:t>
      </w:r>
    </w:p>
    <w:p w14:paraId="774453D3" w14:textId="77777777" w:rsidR="00E64CA0" w:rsidRPr="006E011C" w:rsidRDefault="00E64CA0" w:rsidP="00E64CA0">
      <w:pPr>
        <w:pStyle w:val="a0"/>
        <w:bidi w:val="0"/>
        <w:spacing w:line="360" w:lineRule="auto"/>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This pattern may be explained by a greater tendency among older participants to prefer cooler colour environments, which are often associated with relaxation and reduced anxiety. In contrast, </w:t>
      </w:r>
      <w:r w:rsidRPr="006E011C">
        <w:rPr>
          <w:rFonts w:asciiTheme="majorBidi" w:hAnsiTheme="majorBidi" w:cstheme="majorBidi"/>
          <w:color w:val="000000" w:themeColor="text1"/>
          <w:sz w:val="24"/>
          <w:szCs w:val="24"/>
        </w:rPr>
        <w:lastRenderedPageBreak/>
        <w:t>consistent with earlier findings, warm/bright environments appear to enhance users’ adaptive comfort and reduce perceived waiting time, thereby contributing to higher overall satisfaction.</w:t>
      </w:r>
    </w:p>
    <w:p w14:paraId="1350BB5E" w14:textId="77777777" w:rsidR="00E64CA0" w:rsidRPr="006E011C" w:rsidRDefault="00E64CA0" w:rsidP="00E64CA0">
      <w:pPr>
        <w:pStyle w:val="a0"/>
        <w:bidi w:val="0"/>
        <w:spacing w:line="360" w:lineRule="auto"/>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Regarding restaurant type, respondents generally preferred the warm/bright condition across all categories. However, this preference was strongest in fast-food restaurants, which may be partly explained by the relatively younger demographic profile of the sample.</w:t>
      </w:r>
    </w:p>
    <w:p w14:paraId="1B30C66A" w14:textId="77777777" w:rsidR="00E64CA0" w:rsidRPr="006E011C" w:rsidRDefault="00E64CA0" w:rsidP="00E64CA0">
      <w:pPr>
        <w:pStyle w:val="a0"/>
        <w:bidi w:val="0"/>
        <w:spacing w:line="360" w:lineRule="auto"/>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Table1: Perceived waiting time (authors)</w:t>
      </w:r>
    </w:p>
    <w:tbl>
      <w:tblPr>
        <w:tblStyle w:val="PlainTable1"/>
        <w:tblW w:w="9355" w:type="dxa"/>
        <w:tblLayout w:type="fixed"/>
        <w:tblLook w:val="0000" w:firstRow="0" w:lastRow="0" w:firstColumn="0" w:lastColumn="0" w:noHBand="0" w:noVBand="0"/>
      </w:tblPr>
      <w:tblGrid>
        <w:gridCol w:w="1555"/>
        <w:gridCol w:w="1616"/>
        <w:gridCol w:w="1486"/>
        <w:gridCol w:w="1067"/>
        <w:gridCol w:w="1021"/>
        <w:gridCol w:w="1408"/>
        <w:gridCol w:w="1202"/>
      </w:tblGrid>
      <w:tr w:rsidR="00E64CA0" w:rsidRPr="006E011C" w14:paraId="495FBE61"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5" w:type="dxa"/>
            <w:gridSpan w:val="7"/>
          </w:tcPr>
          <w:p w14:paraId="39388C00"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b/>
                <w:bCs/>
                <w:color w:val="000000" w:themeColor="text1"/>
                <w:sz w:val="18"/>
                <w:szCs w:val="18"/>
              </w:rPr>
            </w:pPr>
            <w:r w:rsidRPr="006E011C">
              <w:rPr>
                <w:rFonts w:asciiTheme="majorBidi" w:hAnsiTheme="majorBidi" w:cstheme="majorBidi"/>
                <w:b/>
                <w:bCs/>
                <w:color w:val="000000" w:themeColor="text1"/>
                <w:sz w:val="18"/>
                <w:szCs w:val="18"/>
              </w:rPr>
              <w:t>Dependent Variable: Waiting Time</w:t>
            </w:r>
          </w:p>
        </w:tc>
      </w:tr>
      <w:tr w:rsidR="00E64CA0" w:rsidRPr="006E011C" w14:paraId="12901D94" w14:textId="77777777" w:rsidTr="00F42E70">
        <w:tc>
          <w:tcPr>
            <w:cnfStyle w:val="000010000000" w:firstRow="0" w:lastRow="0" w:firstColumn="0" w:lastColumn="0" w:oddVBand="1" w:evenVBand="0" w:oddHBand="0" w:evenHBand="0" w:firstRowFirstColumn="0" w:firstRowLastColumn="0" w:lastRowFirstColumn="0" w:lastRowLastColumn="0"/>
            <w:tcW w:w="1555" w:type="dxa"/>
            <w:vMerge w:val="restart"/>
          </w:tcPr>
          <w:p w14:paraId="79177C0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Colour/Light</w:t>
            </w:r>
          </w:p>
        </w:tc>
        <w:tc>
          <w:tcPr>
            <w:tcW w:w="1616" w:type="dxa"/>
            <w:vMerge w:val="restart"/>
          </w:tcPr>
          <w:p w14:paraId="14FE3539"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(J) Colour/Light</w:t>
            </w:r>
          </w:p>
        </w:tc>
        <w:tc>
          <w:tcPr>
            <w:cnfStyle w:val="000010000000" w:firstRow="0" w:lastRow="0" w:firstColumn="0" w:lastColumn="0" w:oddVBand="1" w:evenVBand="0" w:oddHBand="0" w:evenHBand="0" w:firstRowFirstColumn="0" w:firstRowLastColumn="0" w:lastRowFirstColumn="0" w:lastRowLastColumn="0"/>
            <w:tcW w:w="1486" w:type="dxa"/>
            <w:vMerge w:val="restart"/>
          </w:tcPr>
          <w:p w14:paraId="774C77F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Mean Difference (I-J)</w:t>
            </w:r>
          </w:p>
        </w:tc>
        <w:tc>
          <w:tcPr>
            <w:tcW w:w="1067" w:type="dxa"/>
            <w:vMerge w:val="restart"/>
          </w:tcPr>
          <w:p w14:paraId="4BA40C29"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Std. Error</w:t>
            </w:r>
          </w:p>
        </w:tc>
        <w:tc>
          <w:tcPr>
            <w:cnfStyle w:val="000010000000" w:firstRow="0" w:lastRow="0" w:firstColumn="0" w:lastColumn="0" w:oddVBand="1" w:evenVBand="0" w:oddHBand="0" w:evenHBand="0" w:firstRowFirstColumn="0" w:firstRowLastColumn="0" w:lastRowFirstColumn="0" w:lastRowLastColumn="0"/>
            <w:tcW w:w="1021" w:type="dxa"/>
            <w:vMerge w:val="restart"/>
          </w:tcPr>
          <w:p w14:paraId="6F73666B"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Sig.</w:t>
            </w:r>
          </w:p>
        </w:tc>
        <w:tc>
          <w:tcPr>
            <w:tcW w:w="2610" w:type="dxa"/>
            <w:gridSpan w:val="2"/>
          </w:tcPr>
          <w:p w14:paraId="392D1BCB"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95% Confidence Interval</w:t>
            </w:r>
          </w:p>
        </w:tc>
      </w:tr>
      <w:tr w:rsidR="00E64CA0" w:rsidRPr="006E011C" w14:paraId="69B7FE7F"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5" w:type="dxa"/>
            <w:vMerge/>
          </w:tcPr>
          <w:p w14:paraId="3DCB80A5"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616" w:type="dxa"/>
            <w:vMerge/>
          </w:tcPr>
          <w:p w14:paraId="43131787" w14:textId="77777777" w:rsidR="00E64CA0" w:rsidRPr="006E011C" w:rsidRDefault="00E64CA0" w:rsidP="00F42E70">
            <w:pPr>
              <w:autoSpaceDE w:val="0"/>
              <w:autoSpaceDN w:val="0"/>
              <w:adjustRightInd w:val="0"/>
              <w:spacing w:before="100" w:beforeAutospacing="1" w:after="100" w:afterAutospacing="1" w:line="360" w:lineRule="auto"/>
              <w:ind w:left="284"/>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486" w:type="dxa"/>
            <w:vMerge/>
          </w:tcPr>
          <w:p w14:paraId="4E7A6ADC"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067" w:type="dxa"/>
            <w:vMerge/>
          </w:tcPr>
          <w:p w14:paraId="49626B70" w14:textId="77777777" w:rsidR="00E64CA0" w:rsidRPr="006E011C" w:rsidRDefault="00E64CA0" w:rsidP="00F42E70">
            <w:pPr>
              <w:autoSpaceDE w:val="0"/>
              <w:autoSpaceDN w:val="0"/>
              <w:adjustRightInd w:val="0"/>
              <w:spacing w:before="100" w:beforeAutospacing="1" w:after="100" w:afterAutospacing="1" w:line="360" w:lineRule="auto"/>
              <w:ind w:left="284"/>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021" w:type="dxa"/>
            <w:vMerge/>
          </w:tcPr>
          <w:p w14:paraId="5FC088A5"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408" w:type="dxa"/>
          </w:tcPr>
          <w:p w14:paraId="7846FD6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Lower Bound</w:t>
            </w:r>
          </w:p>
        </w:tc>
        <w:tc>
          <w:tcPr>
            <w:cnfStyle w:val="000010000000" w:firstRow="0" w:lastRow="0" w:firstColumn="0" w:lastColumn="0" w:oddVBand="1" w:evenVBand="0" w:oddHBand="0" w:evenHBand="0" w:firstRowFirstColumn="0" w:firstRowLastColumn="0" w:lastRowFirstColumn="0" w:lastRowLastColumn="0"/>
            <w:tcW w:w="1202" w:type="dxa"/>
          </w:tcPr>
          <w:p w14:paraId="5675367B"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Upper Bound</w:t>
            </w:r>
          </w:p>
        </w:tc>
      </w:tr>
      <w:tr w:rsidR="00E64CA0" w:rsidRPr="006E011C" w14:paraId="6B3B1DF2" w14:textId="77777777" w:rsidTr="00F42E70">
        <w:tc>
          <w:tcPr>
            <w:cnfStyle w:val="000010000000" w:firstRow="0" w:lastRow="0" w:firstColumn="0" w:lastColumn="0" w:oddVBand="1" w:evenVBand="0" w:oddHBand="0" w:evenHBand="0" w:firstRowFirstColumn="0" w:firstRowLastColumn="0" w:lastRowFirstColumn="0" w:lastRowLastColumn="0"/>
            <w:tcW w:w="1555" w:type="dxa"/>
            <w:vMerge w:val="restart"/>
          </w:tcPr>
          <w:p w14:paraId="52AB4AF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WARM/DIM</w:t>
            </w:r>
          </w:p>
        </w:tc>
        <w:tc>
          <w:tcPr>
            <w:tcW w:w="1616" w:type="dxa"/>
          </w:tcPr>
          <w:p w14:paraId="1067D71A"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COLD/DIM</w:t>
            </w:r>
          </w:p>
        </w:tc>
        <w:tc>
          <w:tcPr>
            <w:cnfStyle w:val="000010000000" w:firstRow="0" w:lastRow="0" w:firstColumn="0" w:lastColumn="0" w:oddVBand="1" w:evenVBand="0" w:oddHBand="0" w:evenHBand="0" w:firstRowFirstColumn="0" w:firstRowLastColumn="0" w:lastRowFirstColumn="0" w:lastRowLastColumn="0"/>
            <w:tcW w:w="1486" w:type="dxa"/>
          </w:tcPr>
          <w:p w14:paraId="7AB3AD19"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-.0910</w:t>
            </w:r>
          </w:p>
        </w:tc>
        <w:tc>
          <w:tcPr>
            <w:tcW w:w="1067" w:type="dxa"/>
          </w:tcPr>
          <w:p w14:paraId="5A04A22C"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.19028</w:t>
            </w:r>
          </w:p>
        </w:tc>
        <w:tc>
          <w:tcPr>
            <w:cnfStyle w:val="000010000000" w:firstRow="0" w:lastRow="0" w:firstColumn="0" w:lastColumn="0" w:oddVBand="1" w:evenVBand="0" w:oddHBand="0" w:evenHBand="0" w:firstRowFirstColumn="0" w:firstRowLastColumn="0" w:lastRowFirstColumn="0" w:lastRowLastColumn="0"/>
            <w:tcW w:w="1021" w:type="dxa"/>
          </w:tcPr>
          <w:p w14:paraId="7ECE6931"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.633</w:t>
            </w:r>
          </w:p>
        </w:tc>
        <w:tc>
          <w:tcPr>
            <w:tcW w:w="1408" w:type="dxa"/>
          </w:tcPr>
          <w:p w14:paraId="4FA67CA1"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-.4650</w:t>
            </w:r>
          </w:p>
        </w:tc>
        <w:tc>
          <w:tcPr>
            <w:cnfStyle w:val="000010000000" w:firstRow="0" w:lastRow="0" w:firstColumn="0" w:lastColumn="0" w:oddVBand="1" w:evenVBand="0" w:oddHBand="0" w:evenHBand="0" w:firstRowFirstColumn="0" w:firstRowLastColumn="0" w:lastRowFirstColumn="0" w:lastRowLastColumn="0"/>
            <w:tcW w:w="1202" w:type="dxa"/>
          </w:tcPr>
          <w:p w14:paraId="410801D5"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.2830</w:t>
            </w:r>
          </w:p>
        </w:tc>
      </w:tr>
      <w:tr w:rsidR="00E64CA0" w:rsidRPr="006E011C" w14:paraId="7EFAFF30"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5" w:type="dxa"/>
            <w:vMerge/>
          </w:tcPr>
          <w:p w14:paraId="55F8B763"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616" w:type="dxa"/>
          </w:tcPr>
          <w:p w14:paraId="41A02F2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COLD/BRIGHT</w:t>
            </w:r>
          </w:p>
        </w:tc>
        <w:tc>
          <w:tcPr>
            <w:cnfStyle w:val="000010000000" w:firstRow="0" w:lastRow="0" w:firstColumn="0" w:lastColumn="0" w:oddVBand="1" w:evenVBand="0" w:oddHBand="0" w:evenHBand="0" w:firstRowFirstColumn="0" w:firstRowLastColumn="0" w:lastRowFirstColumn="0" w:lastRowLastColumn="0"/>
            <w:tcW w:w="1486" w:type="dxa"/>
          </w:tcPr>
          <w:p w14:paraId="393DAB0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-.4419</w:t>
            </w:r>
            <w:r w:rsidRPr="006E011C">
              <w:rPr>
                <w:rFonts w:asciiTheme="majorBidi" w:hAnsiTheme="majorBidi" w:cstheme="majorBidi"/>
                <w:color w:val="000000" w:themeColor="text1"/>
                <w:sz w:val="18"/>
                <w:szCs w:val="18"/>
                <w:vertAlign w:val="superscript"/>
              </w:rPr>
              <w:t>*</w:t>
            </w:r>
          </w:p>
        </w:tc>
        <w:tc>
          <w:tcPr>
            <w:tcW w:w="1067" w:type="dxa"/>
          </w:tcPr>
          <w:p w14:paraId="0DD63C4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.18594</w:t>
            </w:r>
          </w:p>
        </w:tc>
        <w:tc>
          <w:tcPr>
            <w:cnfStyle w:val="000010000000" w:firstRow="0" w:lastRow="0" w:firstColumn="0" w:lastColumn="0" w:oddVBand="1" w:evenVBand="0" w:oddHBand="0" w:evenHBand="0" w:firstRowFirstColumn="0" w:firstRowLastColumn="0" w:lastRowFirstColumn="0" w:lastRowLastColumn="0"/>
            <w:tcW w:w="1021" w:type="dxa"/>
          </w:tcPr>
          <w:p w14:paraId="6ED32D6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.018</w:t>
            </w:r>
          </w:p>
        </w:tc>
        <w:tc>
          <w:tcPr>
            <w:tcW w:w="1408" w:type="dxa"/>
          </w:tcPr>
          <w:p w14:paraId="3680EE4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-.8074</w:t>
            </w:r>
          </w:p>
        </w:tc>
        <w:tc>
          <w:tcPr>
            <w:cnfStyle w:val="000010000000" w:firstRow="0" w:lastRow="0" w:firstColumn="0" w:lastColumn="0" w:oddVBand="1" w:evenVBand="0" w:oddHBand="0" w:evenHBand="0" w:firstRowFirstColumn="0" w:firstRowLastColumn="0" w:lastRowFirstColumn="0" w:lastRowLastColumn="0"/>
            <w:tcW w:w="1202" w:type="dxa"/>
          </w:tcPr>
          <w:p w14:paraId="0B42065E"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-.0765</w:t>
            </w:r>
          </w:p>
        </w:tc>
      </w:tr>
      <w:tr w:rsidR="00E64CA0" w:rsidRPr="006E011C" w14:paraId="61912CB0" w14:textId="77777777" w:rsidTr="00F42E70">
        <w:tc>
          <w:tcPr>
            <w:cnfStyle w:val="000010000000" w:firstRow="0" w:lastRow="0" w:firstColumn="0" w:lastColumn="0" w:oddVBand="1" w:evenVBand="0" w:oddHBand="0" w:evenHBand="0" w:firstRowFirstColumn="0" w:firstRowLastColumn="0" w:lastRowFirstColumn="0" w:lastRowLastColumn="0"/>
            <w:tcW w:w="1555" w:type="dxa"/>
            <w:vMerge/>
          </w:tcPr>
          <w:p w14:paraId="7E1CD9BB"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616" w:type="dxa"/>
          </w:tcPr>
          <w:p w14:paraId="33D9E08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WARM/BRIGHT</w:t>
            </w:r>
          </w:p>
        </w:tc>
        <w:tc>
          <w:tcPr>
            <w:cnfStyle w:val="000010000000" w:firstRow="0" w:lastRow="0" w:firstColumn="0" w:lastColumn="0" w:oddVBand="1" w:evenVBand="0" w:oddHBand="0" w:evenHBand="0" w:firstRowFirstColumn="0" w:firstRowLastColumn="0" w:lastRowFirstColumn="0" w:lastRowLastColumn="0"/>
            <w:tcW w:w="1486" w:type="dxa"/>
          </w:tcPr>
          <w:p w14:paraId="4887962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-.5793</w:t>
            </w:r>
            <w:r w:rsidRPr="006E011C">
              <w:rPr>
                <w:rFonts w:asciiTheme="majorBidi" w:hAnsiTheme="majorBidi" w:cstheme="majorBidi"/>
                <w:color w:val="000000" w:themeColor="text1"/>
                <w:sz w:val="18"/>
                <w:szCs w:val="18"/>
                <w:vertAlign w:val="superscript"/>
              </w:rPr>
              <w:t>*</w:t>
            </w:r>
          </w:p>
        </w:tc>
        <w:tc>
          <w:tcPr>
            <w:tcW w:w="1067" w:type="dxa"/>
          </w:tcPr>
          <w:p w14:paraId="14981A5B"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.18717</w:t>
            </w:r>
          </w:p>
        </w:tc>
        <w:tc>
          <w:tcPr>
            <w:cnfStyle w:val="000010000000" w:firstRow="0" w:lastRow="0" w:firstColumn="0" w:lastColumn="0" w:oddVBand="1" w:evenVBand="0" w:oddHBand="0" w:evenHBand="0" w:firstRowFirstColumn="0" w:firstRowLastColumn="0" w:lastRowFirstColumn="0" w:lastRowLastColumn="0"/>
            <w:tcW w:w="1021" w:type="dxa"/>
          </w:tcPr>
          <w:p w14:paraId="2A37D3C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.002</w:t>
            </w:r>
          </w:p>
        </w:tc>
        <w:tc>
          <w:tcPr>
            <w:tcW w:w="1408" w:type="dxa"/>
          </w:tcPr>
          <w:p w14:paraId="3AC42E0B"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-.9471</w:t>
            </w:r>
          </w:p>
        </w:tc>
        <w:tc>
          <w:tcPr>
            <w:cnfStyle w:val="000010000000" w:firstRow="0" w:lastRow="0" w:firstColumn="0" w:lastColumn="0" w:oddVBand="1" w:evenVBand="0" w:oddHBand="0" w:evenHBand="0" w:firstRowFirstColumn="0" w:firstRowLastColumn="0" w:lastRowFirstColumn="0" w:lastRowLastColumn="0"/>
            <w:tcW w:w="1202" w:type="dxa"/>
          </w:tcPr>
          <w:p w14:paraId="1327310B"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-.2114</w:t>
            </w:r>
          </w:p>
        </w:tc>
      </w:tr>
      <w:tr w:rsidR="00E64CA0" w:rsidRPr="006E011C" w14:paraId="369A671D"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5" w:type="dxa"/>
            <w:vMerge w:val="restart"/>
          </w:tcPr>
          <w:p w14:paraId="196C56E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COLD/DIM</w:t>
            </w:r>
          </w:p>
        </w:tc>
        <w:tc>
          <w:tcPr>
            <w:tcW w:w="1616" w:type="dxa"/>
          </w:tcPr>
          <w:p w14:paraId="6C4E6BC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WARM/DIM</w:t>
            </w:r>
          </w:p>
        </w:tc>
        <w:tc>
          <w:tcPr>
            <w:cnfStyle w:val="000010000000" w:firstRow="0" w:lastRow="0" w:firstColumn="0" w:lastColumn="0" w:oddVBand="1" w:evenVBand="0" w:oddHBand="0" w:evenHBand="0" w:firstRowFirstColumn="0" w:firstRowLastColumn="0" w:lastRowFirstColumn="0" w:lastRowLastColumn="0"/>
            <w:tcW w:w="1486" w:type="dxa"/>
          </w:tcPr>
          <w:p w14:paraId="178A84CC"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.0910</w:t>
            </w:r>
          </w:p>
        </w:tc>
        <w:tc>
          <w:tcPr>
            <w:tcW w:w="1067" w:type="dxa"/>
          </w:tcPr>
          <w:p w14:paraId="38153A2F"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.19028</w:t>
            </w:r>
          </w:p>
        </w:tc>
        <w:tc>
          <w:tcPr>
            <w:cnfStyle w:val="000010000000" w:firstRow="0" w:lastRow="0" w:firstColumn="0" w:lastColumn="0" w:oddVBand="1" w:evenVBand="0" w:oddHBand="0" w:evenHBand="0" w:firstRowFirstColumn="0" w:firstRowLastColumn="0" w:lastRowFirstColumn="0" w:lastRowLastColumn="0"/>
            <w:tcW w:w="1021" w:type="dxa"/>
          </w:tcPr>
          <w:p w14:paraId="2166002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.633</w:t>
            </w:r>
          </w:p>
        </w:tc>
        <w:tc>
          <w:tcPr>
            <w:tcW w:w="1408" w:type="dxa"/>
          </w:tcPr>
          <w:p w14:paraId="611FD0C5"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-.2830</w:t>
            </w:r>
          </w:p>
        </w:tc>
        <w:tc>
          <w:tcPr>
            <w:cnfStyle w:val="000010000000" w:firstRow="0" w:lastRow="0" w:firstColumn="0" w:lastColumn="0" w:oddVBand="1" w:evenVBand="0" w:oddHBand="0" w:evenHBand="0" w:firstRowFirstColumn="0" w:firstRowLastColumn="0" w:lastRowFirstColumn="0" w:lastRowLastColumn="0"/>
            <w:tcW w:w="1202" w:type="dxa"/>
          </w:tcPr>
          <w:p w14:paraId="1C990D2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.4650</w:t>
            </w:r>
          </w:p>
        </w:tc>
      </w:tr>
      <w:tr w:rsidR="00E64CA0" w:rsidRPr="006E011C" w14:paraId="0E451333" w14:textId="77777777" w:rsidTr="00F42E70">
        <w:tc>
          <w:tcPr>
            <w:cnfStyle w:val="000010000000" w:firstRow="0" w:lastRow="0" w:firstColumn="0" w:lastColumn="0" w:oddVBand="1" w:evenVBand="0" w:oddHBand="0" w:evenHBand="0" w:firstRowFirstColumn="0" w:firstRowLastColumn="0" w:lastRowFirstColumn="0" w:lastRowLastColumn="0"/>
            <w:tcW w:w="1555" w:type="dxa"/>
            <w:vMerge/>
          </w:tcPr>
          <w:p w14:paraId="5C72841F"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616" w:type="dxa"/>
          </w:tcPr>
          <w:p w14:paraId="3043892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COLD/BRIGHT</w:t>
            </w:r>
          </w:p>
        </w:tc>
        <w:tc>
          <w:tcPr>
            <w:cnfStyle w:val="000010000000" w:firstRow="0" w:lastRow="0" w:firstColumn="0" w:lastColumn="0" w:oddVBand="1" w:evenVBand="0" w:oddHBand="0" w:evenHBand="0" w:firstRowFirstColumn="0" w:firstRowLastColumn="0" w:lastRowFirstColumn="0" w:lastRowLastColumn="0"/>
            <w:tcW w:w="1486" w:type="dxa"/>
          </w:tcPr>
          <w:p w14:paraId="29F09819"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-.3509</w:t>
            </w:r>
          </w:p>
        </w:tc>
        <w:tc>
          <w:tcPr>
            <w:tcW w:w="1067" w:type="dxa"/>
          </w:tcPr>
          <w:p w14:paraId="0E07BA25"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.18778</w:t>
            </w:r>
          </w:p>
        </w:tc>
        <w:tc>
          <w:tcPr>
            <w:cnfStyle w:val="000010000000" w:firstRow="0" w:lastRow="0" w:firstColumn="0" w:lastColumn="0" w:oddVBand="1" w:evenVBand="0" w:oddHBand="0" w:evenHBand="0" w:firstRowFirstColumn="0" w:firstRowLastColumn="0" w:lastRowFirstColumn="0" w:lastRowLastColumn="0"/>
            <w:tcW w:w="1021" w:type="dxa"/>
          </w:tcPr>
          <w:p w14:paraId="597CE6B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.062</w:t>
            </w:r>
          </w:p>
        </w:tc>
        <w:tc>
          <w:tcPr>
            <w:tcW w:w="1408" w:type="dxa"/>
          </w:tcPr>
          <w:p w14:paraId="27AC1369"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-.7200</w:t>
            </w:r>
          </w:p>
        </w:tc>
        <w:tc>
          <w:tcPr>
            <w:cnfStyle w:val="000010000000" w:firstRow="0" w:lastRow="0" w:firstColumn="0" w:lastColumn="0" w:oddVBand="1" w:evenVBand="0" w:oddHBand="0" w:evenHBand="0" w:firstRowFirstColumn="0" w:firstRowLastColumn="0" w:lastRowFirstColumn="0" w:lastRowLastColumn="0"/>
            <w:tcW w:w="1202" w:type="dxa"/>
          </w:tcPr>
          <w:p w14:paraId="0F71729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.0182</w:t>
            </w:r>
          </w:p>
        </w:tc>
      </w:tr>
      <w:tr w:rsidR="00E64CA0" w:rsidRPr="006E011C" w14:paraId="5A39F5A4"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5" w:type="dxa"/>
            <w:vMerge/>
          </w:tcPr>
          <w:p w14:paraId="0AFE3BEF"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616" w:type="dxa"/>
          </w:tcPr>
          <w:p w14:paraId="564E005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WARM/BRIGHT</w:t>
            </w:r>
          </w:p>
        </w:tc>
        <w:tc>
          <w:tcPr>
            <w:cnfStyle w:val="000010000000" w:firstRow="0" w:lastRow="0" w:firstColumn="0" w:lastColumn="0" w:oddVBand="1" w:evenVBand="0" w:oddHBand="0" w:evenHBand="0" w:firstRowFirstColumn="0" w:firstRowLastColumn="0" w:lastRowFirstColumn="0" w:lastRowLastColumn="0"/>
            <w:tcW w:w="1486" w:type="dxa"/>
          </w:tcPr>
          <w:p w14:paraId="096FCC25"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-.4883</w:t>
            </w:r>
            <w:r w:rsidRPr="006E011C">
              <w:rPr>
                <w:rFonts w:asciiTheme="majorBidi" w:hAnsiTheme="majorBidi" w:cstheme="majorBidi"/>
                <w:color w:val="000000" w:themeColor="text1"/>
                <w:sz w:val="18"/>
                <w:szCs w:val="18"/>
                <w:vertAlign w:val="superscript"/>
              </w:rPr>
              <w:t>*</w:t>
            </w:r>
          </w:p>
        </w:tc>
        <w:tc>
          <w:tcPr>
            <w:tcW w:w="1067" w:type="dxa"/>
          </w:tcPr>
          <w:p w14:paraId="20F7664F"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.18900</w:t>
            </w:r>
          </w:p>
        </w:tc>
        <w:tc>
          <w:tcPr>
            <w:cnfStyle w:val="000010000000" w:firstRow="0" w:lastRow="0" w:firstColumn="0" w:lastColumn="0" w:oddVBand="1" w:evenVBand="0" w:oddHBand="0" w:evenHBand="0" w:firstRowFirstColumn="0" w:firstRowLastColumn="0" w:lastRowFirstColumn="0" w:lastRowLastColumn="0"/>
            <w:tcW w:w="1021" w:type="dxa"/>
          </w:tcPr>
          <w:p w14:paraId="4E1CA763"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.010</w:t>
            </w:r>
          </w:p>
        </w:tc>
        <w:tc>
          <w:tcPr>
            <w:tcW w:w="1408" w:type="dxa"/>
          </w:tcPr>
          <w:p w14:paraId="3C4E4DC4"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-.8597</w:t>
            </w:r>
          </w:p>
        </w:tc>
        <w:tc>
          <w:tcPr>
            <w:cnfStyle w:val="000010000000" w:firstRow="0" w:lastRow="0" w:firstColumn="0" w:lastColumn="0" w:oddVBand="1" w:evenVBand="0" w:oddHBand="0" w:evenHBand="0" w:firstRowFirstColumn="0" w:firstRowLastColumn="0" w:lastRowFirstColumn="0" w:lastRowLastColumn="0"/>
            <w:tcW w:w="1202" w:type="dxa"/>
          </w:tcPr>
          <w:p w14:paraId="230A3903"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-.1168</w:t>
            </w:r>
          </w:p>
        </w:tc>
      </w:tr>
      <w:tr w:rsidR="00E64CA0" w:rsidRPr="006E011C" w14:paraId="4F68AE89" w14:textId="77777777" w:rsidTr="00F42E70">
        <w:tc>
          <w:tcPr>
            <w:cnfStyle w:val="000010000000" w:firstRow="0" w:lastRow="0" w:firstColumn="0" w:lastColumn="0" w:oddVBand="1" w:evenVBand="0" w:oddHBand="0" w:evenHBand="0" w:firstRowFirstColumn="0" w:firstRowLastColumn="0" w:lastRowFirstColumn="0" w:lastRowLastColumn="0"/>
            <w:tcW w:w="1555" w:type="dxa"/>
            <w:vMerge w:val="restart"/>
          </w:tcPr>
          <w:p w14:paraId="7C916E5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COLD/BRIGHT</w:t>
            </w:r>
          </w:p>
        </w:tc>
        <w:tc>
          <w:tcPr>
            <w:tcW w:w="1616" w:type="dxa"/>
          </w:tcPr>
          <w:p w14:paraId="7242F0AB"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WARM/DIM</w:t>
            </w:r>
          </w:p>
        </w:tc>
        <w:tc>
          <w:tcPr>
            <w:cnfStyle w:val="000010000000" w:firstRow="0" w:lastRow="0" w:firstColumn="0" w:lastColumn="0" w:oddVBand="1" w:evenVBand="0" w:oddHBand="0" w:evenHBand="0" w:firstRowFirstColumn="0" w:firstRowLastColumn="0" w:lastRowFirstColumn="0" w:lastRowLastColumn="0"/>
            <w:tcW w:w="1486" w:type="dxa"/>
          </w:tcPr>
          <w:p w14:paraId="0D17D413"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.4419</w:t>
            </w:r>
            <w:r w:rsidRPr="006E011C">
              <w:rPr>
                <w:rFonts w:asciiTheme="majorBidi" w:hAnsiTheme="majorBidi" w:cstheme="majorBidi"/>
                <w:color w:val="000000" w:themeColor="text1"/>
                <w:sz w:val="18"/>
                <w:szCs w:val="18"/>
                <w:vertAlign w:val="superscript"/>
              </w:rPr>
              <w:t>*</w:t>
            </w:r>
          </w:p>
        </w:tc>
        <w:tc>
          <w:tcPr>
            <w:tcW w:w="1067" w:type="dxa"/>
          </w:tcPr>
          <w:p w14:paraId="662F8B6E"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.18594</w:t>
            </w:r>
          </w:p>
        </w:tc>
        <w:tc>
          <w:tcPr>
            <w:cnfStyle w:val="000010000000" w:firstRow="0" w:lastRow="0" w:firstColumn="0" w:lastColumn="0" w:oddVBand="1" w:evenVBand="0" w:oddHBand="0" w:evenHBand="0" w:firstRowFirstColumn="0" w:firstRowLastColumn="0" w:lastRowFirstColumn="0" w:lastRowLastColumn="0"/>
            <w:tcW w:w="1021" w:type="dxa"/>
          </w:tcPr>
          <w:p w14:paraId="4904F37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.018</w:t>
            </w:r>
          </w:p>
        </w:tc>
        <w:tc>
          <w:tcPr>
            <w:tcW w:w="1408" w:type="dxa"/>
          </w:tcPr>
          <w:p w14:paraId="5DFC3940"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.0765</w:t>
            </w:r>
          </w:p>
        </w:tc>
        <w:tc>
          <w:tcPr>
            <w:cnfStyle w:val="000010000000" w:firstRow="0" w:lastRow="0" w:firstColumn="0" w:lastColumn="0" w:oddVBand="1" w:evenVBand="0" w:oddHBand="0" w:evenHBand="0" w:firstRowFirstColumn="0" w:firstRowLastColumn="0" w:lastRowFirstColumn="0" w:lastRowLastColumn="0"/>
            <w:tcW w:w="1202" w:type="dxa"/>
          </w:tcPr>
          <w:p w14:paraId="302D281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.8074</w:t>
            </w:r>
          </w:p>
        </w:tc>
      </w:tr>
      <w:tr w:rsidR="00E64CA0" w:rsidRPr="006E011C" w14:paraId="54DFD38A"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5" w:type="dxa"/>
            <w:vMerge/>
          </w:tcPr>
          <w:p w14:paraId="7DFC9AFA"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616" w:type="dxa"/>
          </w:tcPr>
          <w:p w14:paraId="5ED2678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COLD/DIM</w:t>
            </w:r>
          </w:p>
        </w:tc>
        <w:tc>
          <w:tcPr>
            <w:cnfStyle w:val="000010000000" w:firstRow="0" w:lastRow="0" w:firstColumn="0" w:lastColumn="0" w:oddVBand="1" w:evenVBand="0" w:oddHBand="0" w:evenHBand="0" w:firstRowFirstColumn="0" w:firstRowLastColumn="0" w:lastRowFirstColumn="0" w:lastRowLastColumn="0"/>
            <w:tcW w:w="1486" w:type="dxa"/>
          </w:tcPr>
          <w:p w14:paraId="48DA5F83"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.3509</w:t>
            </w:r>
          </w:p>
        </w:tc>
        <w:tc>
          <w:tcPr>
            <w:tcW w:w="1067" w:type="dxa"/>
          </w:tcPr>
          <w:p w14:paraId="7C8F0AA4"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.18778</w:t>
            </w:r>
          </w:p>
        </w:tc>
        <w:tc>
          <w:tcPr>
            <w:cnfStyle w:val="000010000000" w:firstRow="0" w:lastRow="0" w:firstColumn="0" w:lastColumn="0" w:oddVBand="1" w:evenVBand="0" w:oddHBand="0" w:evenHBand="0" w:firstRowFirstColumn="0" w:firstRowLastColumn="0" w:lastRowFirstColumn="0" w:lastRowLastColumn="0"/>
            <w:tcW w:w="1021" w:type="dxa"/>
          </w:tcPr>
          <w:p w14:paraId="16981E8E"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.062</w:t>
            </w:r>
          </w:p>
        </w:tc>
        <w:tc>
          <w:tcPr>
            <w:tcW w:w="1408" w:type="dxa"/>
          </w:tcPr>
          <w:p w14:paraId="64D8F37E"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-.0182</w:t>
            </w:r>
          </w:p>
        </w:tc>
        <w:tc>
          <w:tcPr>
            <w:cnfStyle w:val="000010000000" w:firstRow="0" w:lastRow="0" w:firstColumn="0" w:lastColumn="0" w:oddVBand="1" w:evenVBand="0" w:oddHBand="0" w:evenHBand="0" w:firstRowFirstColumn="0" w:firstRowLastColumn="0" w:lastRowFirstColumn="0" w:lastRowLastColumn="0"/>
            <w:tcW w:w="1202" w:type="dxa"/>
          </w:tcPr>
          <w:p w14:paraId="720214AB"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.7200</w:t>
            </w:r>
          </w:p>
        </w:tc>
      </w:tr>
      <w:tr w:rsidR="00E64CA0" w:rsidRPr="006E011C" w14:paraId="1F20FED6" w14:textId="77777777" w:rsidTr="00F42E70">
        <w:tc>
          <w:tcPr>
            <w:cnfStyle w:val="000010000000" w:firstRow="0" w:lastRow="0" w:firstColumn="0" w:lastColumn="0" w:oddVBand="1" w:evenVBand="0" w:oddHBand="0" w:evenHBand="0" w:firstRowFirstColumn="0" w:firstRowLastColumn="0" w:lastRowFirstColumn="0" w:lastRowLastColumn="0"/>
            <w:tcW w:w="1555" w:type="dxa"/>
            <w:vMerge/>
          </w:tcPr>
          <w:p w14:paraId="29C332DF"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616" w:type="dxa"/>
          </w:tcPr>
          <w:p w14:paraId="4083516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WARM/BRIGHT</w:t>
            </w:r>
          </w:p>
        </w:tc>
        <w:tc>
          <w:tcPr>
            <w:cnfStyle w:val="000010000000" w:firstRow="0" w:lastRow="0" w:firstColumn="0" w:lastColumn="0" w:oddVBand="1" w:evenVBand="0" w:oddHBand="0" w:evenHBand="0" w:firstRowFirstColumn="0" w:firstRowLastColumn="0" w:lastRowFirstColumn="0" w:lastRowLastColumn="0"/>
            <w:tcW w:w="1486" w:type="dxa"/>
          </w:tcPr>
          <w:p w14:paraId="08D6C5B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-.1373</w:t>
            </w:r>
          </w:p>
        </w:tc>
        <w:tc>
          <w:tcPr>
            <w:tcW w:w="1067" w:type="dxa"/>
          </w:tcPr>
          <w:p w14:paraId="326AF90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.18463</w:t>
            </w:r>
          </w:p>
        </w:tc>
        <w:tc>
          <w:tcPr>
            <w:cnfStyle w:val="000010000000" w:firstRow="0" w:lastRow="0" w:firstColumn="0" w:lastColumn="0" w:oddVBand="1" w:evenVBand="0" w:oddHBand="0" w:evenHBand="0" w:firstRowFirstColumn="0" w:firstRowLastColumn="0" w:lastRowFirstColumn="0" w:lastRowLastColumn="0"/>
            <w:tcW w:w="1021" w:type="dxa"/>
          </w:tcPr>
          <w:p w14:paraId="4CDF962C"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.457</w:t>
            </w:r>
          </w:p>
        </w:tc>
        <w:tc>
          <w:tcPr>
            <w:tcW w:w="1408" w:type="dxa"/>
          </w:tcPr>
          <w:p w14:paraId="3890E4A9"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-.5002</w:t>
            </w:r>
          </w:p>
        </w:tc>
        <w:tc>
          <w:tcPr>
            <w:cnfStyle w:val="000010000000" w:firstRow="0" w:lastRow="0" w:firstColumn="0" w:lastColumn="0" w:oddVBand="1" w:evenVBand="0" w:oddHBand="0" w:evenHBand="0" w:firstRowFirstColumn="0" w:firstRowLastColumn="0" w:lastRowFirstColumn="0" w:lastRowLastColumn="0"/>
            <w:tcW w:w="1202" w:type="dxa"/>
          </w:tcPr>
          <w:p w14:paraId="29A0F69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.2256</w:t>
            </w:r>
          </w:p>
        </w:tc>
      </w:tr>
      <w:tr w:rsidR="00E64CA0" w:rsidRPr="006E011C" w14:paraId="13C0FAFC"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5" w:type="dxa"/>
            <w:vMerge w:val="restart"/>
          </w:tcPr>
          <w:p w14:paraId="4FDD148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WARM/BRIGHT</w:t>
            </w:r>
          </w:p>
        </w:tc>
        <w:tc>
          <w:tcPr>
            <w:tcW w:w="1616" w:type="dxa"/>
          </w:tcPr>
          <w:p w14:paraId="6F68A4FA"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WARM/DIM</w:t>
            </w:r>
          </w:p>
        </w:tc>
        <w:tc>
          <w:tcPr>
            <w:cnfStyle w:val="000010000000" w:firstRow="0" w:lastRow="0" w:firstColumn="0" w:lastColumn="0" w:oddVBand="1" w:evenVBand="0" w:oddHBand="0" w:evenHBand="0" w:firstRowFirstColumn="0" w:firstRowLastColumn="0" w:lastRowFirstColumn="0" w:lastRowLastColumn="0"/>
            <w:tcW w:w="1486" w:type="dxa"/>
          </w:tcPr>
          <w:p w14:paraId="1C8DFE4A"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.5793</w:t>
            </w:r>
            <w:r w:rsidRPr="006E011C">
              <w:rPr>
                <w:rFonts w:asciiTheme="majorBidi" w:hAnsiTheme="majorBidi" w:cstheme="majorBidi"/>
                <w:color w:val="000000" w:themeColor="text1"/>
                <w:sz w:val="18"/>
                <w:szCs w:val="18"/>
                <w:vertAlign w:val="superscript"/>
              </w:rPr>
              <w:t>*</w:t>
            </w:r>
          </w:p>
        </w:tc>
        <w:tc>
          <w:tcPr>
            <w:tcW w:w="1067" w:type="dxa"/>
          </w:tcPr>
          <w:p w14:paraId="0E610CEA"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.18717</w:t>
            </w:r>
          </w:p>
        </w:tc>
        <w:tc>
          <w:tcPr>
            <w:cnfStyle w:val="000010000000" w:firstRow="0" w:lastRow="0" w:firstColumn="0" w:lastColumn="0" w:oddVBand="1" w:evenVBand="0" w:oddHBand="0" w:evenHBand="0" w:firstRowFirstColumn="0" w:firstRowLastColumn="0" w:lastRowFirstColumn="0" w:lastRowLastColumn="0"/>
            <w:tcW w:w="1021" w:type="dxa"/>
          </w:tcPr>
          <w:p w14:paraId="3C39310B"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.002</w:t>
            </w:r>
          </w:p>
        </w:tc>
        <w:tc>
          <w:tcPr>
            <w:tcW w:w="1408" w:type="dxa"/>
          </w:tcPr>
          <w:p w14:paraId="791B4A2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.2114</w:t>
            </w:r>
          </w:p>
        </w:tc>
        <w:tc>
          <w:tcPr>
            <w:cnfStyle w:val="000010000000" w:firstRow="0" w:lastRow="0" w:firstColumn="0" w:lastColumn="0" w:oddVBand="1" w:evenVBand="0" w:oddHBand="0" w:evenHBand="0" w:firstRowFirstColumn="0" w:firstRowLastColumn="0" w:lastRowFirstColumn="0" w:lastRowLastColumn="0"/>
            <w:tcW w:w="1202" w:type="dxa"/>
          </w:tcPr>
          <w:p w14:paraId="26F8041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.9471</w:t>
            </w:r>
          </w:p>
        </w:tc>
      </w:tr>
      <w:tr w:rsidR="00E64CA0" w:rsidRPr="006E011C" w14:paraId="0BA9A277" w14:textId="77777777" w:rsidTr="00F42E70">
        <w:tc>
          <w:tcPr>
            <w:cnfStyle w:val="000010000000" w:firstRow="0" w:lastRow="0" w:firstColumn="0" w:lastColumn="0" w:oddVBand="1" w:evenVBand="0" w:oddHBand="0" w:evenHBand="0" w:firstRowFirstColumn="0" w:firstRowLastColumn="0" w:lastRowFirstColumn="0" w:lastRowLastColumn="0"/>
            <w:tcW w:w="1555" w:type="dxa"/>
            <w:vMerge/>
          </w:tcPr>
          <w:p w14:paraId="6D696438"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616" w:type="dxa"/>
          </w:tcPr>
          <w:p w14:paraId="7F36ADE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COLD/DIM</w:t>
            </w:r>
          </w:p>
        </w:tc>
        <w:tc>
          <w:tcPr>
            <w:cnfStyle w:val="000010000000" w:firstRow="0" w:lastRow="0" w:firstColumn="0" w:lastColumn="0" w:oddVBand="1" w:evenVBand="0" w:oddHBand="0" w:evenHBand="0" w:firstRowFirstColumn="0" w:firstRowLastColumn="0" w:lastRowFirstColumn="0" w:lastRowLastColumn="0"/>
            <w:tcW w:w="1486" w:type="dxa"/>
          </w:tcPr>
          <w:p w14:paraId="6FBA76F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.4883</w:t>
            </w:r>
            <w:r w:rsidRPr="006E011C">
              <w:rPr>
                <w:rFonts w:asciiTheme="majorBidi" w:hAnsiTheme="majorBidi" w:cstheme="majorBidi"/>
                <w:color w:val="000000" w:themeColor="text1"/>
                <w:sz w:val="18"/>
                <w:szCs w:val="18"/>
                <w:vertAlign w:val="superscript"/>
              </w:rPr>
              <w:t>*</w:t>
            </w:r>
          </w:p>
        </w:tc>
        <w:tc>
          <w:tcPr>
            <w:tcW w:w="1067" w:type="dxa"/>
          </w:tcPr>
          <w:p w14:paraId="5F72F244"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.18900</w:t>
            </w:r>
          </w:p>
        </w:tc>
        <w:tc>
          <w:tcPr>
            <w:cnfStyle w:val="000010000000" w:firstRow="0" w:lastRow="0" w:firstColumn="0" w:lastColumn="0" w:oddVBand="1" w:evenVBand="0" w:oddHBand="0" w:evenHBand="0" w:firstRowFirstColumn="0" w:firstRowLastColumn="0" w:lastRowFirstColumn="0" w:lastRowLastColumn="0"/>
            <w:tcW w:w="1021" w:type="dxa"/>
          </w:tcPr>
          <w:p w14:paraId="57C50360"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.010</w:t>
            </w:r>
          </w:p>
        </w:tc>
        <w:tc>
          <w:tcPr>
            <w:tcW w:w="1408" w:type="dxa"/>
          </w:tcPr>
          <w:p w14:paraId="3C1F7090"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.1168</w:t>
            </w:r>
          </w:p>
        </w:tc>
        <w:tc>
          <w:tcPr>
            <w:cnfStyle w:val="000010000000" w:firstRow="0" w:lastRow="0" w:firstColumn="0" w:lastColumn="0" w:oddVBand="1" w:evenVBand="0" w:oddHBand="0" w:evenHBand="0" w:firstRowFirstColumn="0" w:firstRowLastColumn="0" w:lastRowFirstColumn="0" w:lastRowLastColumn="0"/>
            <w:tcW w:w="1202" w:type="dxa"/>
          </w:tcPr>
          <w:p w14:paraId="1D2E135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.8597</w:t>
            </w:r>
          </w:p>
        </w:tc>
      </w:tr>
      <w:tr w:rsidR="00E64CA0" w:rsidRPr="006E011C" w14:paraId="2A1AA6A7"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5" w:type="dxa"/>
            <w:vMerge/>
          </w:tcPr>
          <w:p w14:paraId="05CA743E"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616" w:type="dxa"/>
          </w:tcPr>
          <w:p w14:paraId="42DA2D2A"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COLD/BRIGHT</w:t>
            </w:r>
          </w:p>
        </w:tc>
        <w:tc>
          <w:tcPr>
            <w:cnfStyle w:val="000010000000" w:firstRow="0" w:lastRow="0" w:firstColumn="0" w:lastColumn="0" w:oddVBand="1" w:evenVBand="0" w:oddHBand="0" w:evenHBand="0" w:firstRowFirstColumn="0" w:firstRowLastColumn="0" w:lastRowFirstColumn="0" w:lastRowLastColumn="0"/>
            <w:tcW w:w="1486" w:type="dxa"/>
          </w:tcPr>
          <w:p w14:paraId="4703786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.1373</w:t>
            </w:r>
          </w:p>
        </w:tc>
        <w:tc>
          <w:tcPr>
            <w:tcW w:w="1067" w:type="dxa"/>
          </w:tcPr>
          <w:p w14:paraId="6B2EE095"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.18463</w:t>
            </w:r>
          </w:p>
        </w:tc>
        <w:tc>
          <w:tcPr>
            <w:cnfStyle w:val="000010000000" w:firstRow="0" w:lastRow="0" w:firstColumn="0" w:lastColumn="0" w:oddVBand="1" w:evenVBand="0" w:oddHBand="0" w:evenHBand="0" w:firstRowFirstColumn="0" w:firstRowLastColumn="0" w:lastRowFirstColumn="0" w:lastRowLastColumn="0"/>
            <w:tcW w:w="1021" w:type="dxa"/>
          </w:tcPr>
          <w:p w14:paraId="006A93D1"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.457</w:t>
            </w:r>
          </w:p>
        </w:tc>
        <w:tc>
          <w:tcPr>
            <w:tcW w:w="1408" w:type="dxa"/>
          </w:tcPr>
          <w:p w14:paraId="13B56AC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-.2256</w:t>
            </w:r>
          </w:p>
        </w:tc>
        <w:tc>
          <w:tcPr>
            <w:cnfStyle w:val="000010000000" w:firstRow="0" w:lastRow="0" w:firstColumn="0" w:lastColumn="0" w:oddVBand="1" w:evenVBand="0" w:oddHBand="0" w:evenHBand="0" w:firstRowFirstColumn="0" w:firstRowLastColumn="0" w:lastRowFirstColumn="0" w:lastRowLastColumn="0"/>
            <w:tcW w:w="1202" w:type="dxa"/>
          </w:tcPr>
          <w:p w14:paraId="31CD3FF0"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.5002</w:t>
            </w:r>
          </w:p>
        </w:tc>
      </w:tr>
      <w:tr w:rsidR="00E64CA0" w:rsidRPr="006E011C" w14:paraId="2BD53BE3" w14:textId="77777777" w:rsidTr="00F42E70">
        <w:tc>
          <w:tcPr>
            <w:cnfStyle w:val="000010000000" w:firstRow="0" w:lastRow="0" w:firstColumn="0" w:lastColumn="0" w:oddVBand="1" w:evenVBand="0" w:oddHBand="0" w:evenHBand="0" w:firstRowFirstColumn="0" w:firstRowLastColumn="0" w:lastRowFirstColumn="0" w:lastRowLastColumn="0"/>
            <w:tcW w:w="9355" w:type="dxa"/>
            <w:gridSpan w:val="7"/>
          </w:tcPr>
          <w:p w14:paraId="5B78294C"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Based on observed means.   The error term is Mean Square (Error) = 1.900.</w:t>
            </w:r>
          </w:p>
        </w:tc>
      </w:tr>
      <w:tr w:rsidR="00E64CA0" w:rsidRPr="006E011C" w14:paraId="4BCB5DFB"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5" w:type="dxa"/>
            <w:gridSpan w:val="7"/>
          </w:tcPr>
          <w:p w14:paraId="2E674B95"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 The mean difference is significant at the .05 level.</w:t>
            </w:r>
          </w:p>
        </w:tc>
      </w:tr>
    </w:tbl>
    <w:p w14:paraId="06057977" w14:textId="77777777" w:rsidR="00E64CA0" w:rsidRPr="006E011C" w:rsidRDefault="00E64CA0" w:rsidP="003912E8">
      <w:pPr>
        <w:pStyle w:val="Heading2"/>
        <w:spacing w:before="100" w:beforeAutospacing="1" w:after="100" w:afterAutospacing="1" w:line="360" w:lineRule="auto"/>
        <w:rPr>
          <w:rFonts w:asciiTheme="majorBidi" w:hAnsiTheme="majorBidi"/>
          <w:b/>
          <w:bCs/>
          <w:i/>
          <w:iCs/>
          <w:color w:val="000000" w:themeColor="text1"/>
          <w:sz w:val="24"/>
          <w:szCs w:val="24"/>
        </w:rPr>
      </w:pPr>
      <w:r w:rsidRPr="006E011C">
        <w:rPr>
          <w:rFonts w:asciiTheme="majorBidi" w:hAnsiTheme="majorBidi"/>
          <w:b/>
          <w:bCs/>
          <w:i/>
          <w:iCs/>
          <w:color w:val="000000" w:themeColor="text1"/>
          <w:sz w:val="24"/>
          <w:szCs w:val="24"/>
        </w:rPr>
        <w:t>Emotion</w:t>
      </w:r>
    </w:p>
    <w:p w14:paraId="1B1173E5"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lang w:bidi="fa-IR"/>
        </w:rPr>
      </w:pPr>
      <w:r w:rsidRPr="006E011C">
        <w:rPr>
          <w:rFonts w:asciiTheme="majorBidi" w:hAnsiTheme="majorBidi" w:cstheme="majorBidi"/>
          <w:color w:val="000000" w:themeColor="text1"/>
          <w:sz w:val="24"/>
          <w:szCs w:val="24"/>
          <w:lang w:bidi="fa-IR"/>
        </w:rPr>
        <w:t xml:space="preserve">Based on statistical significance presented in table 2, lighting and colour have a significant impact on emotion; therefore, H2 is supported, with the strongest effect observed in the cold/bright condition. According to the results presented in the following table, the mean differences between </w:t>
      </w:r>
      <w:r w:rsidRPr="006E011C">
        <w:rPr>
          <w:rFonts w:asciiTheme="majorBidi" w:hAnsiTheme="majorBidi" w:cstheme="majorBidi"/>
          <w:color w:val="000000" w:themeColor="text1"/>
          <w:sz w:val="24"/>
          <w:szCs w:val="24"/>
          <w:lang w:bidi="fa-IR"/>
        </w:rPr>
        <w:lastRenderedPageBreak/>
        <w:t>cold/bright and both warm/dim and cold/dim conditions, as well as between warm/bright and both warm/dim and cold/dim conditions, are statistically significant. The largest difference is observed between the cold/bright and warm/dim condition (0.8162), indicating that the cold/bright condition exerts the strongest influence on emotional response.</w:t>
      </w:r>
    </w:p>
    <w:p w14:paraId="0797CB5F"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lang w:bidi="fa-IR"/>
        </w:rPr>
      </w:pPr>
      <w:r w:rsidRPr="006E011C">
        <w:rPr>
          <w:rFonts w:asciiTheme="majorBidi" w:hAnsiTheme="majorBidi" w:cstheme="majorBidi"/>
          <w:color w:val="000000" w:themeColor="text1"/>
          <w:sz w:val="24"/>
          <w:szCs w:val="24"/>
          <w:lang w:bidi="fa-IR"/>
        </w:rPr>
        <w:t>Overall, these findings suggest that this lighting–colour configuration has a greater capacity to regulate users’ emotional states. As indicated in the conceptual model, emotion is composed of two key dimensions—pleasure and arousal—both of which are significantly influenced by lighting and colour conditions. Variations in optical spectra and levels of brightness can therefore modify emotional responses by altering both pleasure and arousal.</w:t>
      </w:r>
    </w:p>
    <w:p w14:paraId="6561B14F" w14:textId="77777777" w:rsidR="00E64CA0" w:rsidRPr="006E011C" w:rsidRDefault="00E64CA0" w:rsidP="00E64CA0">
      <w:pPr>
        <w:pStyle w:val="a0"/>
        <w:bidi w:val="0"/>
        <w:spacing w:line="360" w:lineRule="auto"/>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In this context, increased brightness appears to enhance pleasure by promoting a sense of psychological comfort, relaxation, and calmness among participants. At the same time, the cooler colour spectrum is associated with reduced arousal levels, making it the most effective spectral condition within the framework of this study. Consequently, it can be concluded that the cold/bright condition exerts the strongest overall influence on emotional response.</w:t>
      </w:r>
    </w:p>
    <w:p w14:paraId="6FDC0D92" w14:textId="77777777" w:rsidR="00E64CA0" w:rsidRPr="006E011C" w:rsidRDefault="00E64CA0" w:rsidP="00E64CA0">
      <w:pPr>
        <w:pStyle w:val="a0"/>
        <w:bidi w:val="0"/>
        <w:spacing w:line="360" w:lineRule="auto"/>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Table2: Impact on emotion (authors)</w:t>
      </w:r>
    </w:p>
    <w:tbl>
      <w:tblPr>
        <w:tblStyle w:val="PlainTable1"/>
        <w:tblW w:w="9493" w:type="dxa"/>
        <w:tblLayout w:type="fixed"/>
        <w:tblLook w:val="0000" w:firstRow="0" w:lastRow="0" w:firstColumn="0" w:lastColumn="0" w:noHBand="0" w:noVBand="0"/>
      </w:tblPr>
      <w:tblGrid>
        <w:gridCol w:w="1422"/>
        <w:gridCol w:w="1749"/>
        <w:gridCol w:w="1486"/>
        <w:gridCol w:w="1067"/>
        <w:gridCol w:w="1021"/>
        <w:gridCol w:w="1408"/>
        <w:gridCol w:w="1340"/>
      </w:tblGrid>
      <w:tr w:rsidR="00E64CA0" w:rsidRPr="006E011C" w14:paraId="1E9004D4" w14:textId="77777777" w:rsidTr="00F42E70">
        <w:trPr>
          <w:cnfStyle w:val="000000100000" w:firstRow="0" w:lastRow="0" w:firstColumn="0" w:lastColumn="0" w:oddVBand="0" w:evenVBand="0" w:oddHBand="1" w:evenHBand="0" w:firstRowFirstColumn="0" w:firstRowLastColumn="0" w:lastRowFirstColumn="0" w:lastRowLastColumn="0"/>
          <w:trHeight w:val="539"/>
        </w:trPr>
        <w:tc>
          <w:tcPr>
            <w:cnfStyle w:val="000010000000" w:firstRow="0" w:lastRow="0" w:firstColumn="0" w:lastColumn="0" w:oddVBand="1" w:evenVBand="0" w:oddHBand="0" w:evenHBand="0" w:firstRowFirstColumn="0" w:firstRowLastColumn="0" w:lastRowFirstColumn="0" w:lastRowLastColumn="0"/>
            <w:tcW w:w="9493" w:type="dxa"/>
            <w:gridSpan w:val="7"/>
          </w:tcPr>
          <w:p w14:paraId="68018D20"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 xml:space="preserve">Dependent Variable: EMOTION </w:t>
            </w:r>
          </w:p>
        </w:tc>
      </w:tr>
      <w:tr w:rsidR="00E64CA0" w:rsidRPr="006E011C" w14:paraId="2B3DFECC" w14:textId="77777777" w:rsidTr="00F42E70">
        <w:tc>
          <w:tcPr>
            <w:cnfStyle w:val="000010000000" w:firstRow="0" w:lastRow="0" w:firstColumn="0" w:lastColumn="0" w:oddVBand="1" w:evenVBand="0" w:oddHBand="0" w:evenHBand="0" w:firstRowFirstColumn="0" w:firstRowLastColumn="0" w:lastRowFirstColumn="0" w:lastRowLastColumn="0"/>
            <w:tcW w:w="1422" w:type="dxa"/>
            <w:vMerge w:val="restart"/>
          </w:tcPr>
          <w:p w14:paraId="16160AB1"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Colour/Light</w:t>
            </w:r>
          </w:p>
        </w:tc>
        <w:tc>
          <w:tcPr>
            <w:tcW w:w="1749" w:type="dxa"/>
            <w:vMerge w:val="restart"/>
          </w:tcPr>
          <w:p w14:paraId="66A4DB53"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(J) Colour/Light</w:t>
            </w:r>
          </w:p>
        </w:tc>
        <w:tc>
          <w:tcPr>
            <w:cnfStyle w:val="000010000000" w:firstRow="0" w:lastRow="0" w:firstColumn="0" w:lastColumn="0" w:oddVBand="1" w:evenVBand="0" w:oddHBand="0" w:evenHBand="0" w:firstRowFirstColumn="0" w:firstRowLastColumn="0" w:lastRowFirstColumn="0" w:lastRowLastColumn="0"/>
            <w:tcW w:w="1486" w:type="dxa"/>
            <w:vMerge w:val="restart"/>
          </w:tcPr>
          <w:p w14:paraId="5D7EF3B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Mean Difference (I-J)</w:t>
            </w:r>
          </w:p>
        </w:tc>
        <w:tc>
          <w:tcPr>
            <w:tcW w:w="1067" w:type="dxa"/>
            <w:vMerge w:val="restart"/>
          </w:tcPr>
          <w:p w14:paraId="6A598BC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Std. Error</w:t>
            </w:r>
          </w:p>
        </w:tc>
        <w:tc>
          <w:tcPr>
            <w:cnfStyle w:val="000010000000" w:firstRow="0" w:lastRow="0" w:firstColumn="0" w:lastColumn="0" w:oddVBand="1" w:evenVBand="0" w:oddHBand="0" w:evenHBand="0" w:firstRowFirstColumn="0" w:firstRowLastColumn="0" w:lastRowFirstColumn="0" w:lastRowLastColumn="0"/>
            <w:tcW w:w="1021" w:type="dxa"/>
            <w:vMerge w:val="restart"/>
          </w:tcPr>
          <w:p w14:paraId="08541D4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Sig.</w:t>
            </w:r>
          </w:p>
        </w:tc>
        <w:tc>
          <w:tcPr>
            <w:tcW w:w="2748" w:type="dxa"/>
            <w:gridSpan w:val="2"/>
          </w:tcPr>
          <w:p w14:paraId="1DF3C0F3"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95% Confidence Interval</w:t>
            </w:r>
          </w:p>
        </w:tc>
      </w:tr>
      <w:tr w:rsidR="00E64CA0" w:rsidRPr="006E011C" w14:paraId="3075598A"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22" w:type="dxa"/>
            <w:vMerge/>
          </w:tcPr>
          <w:p w14:paraId="0464ADC2"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749" w:type="dxa"/>
            <w:vMerge/>
          </w:tcPr>
          <w:p w14:paraId="256A9032" w14:textId="77777777" w:rsidR="00E64CA0" w:rsidRPr="006E011C" w:rsidRDefault="00E64CA0" w:rsidP="00F42E70">
            <w:pPr>
              <w:autoSpaceDE w:val="0"/>
              <w:autoSpaceDN w:val="0"/>
              <w:adjustRightInd w:val="0"/>
              <w:spacing w:before="100" w:beforeAutospacing="1" w:after="100" w:afterAutospacing="1" w:line="360" w:lineRule="auto"/>
              <w:ind w:left="284"/>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486" w:type="dxa"/>
            <w:vMerge/>
          </w:tcPr>
          <w:p w14:paraId="042A81CB"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067" w:type="dxa"/>
            <w:vMerge/>
          </w:tcPr>
          <w:p w14:paraId="6DC201FD" w14:textId="77777777" w:rsidR="00E64CA0" w:rsidRPr="006E011C" w:rsidRDefault="00E64CA0" w:rsidP="00F42E70">
            <w:pPr>
              <w:autoSpaceDE w:val="0"/>
              <w:autoSpaceDN w:val="0"/>
              <w:adjustRightInd w:val="0"/>
              <w:spacing w:before="100" w:beforeAutospacing="1" w:after="100" w:afterAutospacing="1" w:line="360" w:lineRule="auto"/>
              <w:ind w:left="284"/>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1021" w:type="dxa"/>
            <w:vMerge/>
          </w:tcPr>
          <w:p w14:paraId="46D33E6C"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408" w:type="dxa"/>
          </w:tcPr>
          <w:p w14:paraId="310E8449"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Lower Bound</w:t>
            </w:r>
          </w:p>
        </w:tc>
        <w:tc>
          <w:tcPr>
            <w:cnfStyle w:val="000010000000" w:firstRow="0" w:lastRow="0" w:firstColumn="0" w:lastColumn="0" w:oddVBand="1" w:evenVBand="0" w:oddHBand="0" w:evenHBand="0" w:firstRowFirstColumn="0" w:firstRowLastColumn="0" w:lastRowFirstColumn="0" w:lastRowLastColumn="0"/>
            <w:tcW w:w="1340" w:type="dxa"/>
          </w:tcPr>
          <w:p w14:paraId="14F5B033"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Upper Bound</w:t>
            </w:r>
          </w:p>
        </w:tc>
      </w:tr>
      <w:tr w:rsidR="00E64CA0" w:rsidRPr="006E011C" w14:paraId="3D551FFF" w14:textId="77777777" w:rsidTr="00F42E70">
        <w:tc>
          <w:tcPr>
            <w:cnfStyle w:val="000010000000" w:firstRow="0" w:lastRow="0" w:firstColumn="0" w:lastColumn="0" w:oddVBand="1" w:evenVBand="0" w:oddHBand="0" w:evenHBand="0" w:firstRowFirstColumn="0" w:firstRowLastColumn="0" w:lastRowFirstColumn="0" w:lastRowLastColumn="0"/>
            <w:tcW w:w="1422" w:type="dxa"/>
            <w:vMerge w:val="restart"/>
          </w:tcPr>
          <w:p w14:paraId="20F8C1C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WARM/DIM</w:t>
            </w:r>
          </w:p>
        </w:tc>
        <w:tc>
          <w:tcPr>
            <w:tcW w:w="1749" w:type="dxa"/>
          </w:tcPr>
          <w:p w14:paraId="022E9D14"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COLD/DIM</w:t>
            </w:r>
          </w:p>
        </w:tc>
        <w:tc>
          <w:tcPr>
            <w:cnfStyle w:val="000010000000" w:firstRow="0" w:lastRow="0" w:firstColumn="0" w:lastColumn="0" w:oddVBand="1" w:evenVBand="0" w:oddHBand="0" w:evenHBand="0" w:firstRowFirstColumn="0" w:firstRowLastColumn="0" w:lastRowFirstColumn="0" w:lastRowLastColumn="0"/>
            <w:tcW w:w="1486" w:type="dxa"/>
          </w:tcPr>
          <w:p w14:paraId="514CBB11"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-.0241</w:t>
            </w:r>
          </w:p>
        </w:tc>
        <w:tc>
          <w:tcPr>
            <w:tcW w:w="1067" w:type="dxa"/>
          </w:tcPr>
          <w:p w14:paraId="07B15ADE"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.16584</w:t>
            </w:r>
          </w:p>
        </w:tc>
        <w:tc>
          <w:tcPr>
            <w:cnfStyle w:val="000010000000" w:firstRow="0" w:lastRow="0" w:firstColumn="0" w:lastColumn="0" w:oddVBand="1" w:evenVBand="0" w:oddHBand="0" w:evenHBand="0" w:firstRowFirstColumn="0" w:firstRowLastColumn="0" w:lastRowFirstColumn="0" w:lastRowLastColumn="0"/>
            <w:tcW w:w="1021" w:type="dxa"/>
          </w:tcPr>
          <w:p w14:paraId="39F7990B"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.885</w:t>
            </w:r>
          </w:p>
        </w:tc>
        <w:tc>
          <w:tcPr>
            <w:tcW w:w="1408" w:type="dxa"/>
          </w:tcPr>
          <w:p w14:paraId="6AB6FCC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-.3501</w:t>
            </w:r>
          </w:p>
        </w:tc>
        <w:tc>
          <w:tcPr>
            <w:cnfStyle w:val="000010000000" w:firstRow="0" w:lastRow="0" w:firstColumn="0" w:lastColumn="0" w:oddVBand="1" w:evenVBand="0" w:oddHBand="0" w:evenHBand="0" w:firstRowFirstColumn="0" w:firstRowLastColumn="0" w:lastRowFirstColumn="0" w:lastRowLastColumn="0"/>
            <w:tcW w:w="1340" w:type="dxa"/>
          </w:tcPr>
          <w:p w14:paraId="090C70EE"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.3020</w:t>
            </w:r>
          </w:p>
        </w:tc>
      </w:tr>
      <w:tr w:rsidR="00E64CA0" w:rsidRPr="006E011C" w14:paraId="1C2F5DA4"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22" w:type="dxa"/>
            <w:vMerge/>
          </w:tcPr>
          <w:p w14:paraId="05B942B2"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749" w:type="dxa"/>
          </w:tcPr>
          <w:p w14:paraId="2F405DF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COLD/BRIGHT</w:t>
            </w:r>
          </w:p>
        </w:tc>
        <w:tc>
          <w:tcPr>
            <w:cnfStyle w:val="000010000000" w:firstRow="0" w:lastRow="0" w:firstColumn="0" w:lastColumn="0" w:oddVBand="1" w:evenVBand="0" w:oddHBand="0" w:evenHBand="0" w:firstRowFirstColumn="0" w:firstRowLastColumn="0" w:lastRowFirstColumn="0" w:lastRowLastColumn="0"/>
            <w:tcW w:w="1486" w:type="dxa"/>
          </w:tcPr>
          <w:p w14:paraId="5361822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-.8162</w:t>
            </w:r>
            <w:r w:rsidRPr="006E011C">
              <w:rPr>
                <w:rFonts w:asciiTheme="majorBidi" w:hAnsiTheme="majorBidi" w:cstheme="majorBidi"/>
                <w:color w:val="000000" w:themeColor="text1"/>
                <w:sz w:val="18"/>
                <w:szCs w:val="18"/>
                <w:vertAlign w:val="superscript"/>
              </w:rPr>
              <w:t>*</w:t>
            </w:r>
          </w:p>
        </w:tc>
        <w:tc>
          <w:tcPr>
            <w:tcW w:w="1067" w:type="dxa"/>
          </w:tcPr>
          <w:p w14:paraId="5ECAFF90"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.16584</w:t>
            </w:r>
          </w:p>
        </w:tc>
        <w:tc>
          <w:tcPr>
            <w:cnfStyle w:val="000010000000" w:firstRow="0" w:lastRow="0" w:firstColumn="0" w:lastColumn="0" w:oddVBand="1" w:evenVBand="0" w:oddHBand="0" w:evenHBand="0" w:firstRowFirstColumn="0" w:firstRowLastColumn="0" w:lastRowFirstColumn="0" w:lastRowLastColumn="0"/>
            <w:tcW w:w="1021" w:type="dxa"/>
          </w:tcPr>
          <w:p w14:paraId="2CBB18A5"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.000</w:t>
            </w:r>
          </w:p>
        </w:tc>
        <w:tc>
          <w:tcPr>
            <w:tcW w:w="1408" w:type="dxa"/>
          </w:tcPr>
          <w:p w14:paraId="20AD49E9"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-1.1422</w:t>
            </w:r>
          </w:p>
        </w:tc>
        <w:tc>
          <w:tcPr>
            <w:cnfStyle w:val="000010000000" w:firstRow="0" w:lastRow="0" w:firstColumn="0" w:lastColumn="0" w:oddVBand="1" w:evenVBand="0" w:oddHBand="0" w:evenHBand="0" w:firstRowFirstColumn="0" w:firstRowLastColumn="0" w:lastRowFirstColumn="0" w:lastRowLastColumn="0"/>
            <w:tcW w:w="1340" w:type="dxa"/>
          </w:tcPr>
          <w:p w14:paraId="32F92C90"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-.4901</w:t>
            </w:r>
          </w:p>
        </w:tc>
      </w:tr>
      <w:tr w:rsidR="00E64CA0" w:rsidRPr="006E011C" w14:paraId="6C035E15" w14:textId="77777777" w:rsidTr="00F42E70">
        <w:tc>
          <w:tcPr>
            <w:cnfStyle w:val="000010000000" w:firstRow="0" w:lastRow="0" w:firstColumn="0" w:lastColumn="0" w:oddVBand="1" w:evenVBand="0" w:oddHBand="0" w:evenHBand="0" w:firstRowFirstColumn="0" w:firstRowLastColumn="0" w:lastRowFirstColumn="0" w:lastRowLastColumn="0"/>
            <w:tcW w:w="1422" w:type="dxa"/>
            <w:vMerge/>
          </w:tcPr>
          <w:p w14:paraId="60282170"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749" w:type="dxa"/>
          </w:tcPr>
          <w:p w14:paraId="7E979CC0"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WARM/BRIGHT</w:t>
            </w:r>
          </w:p>
        </w:tc>
        <w:tc>
          <w:tcPr>
            <w:cnfStyle w:val="000010000000" w:firstRow="0" w:lastRow="0" w:firstColumn="0" w:lastColumn="0" w:oddVBand="1" w:evenVBand="0" w:oddHBand="0" w:evenHBand="0" w:firstRowFirstColumn="0" w:firstRowLastColumn="0" w:lastRowFirstColumn="0" w:lastRowLastColumn="0"/>
            <w:tcW w:w="1486" w:type="dxa"/>
          </w:tcPr>
          <w:p w14:paraId="19657481"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-.7497</w:t>
            </w:r>
            <w:r w:rsidRPr="006E011C">
              <w:rPr>
                <w:rFonts w:asciiTheme="majorBidi" w:hAnsiTheme="majorBidi" w:cstheme="majorBidi"/>
                <w:color w:val="000000" w:themeColor="text1"/>
                <w:sz w:val="18"/>
                <w:szCs w:val="18"/>
                <w:vertAlign w:val="superscript"/>
              </w:rPr>
              <w:t>*</w:t>
            </w:r>
          </w:p>
        </w:tc>
        <w:tc>
          <w:tcPr>
            <w:tcW w:w="1067" w:type="dxa"/>
          </w:tcPr>
          <w:p w14:paraId="64332AF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.16303</w:t>
            </w:r>
          </w:p>
        </w:tc>
        <w:tc>
          <w:tcPr>
            <w:cnfStyle w:val="000010000000" w:firstRow="0" w:lastRow="0" w:firstColumn="0" w:lastColumn="0" w:oddVBand="1" w:evenVBand="0" w:oddHBand="0" w:evenHBand="0" w:firstRowFirstColumn="0" w:firstRowLastColumn="0" w:lastRowFirstColumn="0" w:lastRowLastColumn="0"/>
            <w:tcW w:w="1021" w:type="dxa"/>
          </w:tcPr>
          <w:p w14:paraId="1A05199C"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.000</w:t>
            </w:r>
          </w:p>
        </w:tc>
        <w:tc>
          <w:tcPr>
            <w:tcW w:w="1408" w:type="dxa"/>
          </w:tcPr>
          <w:p w14:paraId="50B4262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-1.0702</w:t>
            </w:r>
          </w:p>
        </w:tc>
        <w:tc>
          <w:tcPr>
            <w:cnfStyle w:val="000010000000" w:firstRow="0" w:lastRow="0" w:firstColumn="0" w:lastColumn="0" w:oddVBand="1" w:evenVBand="0" w:oddHBand="0" w:evenHBand="0" w:firstRowFirstColumn="0" w:firstRowLastColumn="0" w:lastRowFirstColumn="0" w:lastRowLastColumn="0"/>
            <w:tcW w:w="1340" w:type="dxa"/>
          </w:tcPr>
          <w:p w14:paraId="2A286DA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-.4292</w:t>
            </w:r>
          </w:p>
        </w:tc>
      </w:tr>
      <w:tr w:rsidR="00E64CA0" w:rsidRPr="006E011C" w14:paraId="7224350B"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22" w:type="dxa"/>
            <w:vMerge w:val="restart"/>
          </w:tcPr>
          <w:p w14:paraId="583D313B"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COLD/DIM</w:t>
            </w:r>
          </w:p>
        </w:tc>
        <w:tc>
          <w:tcPr>
            <w:tcW w:w="1749" w:type="dxa"/>
          </w:tcPr>
          <w:p w14:paraId="3E9689F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WARM/DIM</w:t>
            </w:r>
          </w:p>
        </w:tc>
        <w:tc>
          <w:tcPr>
            <w:cnfStyle w:val="000010000000" w:firstRow="0" w:lastRow="0" w:firstColumn="0" w:lastColumn="0" w:oddVBand="1" w:evenVBand="0" w:oddHBand="0" w:evenHBand="0" w:firstRowFirstColumn="0" w:firstRowLastColumn="0" w:lastRowFirstColumn="0" w:lastRowLastColumn="0"/>
            <w:tcW w:w="1486" w:type="dxa"/>
          </w:tcPr>
          <w:p w14:paraId="303780EE"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.0241</w:t>
            </w:r>
          </w:p>
        </w:tc>
        <w:tc>
          <w:tcPr>
            <w:tcW w:w="1067" w:type="dxa"/>
          </w:tcPr>
          <w:p w14:paraId="5C59E6C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.16584</w:t>
            </w:r>
          </w:p>
        </w:tc>
        <w:tc>
          <w:tcPr>
            <w:cnfStyle w:val="000010000000" w:firstRow="0" w:lastRow="0" w:firstColumn="0" w:lastColumn="0" w:oddVBand="1" w:evenVBand="0" w:oddHBand="0" w:evenHBand="0" w:firstRowFirstColumn="0" w:firstRowLastColumn="0" w:lastRowFirstColumn="0" w:lastRowLastColumn="0"/>
            <w:tcW w:w="1021" w:type="dxa"/>
          </w:tcPr>
          <w:p w14:paraId="7FF7429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.885</w:t>
            </w:r>
          </w:p>
        </w:tc>
        <w:tc>
          <w:tcPr>
            <w:tcW w:w="1408" w:type="dxa"/>
          </w:tcPr>
          <w:p w14:paraId="4BC2CD69"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-.3020</w:t>
            </w:r>
          </w:p>
        </w:tc>
        <w:tc>
          <w:tcPr>
            <w:cnfStyle w:val="000010000000" w:firstRow="0" w:lastRow="0" w:firstColumn="0" w:lastColumn="0" w:oddVBand="1" w:evenVBand="0" w:oddHBand="0" w:evenHBand="0" w:firstRowFirstColumn="0" w:firstRowLastColumn="0" w:lastRowFirstColumn="0" w:lastRowLastColumn="0"/>
            <w:tcW w:w="1340" w:type="dxa"/>
          </w:tcPr>
          <w:p w14:paraId="0B4F094B"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.3501</w:t>
            </w:r>
          </w:p>
        </w:tc>
      </w:tr>
      <w:tr w:rsidR="00E64CA0" w:rsidRPr="006E011C" w14:paraId="2058619E" w14:textId="77777777" w:rsidTr="00F42E70">
        <w:tc>
          <w:tcPr>
            <w:cnfStyle w:val="000010000000" w:firstRow="0" w:lastRow="0" w:firstColumn="0" w:lastColumn="0" w:oddVBand="1" w:evenVBand="0" w:oddHBand="0" w:evenHBand="0" w:firstRowFirstColumn="0" w:firstRowLastColumn="0" w:lastRowFirstColumn="0" w:lastRowLastColumn="0"/>
            <w:tcW w:w="1422" w:type="dxa"/>
            <w:vMerge/>
          </w:tcPr>
          <w:p w14:paraId="7213ED0A"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749" w:type="dxa"/>
          </w:tcPr>
          <w:p w14:paraId="01799731"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COLD/BRIGHT</w:t>
            </w:r>
          </w:p>
        </w:tc>
        <w:tc>
          <w:tcPr>
            <w:cnfStyle w:val="000010000000" w:firstRow="0" w:lastRow="0" w:firstColumn="0" w:lastColumn="0" w:oddVBand="1" w:evenVBand="0" w:oddHBand="0" w:evenHBand="0" w:firstRowFirstColumn="0" w:firstRowLastColumn="0" w:lastRowFirstColumn="0" w:lastRowLastColumn="0"/>
            <w:tcW w:w="1486" w:type="dxa"/>
          </w:tcPr>
          <w:p w14:paraId="30A9DE5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-.7921</w:t>
            </w:r>
            <w:r w:rsidRPr="006E011C">
              <w:rPr>
                <w:rFonts w:asciiTheme="majorBidi" w:hAnsiTheme="majorBidi" w:cstheme="majorBidi"/>
                <w:color w:val="000000" w:themeColor="text1"/>
                <w:sz w:val="18"/>
                <w:szCs w:val="18"/>
                <w:vertAlign w:val="superscript"/>
              </w:rPr>
              <w:t>*</w:t>
            </w:r>
          </w:p>
        </w:tc>
        <w:tc>
          <w:tcPr>
            <w:tcW w:w="1067" w:type="dxa"/>
          </w:tcPr>
          <w:p w14:paraId="7FC3512C"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.16584</w:t>
            </w:r>
          </w:p>
        </w:tc>
        <w:tc>
          <w:tcPr>
            <w:cnfStyle w:val="000010000000" w:firstRow="0" w:lastRow="0" w:firstColumn="0" w:lastColumn="0" w:oddVBand="1" w:evenVBand="0" w:oddHBand="0" w:evenHBand="0" w:firstRowFirstColumn="0" w:firstRowLastColumn="0" w:lastRowFirstColumn="0" w:lastRowLastColumn="0"/>
            <w:tcW w:w="1021" w:type="dxa"/>
          </w:tcPr>
          <w:p w14:paraId="030DF8B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.000</w:t>
            </w:r>
          </w:p>
        </w:tc>
        <w:tc>
          <w:tcPr>
            <w:tcW w:w="1408" w:type="dxa"/>
          </w:tcPr>
          <w:p w14:paraId="4A0B39C1"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-1.1182</w:t>
            </w:r>
          </w:p>
        </w:tc>
        <w:tc>
          <w:tcPr>
            <w:cnfStyle w:val="000010000000" w:firstRow="0" w:lastRow="0" w:firstColumn="0" w:lastColumn="0" w:oddVBand="1" w:evenVBand="0" w:oddHBand="0" w:evenHBand="0" w:firstRowFirstColumn="0" w:firstRowLastColumn="0" w:lastRowFirstColumn="0" w:lastRowLastColumn="0"/>
            <w:tcW w:w="1340" w:type="dxa"/>
          </w:tcPr>
          <w:p w14:paraId="2BB38093"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-.4660</w:t>
            </w:r>
          </w:p>
        </w:tc>
      </w:tr>
      <w:tr w:rsidR="00E64CA0" w:rsidRPr="006E011C" w14:paraId="32D73F4B"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22" w:type="dxa"/>
            <w:vMerge/>
          </w:tcPr>
          <w:p w14:paraId="79A5B88C"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749" w:type="dxa"/>
          </w:tcPr>
          <w:p w14:paraId="65A5BE01"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WARM/BRIGHT</w:t>
            </w:r>
          </w:p>
        </w:tc>
        <w:tc>
          <w:tcPr>
            <w:cnfStyle w:val="000010000000" w:firstRow="0" w:lastRow="0" w:firstColumn="0" w:lastColumn="0" w:oddVBand="1" w:evenVBand="0" w:oddHBand="0" w:evenHBand="0" w:firstRowFirstColumn="0" w:firstRowLastColumn="0" w:lastRowFirstColumn="0" w:lastRowLastColumn="0"/>
            <w:tcW w:w="1486" w:type="dxa"/>
          </w:tcPr>
          <w:p w14:paraId="227722FA"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-.7257</w:t>
            </w:r>
            <w:r w:rsidRPr="006E011C">
              <w:rPr>
                <w:rFonts w:asciiTheme="majorBidi" w:hAnsiTheme="majorBidi" w:cstheme="majorBidi"/>
                <w:color w:val="000000" w:themeColor="text1"/>
                <w:sz w:val="18"/>
                <w:szCs w:val="18"/>
                <w:vertAlign w:val="superscript"/>
              </w:rPr>
              <w:t>*</w:t>
            </w:r>
          </w:p>
        </w:tc>
        <w:tc>
          <w:tcPr>
            <w:tcW w:w="1067" w:type="dxa"/>
          </w:tcPr>
          <w:p w14:paraId="4F8598E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.16303</w:t>
            </w:r>
          </w:p>
        </w:tc>
        <w:tc>
          <w:tcPr>
            <w:cnfStyle w:val="000010000000" w:firstRow="0" w:lastRow="0" w:firstColumn="0" w:lastColumn="0" w:oddVBand="1" w:evenVBand="0" w:oddHBand="0" w:evenHBand="0" w:firstRowFirstColumn="0" w:firstRowLastColumn="0" w:lastRowFirstColumn="0" w:lastRowLastColumn="0"/>
            <w:tcW w:w="1021" w:type="dxa"/>
          </w:tcPr>
          <w:p w14:paraId="5347A5B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.000</w:t>
            </w:r>
          </w:p>
        </w:tc>
        <w:tc>
          <w:tcPr>
            <w:tcW w:w="1408" w:type="dxa"/>
          </w:tcPr>
          <w:p w14:paraId="7EAD4879"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-1.0462</w:t>
            </w:r>
          </w:p>
        </w:tc>
        <w:tc>
          <w:tcPr>
            <w:cnfStyle w:val="000010000000" w:firstRow="0" w:lastRow="0" w:firstColumn="0" w:lastColumn="0" w:oddVBand="1" w:evenVBand="0" w:oddHBand="0" w:evenHBand="0" w:firstRowFirstColumn="0" w:firstRowLastColumn="0" w:lastRowFirstColumn="0" w:lastRowLastColumn="0"/>
            <w:tcW w:w="1340" w:type="dxa"/>
          </w:tcPr>
          <w:p w14:paraId="58C258D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-.4051</w:t>
            </w:r>
          </w:p>
        </w:tc>
      </w:tr>
      <w:tr w:rsidR="00E64CA0" w:rsidRPr="006E011C" w14:paraId="39BA2975" w14:textId="77777777" w:rsidTr="00F42E70">
        <w:tc>
          <w:tcPr>
            <w:cnfStyle w:val="000010000000" w:firstRow="0" w:lastRow="0" w:firstColumn="0" w:lastColumn="0" w:oddVBand="1" w:evenVBand="0" w:oddHBand="0" w:evenHBand="0" w:firstRowFirstColumn="0" w:firstRowLastColumn="0" w:lastRowFirstColumn="0" w:lastRowLastColumn="0"/>
            <w:tcW w:w="1422" w:type="dxa"/>
            <w:vMerge w:val="restart"/>
          </w:tcPr>
          <w:p w14:paraId="06A3FE8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COLD/BRIGHT</w:t>
            </w:r>
          </w:p>
        </w:tc>
        <w:tc>
          <w:tcPr>
            <w:tcW w:w="1749" w:type="dxa"/>
          </w:tcPr>
          <w:p w14:paraId="5C67880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WARM/DIM</w:t>
            </w:r>
          </w:p>
        </w:tc>
        <w:tc>
          <w:tcPr>
            <w:cnfStyle w:val="000010000000" w:firstRow="0" w:lastRow="0" w:firstColumn="0" w:lastColumn="0" w:oddVBand="1" w:evenVBand="0" w:oddHBand="0" w:evenHBand="0" w:firstRowFirstColumn="0" w:firstRowLastColumn="0" w:lastRowFirstColumn="0" w:lastRowLastColumn="0"/>
            <w:tcW w:w="1486" w:type="dxa"/>
          </w:tcPr>
          <w:p w14:paraId="0ADA8DB3"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.8162</w:t>
            </w:r>
            <w:r w:rsidRPr="006E011C">
              <w:rPr>
                <w:rFonts w:asciiTheme="majorBidi" w:hAnsiTheme="majorBidi" w:cstheme="majorBidi"/>
                <w:color w:val="000000" w:themeColor="text1"/>
                <w:sz w:val="18"/>
                <w:szCs w:val="18"/>
                <w:vertAlign w:val="superscript"/>
              </w:rPr>
              <w:t>*</w:t>
            </w:r>
          </w:p>
        </w:tc>
        <w:tc>
          <w:tcPr>
            <w:tcW w:w="1067" w:type="dxa"/>
          </w:tcPr>
          <w:p w14:paraId="7D7AC9F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.16584</w:t>
            </w:r>
          </w:p>
        </w:tc>
        <w:tc>
          <w:tcPr>
            <w:cnfStyle w:val="000010000000" w:firstRow="0" w:lastRow="0" w:firstColumn="0" w:lastColumn="0" w:oddVBand="1" w:evenVBand="0" w:oddHBand="0" w:evenHBand="0" w:firstRowFirstColumn="0" w:firstRowLastColumn="0" w:lastRowFirstColumn="0" w:lastRowLastColumn="0"/>
            <w:tcW w:w="1021" w:type="dxa"/>
          </w:tcPr>
          <w:p w14:paraId="6AA3F76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.000</w:t>
            </w:r>
          </w:p>
        </w:tc>
        <w:tc>
          <w:tcPr>
            <w:tcW w:w="1408" w:type="dxa"/>
          </w:tcPr>
          <w:p w14:paraId="2F580F01"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.4901</w:t>
            </w:r>
          </w:p>
        </w:tc>
        <w:tc>
          <w:tcPr>
            <w:cnfStyle w:val="000010000000" w:firstRow="0" w:lastRow="0" w:firstColumn="0" w:lastColumn="0" w:oddVBand="1" w:evenVBand="0" w:oddHBand="0" w:evenHBand="0" w:firstRowFirstColumn="0" w:firstRowLastColumn="0" w:lastRowFirstColumn="0" w:lastRowLastColumn="0"/>
            <w:tcW w:w="1340" w:type="dxa"/>
          </w:tcPr>
          <w:p w14:paraId="60445D3F"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1.1422</w:t>
            </w:r>
          </w:p>
        </w:tc>
      </w:tr>
      <w:tr w:rsidR="00E64CA0" w:rsidRPr="006E011C" w14:paraId="379C6DC6"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22" w:type="dxa"/>
            <w:vMerge/>
          </w:tcPr>
          <w:p w14:paraId="35D532BD"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749" w:type="dxa"/>
          </w:tcPr>
          <w:p w14:paraId="4F085034"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COLD/DIM</w:t>
            </w:r>
          </w:p>
        </w:tc>
        <w:tc>
          <w:tcPr>
            <w:cnfStyle w:val="000010000000" w:firstRow="0" w:lastRow="0" w:firstColumn="0" w:lastColumn="0" w:oddVBand="1" w:evenVBand="0" w:oddHBand="0" w:evenHBand="0" w:firstRowFirstColumn="0" w:firstRowLastColumn="0" w:lastRowFirstColumn="0" w:lastRowLastColumn="0"/>
            <w:tcW w:w="1486" w:type="dxa"/>
          </w:tcPr>
          <w:p w14:paraId="0CF9C90A"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.7921</w:t>
            </w:r>
            <w:r w:rsidRPr="006E011C">
              <w:rPr>
                <w:rFonts w:asciiTheme="majorBidi" w:hAnsiTheme="majorBidi" w:cstheme="majorBidi"/>
                <w:color w:val="000000" w:themeColor="text1"/>
                <w:sz w:val="18"/>
                <w:szCs w:val="18"/>
                <w:vertAlign w:val="superscript"/>
              </w:rPr>
              <w:t>*</w:t>
            </w:r>
          </w:p>
        </w:tc>
        <w:tc>
          <w:tcPr>
            <w:tcW w:w="1067" w:type="dxa"/>
          </w:tcPr>
          <w:p w14:paraId="65A2388E"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.16584</w:t>
            </w:r>
          </w:p>
        </w:tc>
        <w:tc>
          <w:tcPr>
            <w:cnfStyle w:val="000010000000" w:firstRow="0" w:lastRow="0" w:firstColumn="0" w:lastColumn="0" w:oddVBand="1" w:evenVBand="0" w:oddHBand="0" w:evenHBand="0" w:firstRowFirstColumn="0" w:firstRowLastColumn="0" w:lastRowFirstColumn="0" w:lastRowLastColumn="0"/>
            <w:tcW w:w="1021" w:type="dxa"/>
          </w:tcPr>
          <w:p w14:paraId="1B609B1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.000</w:t>
            </w:r>
          </w:p>
        </w:tc>
        <w:tc>
          <w:tcPr>
            <w:tcW w:w="1408" w:type="dxa"/>
          </w:tcPr>
          <w:p w14:paraId="6429C233"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.4660</w:t>
            </w:r>
          </w:p>
        </w:tc>
        <w:tc>
          <w:tcPr>
            <w:cnfStyle w:val="000010000000" w:firstRow="0" w:lastRow="0" w:firstColumn="0" w:lastColumn="0" w:oddVBand="1" w:evenVBand="0" w:oddHBand="0" w:evenHBand="0" w:firstRowFirstColumn="0" w:firstRowLastColumn="0" w:lastRowFirstColumn="0" w:lastRowLastColumn="0"/>
            <w:tcW w:w="1340" w:type="dxa"/>
          </w:tcPr>
          <w:p w14:paraId="310C155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1.1182</w:t>
            </w:r>
          </w:p>
        </w:tc>
      </w:tr>
      <w:tr w:rsidR="00E64CA0" w:rsidRPr="006E011C" w14:paraId="523E868F" w14:textId="77777777" w:rsidTr="00F42E70">
        <w:tc>
          <w:tcPr>
            <w:cnfStyle w:val="000010000000" w:firstRow="0" w:lastRow="0" w:firstColumn="0" w:lastColumn="0" w:oddVBand="1" w:evenVBand="0" w:oddHBand="0" w:evenHBand="0" w:firstRowFirstColumn="0" w:firstRowLastColumn="0" w:lastRowFirstColumn="0" w:lastRowLastColumn="0"/>
            <w:tcW w:w="1422" w:type="dxa"/>
            <w:vMerge/>
          </w:tcPr>
          <w:p w14:paraId="072C085E"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749" w:type="dxa"/>
          </w:tcPr>
          <w:p w14:paraId="3F49C3E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WARM/BRIGHT</w:t>
            </w:r>
          </w:p>
        </w:tc>
        <w:tc>
          <w:tcPr>
            <w:cnfStyle w:val="000010000000" w:firstRow="0" w:lastRow="0" w:firstColumn="0" w:lastColumn="0" w:oddVBand="1" w:evenVBand="0" w:oddHBand="0" w:evenHBand="0" w:firstRowFirstColumn="0" w:firstRowLastColumn="0" w:lastRowFirstColumn="0" w:lastRowLastColumn="0"/>
            <w:tcW w:w="1486" w:type="dxa"/>
          </w:tcPr>
          <w:p w14:paraId="0BED793F"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.0664</w:t>
            </w:r>
          </w:p>
        </w:tc>
        <w:tc>
          <w:tcPr>
            <w:tcW w:w="1067" w:type="dxa"/>
          </w:tcPr>
          <w:p w14:paraId="305110D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.16303</w:t>
            </w:r>
          </w:p>
        </w:tc>
        <w:tc>
          <w:tcPr>
            <w:cnfStyle w:val="000010000000" w:firstRow="0" w:lastRow="0" w:firstColumn="0" w:lastColumn="0" w:oddVBand="1" w:evenVBand="0" w:oddHBand="0" w:evenHBand="0" w:firstRowFirstColumn="0" w:firstRowLastColumn="0" w:lastRowFirstColumn="0" w:lastRowLastColumn="0"/>
            <w:tcW w:w="1021" w:type="dxa"/>
          </w:tcPr>
          <w:p w14:paraId="30FF2534"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.684</w:t>
            </w:r>
          </w:p>
        </w:tc>
        <w:tc>
          <w:tcPr>
            <w:tcW w:w="1408" w:type="dxa"/>
          </w:tcPr>
          <w:p w14:paraId="4742F85C"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-.2541</w:t>
            </w:r>
          </w:p>
        </w:tc>
        <w:tc>
          <w:tcPr>
            <w:cnfStyle w:val="000010000000" w:firstRow="0" w:lastRow="0" w:firstColumn="0" w:lastColumn="0" w:oddVBand="1" w:evenVBand="0" w:oddHBand="0" w:evenHBand="0" w:firstRowFirstColumn="0" w:firstRowLastColumn="0" w:lastRowFirstColumn="0" w:lastRowLastColumn="0"/>
            <w:tcW w:w="1340" w:type="dxa"/>
          </w:tcPr>
          <w:p w14:paraId="6F3EAB4C"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.3870</w:t>
            </w:r>
          </w:p>
        </w:tc>
      </w:tr>
      <w:tr w:rsidR="00E64CA0" w:rsidRPr="006E011C" w14:paraId="121E225A"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22" w:type="dxa"/>
            <w:vMerge w:val="restart"/>
          </w:tcPr>
          <w:p w14:paraId="43BCF0D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WARM/BRIGHT</w:t>
            </w:r>
          </w:p>
        </w:tc>
        <w:tc>
          <w:tcPr>
            <w:tcW w:w="1749" w:type="dxa"/>
          </w:tcPr>
          <w:p w14:paraId="4270609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WARM/DIM</w:t>
            </w:r>
          </w:p>
        </w:tc>
        <w:tc>
          <w:tcPr>
            <w:cnfStyle w:val="000010000000" w:firstRow="0" w:lastRow="0" w:firstColumn="0" w:lastColumn="0" w:oddVBand="1" w:evenVBand="0" w:oddHBand="0" w:evenHBand="0" w:firstRowFirstColumn="0" w:firstRowLastColumn="0" w:lastRowFirstColumn="0" w:lastRowLastColumn="0"/>
            <w:tcW w:w="1486" w:type="dxa"/>
          </w:tcPr>
          <w:p w14:paraId="6C365DB0"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.7497</w:t>
            </w:r>
            <w:r w:rsidRPr="006E011C">
              <w:rPr>
                <w:rFonts w:asciiTheme="majorBidi" w:hAnsiTheme="majorBidi" w:cstheme="majorBidi"/>
                <w:color w:val="000000" w:themeColor="text1"/>
                <w:sz w:val="18"/>
                <w:szCs w:val="18"/>
                <w:vertAlign w:val="superscript"/>
              </w:rPr>
              <w:t>*</w:t>
            </w:r>
          </w:p>
        </w:tc>
        <w:tc>
          <w:tcPr>
            <w:tcW w:w="1067" w:type="dxa"/>
          </w:tcPr>
          <w:p w14:paraId="7CB52B29"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.16303</w:t>
            </w:r>
          </w:p>
        </w:tc>
        <w:tc>
          <w:tcPr>
            <w:cnfStyle w:val="000010000000" w:firstRow="0" w:lastRow="0" w:firstColumn="0" w:lastColumn="0" w:oddVBand="1" w:evenVBand="0" w:oddHBand="0" w:evenHBand="0" w:firstRowFirstColumn="0" w:firstRowLastColumn="0" w:lastRowFirstColumn="0" w:lastRowLastColumn="0"/>
            <w:tcW w:w="1021" w:type="dxa"/>
          </w:tcPr>
          <w:p w14:paraId="4D45B86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.000</w:t>
            </w:r>
          </w:p>
        </w:tc>
        <w:tc>
          <w:tcPr>
            <w:tcW w:w="1408" w:type="dxa"/>
          </w:tcPr>
          <w:p w14:paraId="06C0590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.4292</w:t>
            </w:r>
          </w:p>
        </w:tc>
        <w:tc>
          <w:tcPr>
            <w:cnfStyle w:val="000010000000" w:firstRow="0" w:lastRow="0" w:firstColumn="0" w:lastColumn="0" w:oddVBand="1" w:evenVBand="0" w:oddHBand="0" w:evenHBand="0" w:firstRowFirstColumn="0" w:firstRowLastColumn="0" w:lastRowFirstColumn="0" w:lastRowLastColumn="0"/>
            <w:tcW w:w="1340" w:type="dxa"/>
          </w:tcPr>
          <w:p w14:paraId="1C23526F"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1.0702</w:t>
            </w:r>
          </w:p>
        </w:tc>
      </w:tr>
      <w:tr w:rsidR="00E64CA0" w:rsidRPr="006E011C" w14:paraId="622BAE00" w14:textId="77777777" w:rsidTr="00F42E70">
        <w:tc>
          <w:tcPr>
            <w:cnfStyle w:val="000010000000" w:firstRow="0" w:lastRow="0" w:firstColumn="0" w:lastColumn="0" w:oddVBand="1" w:evenVBand="0" w:oddHBand="0" w:evenHBand="0" w:firstRowFirstColumn="0" w:firstRowLastColumn="0" w:lastRowFirstColumn="0" w:lastRowLastColumn="0"/>
            <w:tcW w:w="1422" w:type="dxa"/>
            <w:vMerge/>
          </w:tcPr>
          <w:p w14:paraId="291888C0"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749" w:type="dxa"/>
          </w:tcPr>
          <w:p w14:paraId="2D42EE1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COLD/DIM</w:t>
            </w:r>
          </w:p>
        </w:tc>
        <w:tc>
          <w:tcPr>
            <w:cnfStyle w:val="000010000000" w:firstRow="0" w:lastRow="0" w:firstColumn="0" w:lastColumn="0" w:oddVBand="1" w:evenVBand="0" w:oddHBand="0" w:evenHBand="0" w:firstRowFirstColumn="0" w:firstRowLastColumn="0" w:lastRowFirstColumn="0" w:lastRowLastColumn="0"/>
            <w:tcW w:w="1486" w:type="dxa"/>
          </w:tcPr>
          <w:p w14:paraId="7BB5A97F"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.7257</w:t>
            </w:r>
            <w:r w:rsidRPr="006E011C">
              <w:rPr>
                <w:rFonts w:asciiTheme="majorBidi" w:hAnsiTheme="majorBidi" w:cstheme="majorBidi"/>
                <w:color w:val="000000" w:themeColor="text1"/>
                <w:sz w:val="18"/>
                <w:szCs w:val="18"/>
                <w:vertAlign w:val="superscript"/>
              </w:rPr>
              <w:t>*</w:t>
            </w:r>
          </w:p>
        </w:tc>
        <w:tc>
          <w:tcPr>
            <w:tcW w:w="1067" w:type="dxa"/>
          </w:tcPr>
          <w:p w14:paraId="03345A9C"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.16303</w:t>
            </w:r>
          </w:p>
        </w:tc>
        <w:tc>
          <w:tcPr>
            <w:cnfStyle w:val="000010000000" w:firstRow="0" w:lastRow="0" w:firstColumn="0" w:lastColumn="0" w:oddVBand="1" w:evenVBand="0" w:oddHBand="0" w:evenHBand="0" w:firstRowFirstColumn="0" w:firstRowLastColumn="0" w:lastRowFirstColumn="0" w:lastRowLastColumn="0"/>
            <w:tcW w:w="1021" w:type="dxa"/>
          </w:tcPr>
          <w:p w14:paraId="0A84D4B0"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.000</w:t>
            </w:r>
          </w:p>
        </w:tc>
        <w:tc>
          <w:tcPr>
            <w:tcW w:w="1408" w:type="dxa"/>
          </w:tcPr>
          <w:p w14:paraId="24E01864"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.4051</w:t>
            </w:r>
          </w:p>
        </w:tc>
        <w:tc>
          <w:tcPr>
            <w:cnfStyle w:val="000010000000" w:firstRow="0" w:lastRow="0" w:firstColumn="0" w:lastColumn="0" w:oddVBand="1" w:evenVBand="0" w:oddHBand="0" w:evenHBand="0" w:firstRowFirstColumn="0" w:firstRowLastColumn="0" w:lastRowFirstColumn="0" w:lastRowLastColumn="0"/>
            <w:tcW w:w="1340" w:type="dxa"/>
          </w:tcPr>
          <w:p w14:paraId="4414847E"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1.0462</w:t>
            </w:r>
          </w:p>
        </w:tc>
      </w:tr>
      <w:tr w:rsidR="00E64CA0" w:rsidRPr="006E011C" w14:paraId="26F36AEC"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22" w:type="dxa"/>
            <w:vMerge/>
          </w:tcPr>
          <w:p w14:paraId="40BF1E73"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749" w:type="dxa"/>
          </w:tcPr>
          <w:p w14:paraId="7F00038E"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COLD/BRIGHT</w:t>
            </w:r>
          </w:p>
        </w:tc>
        <w:tc>
          <w:tcPr>
            <w:cnfStyle w:val="000010000000" w:firstRow="0" w:lastRow="0" w:firstColumn="0" w:lastColumn="0" w:oddVBand="1" w:evenVBand="0" w:oddHBand="0" w:evenHBand="0" w:firstRowFirstColumn="0" w:firstRowLastColumn="0" w:lastRowFirstColumn="0" w:lastRowLastColumn="0"/>
            <w:tcW w:w="1486" w:type="dxa"/>
          </w:tcPr>
          <w:p w14:paraId="3E95605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-.0664</w:t>
            </w:r>
          </w:p>
        </w:tc>
        <w:tc>
          <w:tcPr>
            <w:tcW w:w="1067" w:type="dxa"/>
          </w:tcPr>
          <w:p w14:paraId="039E9A5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.16303</w:t>
            </w:r>
          </w:p>
        </w:tc>
        <w:tc>
          <w:tcPr>
            <w:cnfStyle w:val="000010000000" w:firstRow="0" w:lastRow="0" w:firstColumn="0" w:lastColumn="0" w:oddVBand="1" w:evenVBand="0" w:oddHBand="0" w:evenHBand="0" w:firstRowFirstColumn="0" w:firstRowLastColumn="0" w:lastRowFirstColumn="0" w:lastRowLastColumn="0"/>
            <w:tcW w:w="1021" w:type="dxa"/>
          </w:tcPr>
          <w:p w14:paraId="7693CB2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.684</w:t>
            </w:r>
          </w:p>
        </w:tc>
        <w:tc>
          <w:tcPr>
            <w:tcW w:w="1408" w:type="dxa"/>
          </w:tcPr>
          <w:p w14:paraId="1EE679CE"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-.3870</w:t>
            </w:r>
          </w:p>
        </w:tc>
        <w:tc>
          <w:tcPr>
            <w:cnfStyle w:val="000010000000" w:firstRow="0" w:lastRow="0" w:firstColumn="0" w:lastColumn="0" w:oddVBand="1" w:evenVBand="0" w:oddHBand="0" w:evenHBand="0" w:firstRowFirstColumn="0" w:firstRowLastColumn="0" w:lastRowFirstColumn="0" w:lastRowLastColumn="0"/>
            <w:tcW w:w="1340" w:type="dxa"/>
          </w:tcPr>
          <w:p w14:paraId="0ADBA270"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.2541</w:t>
            </w:r>
          </w:p>
        </w:tc>
      </w:tr>
      <w:tr w:rsidR="00E64CA0" w:rsidRPr="006E011C" w14:paraId="7F06C990" w14:textId="77777777" w:rsidTr="00F42E70">
        <w:tc>
          <w:tcPr>
            <w:cnfStyle w:val="000010000000" w:firstRow="0" w:lastRow="0" w:firstColumn="0" w:lastColumn="0" w:oddVBand="1" w:evenVBand="0" w:oddHBand="0" w:evenHBand="0" w:firstRowFirstColumn="0" w:firstRowLastColumn="0" w:lastRowFirstColumn="0" w:lastRowLastColumn="0"/>
            <w:tcW w:w="9493" w:type="dxa"/>
            <w:gridSpan w:val="7"/>
          </w:tcPr>
          <w:p w14:paraId="6359971B"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Based on observed means.   The error term is Mean Square (Error) = 1.334.</w:t>
            </w:r>
          </w:p>
        </w:tc>
      </w:tr>
      <w:tr w:rsidR="00E64CA0" w:rsidRPr="006E011C" w14:paraId="4AF19646" w14:textId="77777777" w:rsidTr="00F42E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93" w:type="dxa"/>
            <w:gridSpan w:val="7"/>
          </w:tcPr>
          <w:p w14:paraId="426F829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 The mean difference is significant at the .05 level.</w:t>
            </w:r>
          </w:p>
        </w:tc>
      </w:tr>
    </w:tbl>
    <w:p w14:paraId="311ED6D8"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Among the six examined customer characteristics, only age showed a significant effect on emotional response. All age groups expressed a preference for the cold/bright condition over the other lighting–colour settings; however, this preference was stronger among younger participants (below 18 and 18–25 years) compared to older groups.</w:t>
      </w:r>
    </w:p>
    <w:p w14:paraId="0724E707"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This finding may be partly explained by the fact that the “cold” colour used in this study was green, which holds specific cultural and religious significance in the Iranian context and is widely regarded as a sacred or positively symbolic colour.</w:t>
      </w:r>
    </w:p>
    <w:p w14:paraId="2DBFA0C1"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Finally, based on statistical analysis, see table 3, both perceived waiting time and emotion had a significant impact on customer attraction; accordingly, H3 and H4 are supported. However, as indicated in the regression results, emotion (β = 0.520) exerts a stronger influence on customer attraction than perceived waiting time (β = 0.346). This suggests that aligning lighting and colour conditions with human emotional responses can play a key role in enhancing customer satisfaction within restaurant environments and in shaping users’ emotional experience.</w:t>
      </w:r>
    </w:p>
    <w:p w14:paraId="2B86E235" w14:textId="77777777" w:rsidR="00E64CA0" w:rsidRPr="006E011C" w:rsidRDefault="00E64CA0" w:rsidP="00E64CA0">
      <w:pPr>
        <w:pStyle w:val="a0"/>
        <w:bidi w:val="0"/>
        <w:spacing w:line="360" w:lineRule="auto"/>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Table3: Coefficients (authors)</w:t>
      </w:r>
    </w:p>
    <w:tbl>
      <w:tblPr>
        <w:tblStyle w:val="PlainTable1"/>
        <w:tblW w:w="8618" w:type="dxa"/>
        <w:jc w:val="center"/>
        <w:tblLayout w:type="fixed"/>
        <w:tblLook w:val="0000" w:firstRow="0" w:lastRow="0" w:firstColumn="0" w:lastColumn="0" w:noHBand="0" w:noVBand="0"/>
      </w:tblPr>
      <w:tblGrid>
        <w:gridCol w:w="846"/>
        <w:gridCol w:w="1621"/>
        <w:gridCol w:w="1331"/>
        <w:gridCol w:w="1159"/>
        <w:gridCol w:w="1559"/>
        <w:gridCol w:w="1092"/>
        <w:gridCol w:w="1010"/>
      </w:tblGrid>
      <w:tr w:rsidR="00E64CA0" w:rsidRPr="006E011C" w14:paraId="65CF8EEB" w14:textId="77777777" w:rsidTr="00F42E7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618" w:type="dxa"/>
            <w:gridSpan w:val="7"/>
          </w:tcPr>
          <w:p w14:paraId="70A0D9C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b/>
                <w:bCs/>
                <w:color w:val="000000" w:themeColor="text1"/>
                <w:sz w:val="18"/>
                <w:szCs w:val="18"/>
              </w:rPr>
              <w:t>Coefficients</w:t>
            </w:r>
          </w:p>
        </w:tc>
      </w:tr>
      <w:tr w:rsidR="00E64CA0" w:rsidRPr="006E011C" w14:paraId="23FCA3E5" w14:textId="77777777" w:rsidTr="00F42E70">
        <w:trPr>
          <w:jc w:val="center"/>
        </w:trPr>
        <w:tc>
          <w:tcPr>
            <w:cnfStyle w:val="000010000000" w:firstRow="0" w:lastRow="0" w:firstColumn="0" w:lastColumn="0" w:oddVBand="1" w:evenVBand="0" w:oddHBand="0" w:evenHBand="0" w:firstRowFirstColumn="0" w:firstRowLastColumn="0" w:lastRowFirstColumn="0" w:lastRowLastColumn="0"/>
            <w:tcW w:w="2467" w:type="dxa"/>
            <w:gridSpan w:val="2"/>
            <w:vMerge w:val="restart"/>
          </w:tcPr>
          <w:p w14:paraId="66AAAF4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Model</w:t>
            </w:r>
          </w:p>
        </w:tc>
        <w:tc>
          <w:tcPr>
            <w:tcW w:w="2490" w:type="dxa"/>
            <w:gridSpan w:val="2"/>
          </w:tcPr>
          <w:p w14:paraId="3D140653"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Unstandardized Coefficients</w:t>
            </w:r>
          </w:p>
        </w:tc>
        <w:tc>
          <w:tcPr>
            <w:cnfStyle w:val="000010000000" w:firstRow="0" w:lastRow="0" w:firstColumn="0" w:lastColumn="0" w:oddVBand="1" w:evenVBand="0" w:oddHBand="0" w:evenHBand="0" w:firstRowFirstColumn="0" w:firstRowLastColumn="0" w:lastRowFirstColumn="0" w:lastRowLastColumn="0"/>
            <w:tcW w:w="1559" w:type="dxa"/>
          </w:tcPr>
          <w:p w14:paraId="44436077"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Standardized Coefficients</w:t>
            </w:r>
          </w:p>
        </w:tc>
        <w:tc>
          <w:tcPr>
            <w:tcW w:w="1092" w:type="dxa"/>
            <w:vMerge w:val="restart"/>
          </w:tcPr>
          <w:p w14:paraId="67D8858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Model</w:t>
            </w:r>
          </w:p>
        </w:tc>
        <w:tc>
          <w:tcPr>
            <w:cnfStyle w:val="000010000000" w:firstRow="0" w:lastRow="0" w:firstColumn="0" w:lastColumn="0" w:oddVBand="1" w:evenVBand="0" w:oddHBand="0" w:evenHBand="0" w:firstRowFirstColumn="0" w:firstRowLastColumn="0" w:lastRowFirstColumn="0" w:lastRowLastColumn="0"/>
            <w:tcW w:w="1010" w:type="dxa"/>
            <w:vMerge w:val="restart"/>
          </w:tcPr>
          <w:p w14:paraId="788867A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Sig.</w:t>
            </w:r>
          </w:p>
        </w:tc>
      </w:tr>
      <w:tr w:rsidR="00E64CA0" w:rsidRPr="006E011C" w14:paraId="1933F08D" w14:textId="77777777" w:rsidTr="00F42E7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467" w:type="dxa"/>
            <w:gridSpan w:val="2"/>
            <w:vMerge/>
          </w:tcPr>
          <w:p w14:paraId="2E284D5A"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331" w:type="dxa"/>
          </w:tcPr>
          <w:p w14:paraId="5B2C4245"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tl/>
                <w:lang w:bidi="fa-IR"/>
              </w:rPr>
            </w:pPr>
            <w:r w:rsidRPr="006E011C">
              <w:rPr>
                <w:rFonts w:asciiTheme="majorBidi" w:hAnsiTheme="majorBidi" w:cstheme="majorBidi"/>
                <w:color w:val="000000" w:themeColor="text1"/>
                <w:sz w:val="18"/>
                <w:szCs w:val="18"/>
              </w:rPr>
              <w:t>B</w:t>
            </w:r>
          </w:p>
        </w:tc>
        <w:tc>
          <w:tcPr>
            <w:cnfStyle w:val="000010000000" w:firstRow="0" w:lastRow="0" w:firstColumn="0" w:lastColumn="0" w:oddVBand="1" w:evenVBand="0" w:oddHBand="0" w:evenHBand="0" w:firstRowFirstColumn="0" w:firstRowLastColumn="0" w:lastRowFirstColumn="0" w:lastRowLastColumn="0"/>
            <w:tcW w:w="1159" w:type="dxa"/>
          </w:tcPr>
          <w:p w14:paraId="4BF74355"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Std. Error</w:t>
            </w:r>
          </w:p>
        </w:tc>
        <w:tc>
          <w:tcPr>
            <w:tcW w:w="1559" w:type="dxa"/>
          </w:tcPr>
          <w:p w14:paraId="67DEEDCA" w14:textId="77777777" w:rsidR="00E64CA0" w:rsidRPr="006E011C" w:rsidRDefault="00E64CA0" w:rsidP="00F42E70">
            <w:pPr>
              <w:autoSpaceDE w:val="0"/>
              <w:autoSpaceDN w:val="0"/>
              <w:adjustRightInd w:val="0"/>
              <w:spacing w:before="100" w:beforeAutospacing="1" w:after="100" w:afterAutospacing="1" w:line="360" w:lineRule="auto"/>
              <w:ind w:left="284"/>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 xml:space="preserve">    Beta</w:t>
            </w:r>
          </w:p>
        </w:tc>
        <w:tc>
          <w:tcPr>
            <w:cnfStyle w:val="000010000000" w:firstRow="0" w:lastRow="0" w:firstColumn="0" w:lastColumn="0" w:oddVBand="1" w:evenVBand="0" w:oddHBand="0" w:evenHBand="0" w:firstRowFirstColumn="0" w:firstRowLastColumn="0" w:lastRowFirstColumn="0" w:lastRowLastColumn="0"/>
            <w:tcW w:w="1092" w:type="dxa"/>
            <w:vMerge/>
          </w:tcPr>
          <w:p w14:paraId="6E555D62"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010" w:type="dxa"/>
            <w:vMerge/>
          </w:tcPr>
          <w:p w14:paraId="5BEC743B" w14:textId="77777777" w:rsidR="00E64CA0" w:rsidRPr="006E011C" w:rsidRDefault="00E64CA0" w:rsidP="00F42E70">
            <w:pPr>
              <w:autoSpaceDE w:val="0"/>
              <w:autoSpaceDN w:val="0"/>
              <w:adjustRightInd w:val="0"/>
              <w:spacing w:before="100" w:beforeAutospacing="1" w:after="100" w:afterAutospacing="1" w:line="360" w:lineRule="auto"/>
              <w:ind w:left="284"/>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p>
        </w:tc>
      </w:tr>
      <w:tr w:rsidR="00E64CA0" w:rsidRPr="006E011C" w14:paraId="0F69F6C4" w14:textId="77777777" w:rsidTr="00F42E70">
        <w:trPr>
          <w:jc w:val="center"/>
        </w:trPr>
        <w:tc>
          <w:tcPr>
            <w:cnfStyle w:val="000010000000" w:firstRow="0" w:lastRow="0" w:firstColumn="0" w:lastColumn="0" w:oddVBand="1" w:evenVBand="0" w:oddHBand="0" w:evenHBand="0" w:firstRowFirstColumn="0" w:firstRowLastColumn="0" w:lastRowFirstColumn="0" w:lastRowLastColumn="0"/>
            <w:tcW w:w="846" w:type="dxa"/>
            <w:vMerge w:val="restart"/>
          </w:tcPr>
          <w:p w14:paraId="78A0010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w:t>
            </w:r>
          </w:p>
        </w:tc>
        <w:tc>
          <w:tcPr>
            <w:tcW w:w="1621" w:type="dxa"/>
          </w:tcPr>
          <w:p w14:paraId="2D543F0A"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Constant</w:t>
            </w:r>
          </w:p>
        </w:tc>
        <w:tc>
          <w:tcPr>
            <w:cnfStyle w:val="000010000000" w:firstRow="0" w:lastRow="0" w:firstColumn="0" w:lastColumn="0" w:oddVBand="1" w:evenVBand="0" w:oddHBand="0" w:evenHBand="0" w:firstRowFirstColumn="0" w:firstRowLastColumn="0" w:lastRowFirstColumn="0" w:lastRowLastColumn="0"/>
            <w:tcW w:w="1331" w:type="dxa"/>
          </w:tcPr>
          <w:p w14:paraId="14031FDA"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.587</w:t>
            </w:r>
          </w:p>
        </w:tc>
        <w:tc>
          <w:tcPr>
            <w:tcW w:w="1159" w:type="dxa"/>
          </w:tcPr>
          <w:p w14:paraId="56E9B10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.057</w:t>
            </w:r>
          </w:p>
        </w:tc>
        <w:tc>
          <w:tcPr>
            <w:cnfStyle w:val="000010000000" w:firstRow="0" w:lastRow="0" w:firstColumn="0" w:lastColumn="0" w:oddVBand="1" w:evenVBand="0" w:oddHBand="0" w:evenHBand="0" w:firstRowFirstColumn="0" w:firstRowLastColumn="0" w:lastRowFirstColumn="0" w:lastRowLastColumn="0"/>
            <w:tcW w:w="1559" w:type="dxa"/>
          </w:tcPr>
          <w:p w14:paraId="5E395AA5"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092" w:type="dxa"/>
          </w:tcPr>
          <w:p w14:paraId="59574481"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10.331</w:t>
            </w:r>
          </w:p>
        </w:tc>
        <w:tc>
          <w:tcPr>
            <w:cnfStyle w:val="000010000000" w:firstRow="0" w:lastRow="0" w:firstColumn="0" w:lastColumn="0" w:oddVBand="1" w:evenVBand="0" w:oddHBand="0" w:evenHBand="0" w:firstRowFirstColumn="0" w:firstRowLastColumn="0" w:lastRowFirstColumn="0" w:lastRowLastColumn="0"/>
            <w:tcW w:w="1010" w:type="dxa"/>
          </w:tcPr>
          <w:p w14:paraId="03EBFD8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.000</w:t>
            </w:r>
          </w:p>
        </w:tc>
      </w:tr>
      <w:tr w:rsidR="00E64CA0" w:rsidRPr="006E011C" w14:paraId="35CF5E94" w14:textId="77777777" w:rsidTr="00F42E7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46" w:type="dxa"/>
            <w:vMerge/>
          </w:tcPr>
          <w:p w14:paraId="6F2C850F"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621" w:type="dxa"/>
          </w:tcPr>
          <w:p w14:paraId="19F971B5"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Emotion</w:t>
            </w:r>
          </w:p>
        </w:tc>
        <w:tc>
          <w:tcPr>
            <w:cnfStyle w:val="000010000000" w:firstRow="0" w:lastRow="0" w:firstColumn="0" w:lastColumn="0" w:oddVBand="1" w:evenVBand="0" w:oddHBand="0" w:evenHBand="0" w:firstRowFirstColumn="0" w:firstRowLastColumn="0" w:lastRowFirstColumn="0" w:lastRowLastColumn="0"/>
            <w:tcW w:w="1331" w:type="dxa"/>
          </w:tcPr>
          <w:p w14:paraId="118BFDE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.681</w:t>
            </w:r>
          </w:p>
        </w:tc>
        <w:tc>
          <w:tcPr>
            <w:tcW w:w="1159" w:type="dxa"/>
          </w:tcPr>
          <w:p w14:paraId="429855E4"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.053</w:t>
            </w:r>
          </w:p>
        </w:tc>
        <w:tc>
          <w:tcPr>
            <w:cnfStyle w:val="000010000000" w:firstRow="0" w:lastRow="0" w:firstColumn="0" w:lastColumn="0" w:oddVBand="1" w:evenVBand="0" w:oddHBand="0" w:evenHBand="0" w:firstRowFirstColumn="0" w:firstRowLastColumn="0" w:lastRowFirstColumn="0" w:lastRowLastColumn="0"/>
            <w:tcW w:w="1559" w:type="dxa"/>
          </w:tcPr>
          <w:p w14:paraId="6923F6E6"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.520</w:t>
            </w:r>
          </w:p>
        </w:tc>
        <w:tc>
          <w:tcPr>
            <w:tcW w:w="1092" w:type="dxa"/>
          </w:tcPr>
          <w:p w14:paraId="23C3C50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12.859</w:t>
            </w:r>
          </w:p>
        </w:tc>
        <w:tc>
          <w:tcPr>
            <w:cnfStyle w:val="000010000000" w:firstRow="0" w:lastRow="0" w:firstColumn="0" w:lastColumn="0" w:oddVBand="1" w:evenVBand="0" w:oddHBand="0" w:evenHBand="0" w:firstRowFirstColumn="0" w:firstRowLastColumn="0" w:lastRowFirstColumn="0" w:lastRowLastColumn="0"/>
            <w:tcW w:w="1010" w:type="dxa"/>
          </w:tcPr>
          <w:p w14:paraId="286B41FD"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.000</w:t>
            </w:r>
          </w:p>
        </w:tc>
      </w:tr>
      <w:tr w:rsidR="00E64CA0" w:rsidRPr="006E011C" w14:paraId="5F529509" w14:textId="77777777" w:rsidTr="00F42E70">
        <w:trPr>
          <w:jc w:val="center"/>
        </w:trPr>
        <w:tc>
          <w:tcPr>
            <w:cnfStyle w:val="000010000000" w:firstRow="0" w:lastRow="0" w:firstColumn="0" w:lastColumn="0" w:oddVBand="1" w:evenVBand="0" w:oddHBand="0" w:evenHBand="0" w:firstRowFirstColumn="0" w:firstRowLastColumn="0" w:lastRowFirstColumn="0" w:lastRowLastColumn="0"/>
            <w:tcW w:w="846" w:type="dxa"/>
            <w:vMerge/>
          </w:tcPr>
          <w:p w14:paraId="6F6C1B2B" w14:textId="77777777" w:rsidR="00E64CA0" w:rsidRPr="006E011C" w:rsidRDefault="00E64CA0" w:rsidP="00F42E70">
            <w:pPr>
              <w:autoSpaceDE w:val="0"/>
              <w:autoSpaceDN w:val="0"/>
              <w:adjustRightInd w:val="0"/>
              <w:spacing w:before="100" w:beforeAutospacing="1" w:after="100" w:afterAutospacing="1" w:line="360" w:lineRule="auto"/>
              <w:ind w:left="284"/>
              <w:jc w:val="both"/>
              <w:rPr>
                <w:rFonts w:asciiTheme="majorBidi" w:hAnsiTheme="majorBidi" w:cstheme="majorBidi"/>
                <w:color w:val="000000" w:themeColor="text1"/>
                <w:sz w:val="18"/>
                <w:szCs w:val="18"/>
              </w:rPr>
            </w:pPr>
          </w:p>
        </w:tc>
        <w:tc>
          <w:tcPr>
            <w:tcW w:w="1621" w:type="dxa"/>
          </w:tcPr>
          <w:p w14:paraId="215B44CC"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Waiting time</w:t>
            </w:r>
          </w:p>
        </w:tc>
        <w:tc>
          <w:tcPr>
            <w:cnfStyle w:val="000010000000" w:firstRow="0" w:lastRow="0" w:firstColumn="0" w:lastColumn="0" w:oddVBand="1" w:evenVBand="0" w:oddHBand="0" w:evenHBand="0" w:firstRowFirstColumn="0" w:firstRowLastColumn="0" w:lastRowFirstColumn="0" w:lastRowLastColumn="0"/>
            <w:tcW w:w="1331" w:type="dxa"/>
          </w:tcPr>
          <w:p w14:paraId="456B097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.398</w:t>
            </w:r>
          </w:p>
        </w:tc>
        <w:tc>
          <w:tcPr>
            <w:tcW w:w="1159" w:type="dxa"/>
          </w:tcPr>
          <w:p w14:paraId="365725BF"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.047</w:t>
            </w:r>
          </w:p>
        </w:tc>
        <w:tc>
          <w:tcPr>
            <w:cnfStyle w:val="000010000000" w:firstRow="0" w:lastRow="0" w:firstColumn="0" w:lastColumn="0" w:oddVBand="1" w:evenVBand="0" w:oddHBand="0" w:evenHBand="0" w:firstRowFirstColumn="0" w:firstRowLastColumn="0" w:lastRowFirstColumn="0" w:lastRowLastColumn="0"/>
            <w:tcW w:w="1559" w:type="dxa"/>
          </w:tcPr>
          <w:p w14:paraId="484FF278"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.346</w:t>
            </w:r>
          </w:p>
        </w:tc>
        <w:tc>
          <w:tcPr>
            <w:tcW w:w="1092" w:type="dxa"/>
          </w:tcPr>
          <w:p w14:paraId="3E15B684"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8.540</w:t>
            </w:r>
          </w:p>
        </w:tc>
        <w:tc>
          <w:tcPr>
            <w:cnfStyle w:val="000010000000" w:firstRow="0" w:lastRow="0" w:firstColumn="0" w:lastColumn="0" w:oddVBand="1" w:evenVBand="0" w:oddHBand="0" w:evenHBand="0" w:firstRowFirstColumn="0" w:firstRowLastColumn="0" w:lastRowFirstColumn="0" w:lastRowLastColumn="0"/>
            <w:tcW w:w="1010" w:type="dxa"/>
          </w:tcPr>
          <w:p w14:paraId="6207C662"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.000</w:t>
            </w:r>
          </w:p>
        </w:tc>
      </w:tr>
      <w:tr w:rsidR="00E64CA0" w:rsidRPr="006E011C" w14:paraId="08B7246A" w14:textId="77777777" w:rsidTr="00F42E7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8618" w:type="dxa"/>
            <w:gridSpan w:val="7"/>
          </w:tcPr>
          <w:p w14:paraId="7E2C68A3" w14:textId="77777777" w:rsidR="00E64CA0" w:rsidRPr="006E011C" w:rsidRDefault="00E64CA0" w:rsidP="00F42E70">
            <w:pPr>
              <w:autoSpaceDE w:val="0"/>
              <w:autoSpaceDN w:val="0"/>
              <w:adjustRightInd w:val="0"/>
              <w:spacing w:before="100" w:beforeAutospacing="1" w:after="100" w:afterAutospacing="1" w:line="360" w:lineRule="auto"/>
              <w:ind w:left="284" w:right="60"/>
              <w:jc w:val="both"/>
              <w:rPr>
                <w:rFonts w:asciiTheme="majorBidi" w:hAnsiTheme="majorBidi" w:cstheme="majorBidi"/>
                <w:color w:val="000000" w:themeColor="text1"/>
                <w:sz w:val="18"/>
                <w:szCs w:val="18"/>
              </w:rPr>
            </w:pPr>
            <w:r w:rsidRPr="006E011C">
              <w:rPr>
                <w:rFonts w:asciiTheme="majorBidi" w:hAnsiTheme="majorBidi" w:cstheme="majorBidi"/>
                <w:color w:val="000000" w:themeColor="text1"/>
                <w:sz w:val="18"/>
                <w:szCs w:val="18"/>
              </w:rPr>
              <w:t>a. Dependent Variable: Customer attraction</w:t>
            </w:r>
          </w:p>
        </w:tc>
      </w:tr>
    </w:tbl>
    <w:p w14:paraId="74FC98E6" w14:textId="77777777" w:rsidR="00E64CA0" w:rsidRPr="006E011C" w:rsidRDefault="00E64CA0" w:rsidP="00E64CA0">
      <w:pPr>
        <w:pStyle w:val="Heading1"/>
        <w:rPr>
          <w:rFonts w:asciiTheme="majorBidi" w:hAnsiTheme="majorBidi"/>
          <w:b/>
          <w:bCs/>
          <w:color w:val="000000" w:themeColor="text1"/>
          <w:sz w:val="24"/>
          <w:szCs w:val="24"/>
        </w:rPr>
      </w:pPr>
      <w:r w:rsidRPr="006E011C">
        <w:rPr>
          <w:rFonts w:asciiTheme="majorBidi" w:hAnsiTheme="majorBidi"/>
          <w:b/>
          <w:bCs/>
          <w:color w:val="000000" w:themeColor="text1"/>
          <w:sz w:val="24"/>
          <w:szCs w:val="24"/>
        </w:rPr>
        <w:lastRenderedPageBreak/>
        <w:t>Discussion</w:t>
      </w:r>
    </w:p>
    <w:p w14:paraId="198297B5"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The four hypotheses tested in this study were all supported, and the pattern of results extends, refines and in some places complicates the existing literature on IEQ, atmospherics and perceived waiting time.</w:t>
      </w:r>
    </w:p>
    <w:p w14:paraId="4202C0D0" w14:textId="45B1C8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b/>
          <w:bCs/>
          <w:i/>
          <w:iCs/>
          <w:color w:val="000000" w:themeColor="text1"/>
          <w:sz w:val="24"/>
          <w:szCs w:val="24"/>
        </w:rPr>
        <w:t>H1: Colour and light affect customer emotions.</w:t>
      </w:r>
      <w:r w:rsidRPr="006E011C">
        <w:rPr>
          <w:rFonts w:asciiTheme="majorBidi" w:hAnsiTheme="majorBidi" w:cstheme="majorBidi"/>
          <w:color w:val="000000" w:themeColor="text1"/>
          <w:sz w:val="24"/>
          <w:szCs w:val="24"/>
        </w:rPr>
        <w:t xml:space="preserve"> The data confirm that lighting and colour exert a significant effect on visitors</w:t>
      </w:r>
      <w:r w:rsidR="00F25B94" w:rsidRPr="006E011C">
        <w:rPr>
          <w:rFonts w:asciiTheme="majorBidi" w:hAnsiTheme="majorBidi" w:cstheme="majorBidi"/>
          <w:color w:val="000000" w:themeColor="text1"/>
          <w:sz w:val="24"/>
          <w:szCs w:val="24"/>
          <w:lang w:bidi="fa-IR"/>
        </w:rPr>
        <w:t>’</w:t>
      </w:r>
      <w:r w:rsidRPr="006E011C">
        <w:rPr>
          <w:rFonts w:asciiTheme="majorBidi" w:hAnsiTheme="majorBidi" w:cstheme="majorBidi"/>
          <w:color w:val="000000" w:themeColor="text1"/>
          <w:sz w:val="24"/>
          <w:szCs w:val="24"/>
        </w:rPr>
        <w:t xml:space="preserve"> emotional states, with the cold/bright condition producing the strongest impact (the largest mean difference, 0.8162, was between cold/bright and warm/dim). This aligns with the broader </w:t>
      </w:r>
      <w:proofErr w:type="spellStart"/>
      <w:r w:rsidRPr="006E011C">
        <w:rPr>
          <w:rFonts w:asciiTheme="majorBidi" w:hAnsiTheme="majorBidi" w:cstheme="majorBidi"/>
          <w:color w:val="000000" w:themeColor="text1"/>
          <w:sz w:val="24"/>
          <w:szCs w:val="24"/>
        </w:rPr>
        <w:t>servicescape</w:t>
      </w:r>
      <w:proofErr w:type="spellEnd"/>
      <w:r w:rsidRPr="006E011C">
        <w:rPr>
          <w:rFonts w:asciiTheme="majorBidi" w:hAnsiTheme="majorBidi" w:cstheme="majorBidi"/>
          <w:color w:val="000000" w:themeColor="text1"/>
          <w:sz w:val="24"/>
          <w:szCs w:val="24"/>
        </w:rPr>
        <w:t xml:space="preserve"> and S-O-R tradition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&lt;EndNote&gt;&lt;Cite&gt;&lt;Author&gt;Burns&lt;/Author&gt;&lt;Year&gt;2006&lt;/Year&gt;&lt;RecNum&gt;4031&lt;/RecNum&gt;&lt;DisplayText&gt;(Burns &amp;amp; Neisner, 2006; Chien &amp;amp; Lin, 2015)&lt;/DisplayText&gt;&lt;record&gt;&lt;rec-number&gt;4031&lt;/rec-number&gt;&lt;foreign-keys&gt;&lt;key app="EN" db-id="wxpst05zptaafreftwnxf9z0wwzeppsvvads" timestamp="1779286091"&gt;4031&lt;/key&gt;&lt;/foreign-keys&gt;&lt;ref-type name="Journal Article"&gt;17&lt;/ref-type&gt;&lt;contributors&gt;&lt;authors&gt;&lt;author&gt;Burns, David J&lt;/author&gt;&lt;author&gt;Neisner, Lewis&lt;/author&gt;&lt;/authors&gt;&lt;/contributors&gt;&lt;titles&gt;&lt;title&gt;Customer satisfaction in a retail setting: The contribution of emotion&lt;/title&gt;&lt;secondary-title&gt;International Journal of Retail &amp;amp; Distribution Management&lt;/secondary-title&gt;&lt;/titles&gt;&lt;periodical&gt;&lt;full-title&gt;International Journal of Retail &amp;amp; Distribution Management&lt;/full-title&gt;&lt;/periodical&gt;&lt;pages&gt;49-66&lt;/pages&gt;&lt;volume&gt;34&lt;/volume&gt;&lt;number&gt;1&lt;/number&gt;&lt;dates&gt;&lt;year&gt;2006&lt;/year&gt;&lt;/dates&gt;&lt;isbn&gt;0959-0552&lt;/isbn&gt;&lt;urls&gt;&lt;/urls&gt;&lt;/record&gt;&lt;/Cite&gt;&lt;Cite&gt;&lt;Author&gt;Chien&lt;/Author&gt;&lt;Year&gt;2015&lt;/Year&gt;&lt;RecNum&gt;4033&lt;/RecNum&gt;&lt;record&gt;&lt;rec-number&gt;4033&lt;/rec-number&gt;&lt;foreign-keys&gt;&lt;key app="EN" db-id="wxpst05zptaafreftwnxf9z0wwzeppsvvads" timestamp="1779286329"&gt;4033&lt;/key&gt;&lt;/foreign-keys&gt;&lt;ref-type name="Journal Article"&gt;17&lt;/ref-type&gt;&lt;contributors&gt;&lt;authors&gt;&lt;author&gt;Chien, Shih‐Yi&lt;/author&gt;&lt;author&gt;Lin, Ying‐Tung&lt;/author&gt;&lt;/authors&gt;&lt;/contributors&gt;&lt;titles&gt;&lt;title&gt;The effects of the service environment on perceived waiting time and emotions&lt;/title&gt;&lt;secondary-title&gt;Human Factors and Ergonomics in Manufacturing &amp;amp; Service Industries&lt;/secondary-title&gt;&lt;/titles&gt;&lt;periodical&gt;&lt;full-title&gt;Human Factors and Ergonomics in Manufacturing &amp;amp; Service Industries&lt;/full-title&gt;&lt;/periodical&gt;&lt;pages&gt;319-328&lt;/pages&gt;&lt;volume&gt;25&lt;/volume&gt;&lt;number&gt;3&lt;/number&gt;&lt;dates&gt;&lt;year&gt;2015&lt;/year&gt;&lt;/dates&gt;&lt;isbn&gt;1090-8471&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(Burns &amp; Neisner, 2006; Chien &amp; Lin, 2015)</w:t>
      </w:r>
      <w:r w:rsidRPr="006E011C">
        <w:rPr>
          <w:rFonts w:asciiTheme="majorBidi" w:hAnsiTheme="majorBidi" w:cstheme="majorBidi"/>
          <w:color w:val="000000" w:themeColor="text1"/>
          <w:sz w:val="24"/>
          <w:szCs w:val="24"/>
        </w:rPr>
        <w:fldChar w:fldCharType="end"/>
      </w:r>
      <w:r w:rsidR="00F25B94" w:rsidRPr="006E011C">
        <w:rPr>
          <w:rFonts w:asciiTheme="majorBidi" w:hAnsiTheme="majorBidi" w:cstheme="majorBidi"/>
          <w:color w:val="000000" w:themeColor="text1"/>
          <w:sz w:val="24"/>
          <w:szCs w:val="24"/>
        </w:rPr>
        <w:t xml:space="preserve"> </w:t>
      </w:r>
      <w:r w:rsidRPr="006E011C">
        <w:rPr>
          <w:rFonts w:asciiTheme="majorBidi" w:hAnsiTheme="majorBidi" w:cstheme="majorBidi"/>
          <w:color w:val="000000" w:themeColor="text1"/>
          <w:sz w:val="24"/>
          <w:szCs w:val="24"/>
        </w:rPr>
        <w:t xml:space="preserve">and with recent experimental evidence that chromatic lighting independently modulates emotional state </w:t>
      </w:r>
      <w:r w:rsidRPr="006E011C">
        <w:rPr>
          <w:rFonts w:asciiTheme="majorBidi" w:hAnsiTheme="majorBidi" w:cstheme="majorBidi"/>
          <w:color w:val="000000" w:themeColor="text1"/>
          <w:sz w:val="24"/>
          <w:szCs w:val="24"/>
        </w:rPr>
        <w:fldChar w:fldCharType="begin"/>
      </w:r>
      <w:r w:rsidRPr="006E011C">
        <w:rPr>
          <w:rFonts w:asciiTheme="majorBidi" w:hAnsiTheme="majorBidi" w:cstheme="majorBidi"/>
          <w:color w:val="000000" w:themeColor="text1"/>
          <w:sz w:val="24"/>
          <w:szCs w:val="24"/>
        </w:rPr>
        <w:instrText xml:space="preserve"> ADDIN EN.CITE &lt;EndNote&gt;&lt;Cite&gt;&lt;Author&gt;Shehab&lt;/Author&gt;&lt;Year&gt;2026&lt;/Year&gt;&lt;RecNum&gt;4030&lt;/RecNum&gt;&lt;DisplayText&gt;(Shehab &amp;amp; Durmus, 2026)&lt;/DisplayText&gt;&lt;record&gt;&lt;rec-number&gt;4030&lt;/rec-number&gt;&lt;foreign-keys&gt;&lt;key app="EN" db-id="wxpst05zptaafreftwnxf9z0wwzeppsvvads" timestamp="1779286018"&gt;4030&lt;/key&gt;&lt;/foreign-keys&gt;&lt;ref-type name="Journal Article"&gt;17&lt;/ref-type&gt;&lt;contributors&gt;&lt;authors&gt;&lt;author&gt;Shehab, Naser&lt;/author&gt;&lt;author&gt;Durmus, Dorukalp&lt;/author&gt;&lt;/authors&gt;&lt;/contributors&gt;&lt;titles&gt;&lt;title&gt;Effects of Ambient and Display Lighting Color on Risk‐Taking Behavior, Perceived Emotional States, and Visual Quality of Indoor Environment&lt;/title&gt;&lt;secondary-title&gt;Color Research &amp;amp; Application&lt;/secondary-title&gt;&lt;/titles&gt;&lt;periodical&gt;&lt;full-title&gt;Color Research &amp;amp; Application&lt;/full-title&gt;&lt;/periodical&gt;&lt;pages&gt;e70005&lt;/pages&gt;&lt;volume&gt;51&lt;/volume&gt;&lt;number&gt;1&lt;/number&gt;&lt;dates&gt;&lt;year&gt;2026&lt;/year&gt;&lt;/dates&gt;&lt;isbn&gt;0361-2317&lt;/isbn&gt;&lt;urls&gt;&lt;/urls&gt;&lt;/record&gt;&lt;/Cite&gt;&lt;/EndNote&gt;</w:instrText>
      </w:r>
      <w:r w:rsidRPr="006E011C">
        <w:rPr>
          <w:rFonts w:asciiTheme="majorBidi" w:hAnsiTheme="majorBidi" w:cstheme="majorBidi"/>
          <w:color w:val="000000" w:themeColor="text1"/>
          <w:sz w:val="24"/>
          <w:szCs w:val="24"/>
        </w:rPr>
        <w:fldChar w:fldCharType="separate"/>
      </w:r>
      <w:r w:rsidRPr="006E011C">
        <w:rPr>
          <w:rFonts w:asciiTheme="majorBidi" w:hAnsiTheme="majorBidi" w:cstheme="majorBidi"/>
          <w:color w:val="000000" w:themeColor="text1"/>
          <w:sz w:val="24"/>
          <w:szCs w:val="24"/>
        </w:rPr>
        <w:t>(Shehab &amp; Durmus, 2026)</w:t>
      </w:r>
      <w:r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However, the finding that cold/bright dominated emotion regulation diverges from Western hospitality studies that consistently associate warm tones with pleasure</w:t>
      </w:r>
      <w:r w:rsidR="00D34538" w:rsidRPr="006E011C">
        <w:rPr>
          <w:rFonts w:asciiTheme="majorBidi" w:hAnsiTheme="majorBidi" w:cstheme="majorBidi"/>
          <w:color w:val="000000" w:themeColor="text1"/>
          <w:sz w:val="24"/>
          <w:szCs w:val="24"/>
        </w:rPr>
        <w:t xml:space="preserve"> </w:t>
      </w:r>
      <w:r w:rsidR="00D34538" w:rsidRPr="006E011C">
        <w:rPr>
          <w:rFonts w:asciiTheme="majorBidi" w:hAnsiTheme="majorBidi" w:cstheme="majorBidi"/>
          <w:color w:val="000000" w:themeColor="text1"/>
          <w:sz w:val="24"/>
          <w:szCs w:val="24"/>
        </w:rPr>
        <w:fldChar w:fldCharType="begin"/>
      </w:r>
      <w:r w:rsidR="00D34538" w:rsidRPr="006E011C">
        <w:rPr>
          <w:rFonts w:asciiTheme="majorBidi" w:hAnsiTheme="majorBidi" w:cstheme="majorBidi"/>
          <w:color w:val="000000" w:themeColor="text1"/>
          <w:sz w:val="24"/>
          <w:szCs w:val="24"/>
        </w:rPr>
        <w:instrText xml:space="preserve"> ADDIN EN.CITE &lt;EndNote&gt;&lt;Cite&gt;&lt;Author&gt;Leong&lt;/Author&gt;&lt;Year&gt;2023&lt;/Year&gt;&lt;RecNum&gt;4029&lt;/RecNum&gt;&lt;DisplayText&gt;(Leong et al., 2023)&lt;/DisplayText&gt;&lt;record&gt;&lt;rec-number&gt;4029&lt;/rec-number&gt;&lt;foreign-keys&gt;&lt;key app="EN" db-id="wxpst05zptaafreftwnxf9z0wwzeppsvvads" timestamp="1779285952"&gt;4029&lt;/key&gt;&lt;/foreign-keys&gt;&lt;ref-type name="Journal Article"&gt;17&lt;/ref-type&gt;&lt;contributors&gt;&lt;authors&gt;&lt;author&gt;Leong, Aliana Man Wai&lt;/author&gt;&lt;author&gt;Chen, Kuan-Ying&lt;/author&gt;&lt;author&gt;Chen, Hung-Bin&lt;/author&gt;&lt;author&gt;Chiang, Tai-En&lt;/author&gt;&lt;author&gt;Huan, Tzung-Cheng&lt;/author&gt;&lt;/authors&gt;&lt;/contributors&gt;&lt;titles&gt;&lt;title&gt;Exploring the effects of customers&amp;apos; assessments of a restaurant&amp;apos;s atmospherics and emotional assessments on a fine-dining experience and intentions to return&lt;/title&gt;&lt;secondary-title&gt;Tourism Management Perspectives&lt;/secondary-title&gt;&lt;/titles&gt;&lt;periodical&gt;&lt;full-title&gt;Tourism Management Perspectives&lt;/full-title&gt;&lt;/periodical&gt;&lt;pages&gt;101121&lt;/pages&gt;&lt;volume&gt;47&lt;/volume&gt;&lt;dates&gt;&lt;year&gt;2023&lt;/year&gt;&lt;/dates&gt;&lt;isbn&gt;2211-9736&lt;/isbn&gt;&lt;urls&gt;&lt;/urls&gt;&lt;/record&gt;&lt;/Cite&gt;&lt;/EndNote&gt;</w:instrText>
      </w:r>
      <w:r w:rsidR="00D34538" w:rsidRPr="006E011C">
        <w:rPr>
          <w:rFonts w:asciiTheme="majorBidi" w:hAnsiTheme="majorBidi" w:cstheme="majorBidi"/>
          <w:color w:val="000000" w:themeColor="text1"/>
          <w:sz w:val="24"/>
          <w:szCs w:val="24"/>
        </w:rPr>
        <w:fldChar w:fldCharType="separate"/>
      </w:r>
      <w:r w:rsidR="00D34538" w:rsidRPr="006E011C">
        <w:rPr>
          <w:rFonts w:asciiTheme="majorBidi" w:hAnsiTheme="majorBidi" w:cstheme="majorBidi"/>
          <w:color w:val="000000" w:themeColor="text1"/>
          <w:sz w:val="24"/>
          <w:szCs w:val="24"/>
        </w:rPr>
        <w:t>(Leong et al., 2023)</w:t>
      </w:r>
      <w:r w:rsidR="00D34538"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A culturally specific reading is plausible: the cold colour used in this study was green, which holds symbolic value in Iranian culture. This directly supports the critique advanced earlier that atmospherics research over-generalises Western samples and underweights cultural context.</w:t>
      </w:r>
    </w:p>
    <w:p w14:paraId="7EABBF07" w14:textId="5D665F90"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b/>
          <w:bCs/>
          <w:i/>
          <w:iCs/>
          <w:color w:val="000000" w:themeColor="text1"/>
          <w:sz w:val="24"/>
          <w:szCs w:val="24"/>
        </w:rPr>
        <w:t>H2: Colour and light affect perceived waiting time.</w:t>
      </w:r>
      <w:r w:rsidRPr="006E011C">
        <w:rPr>
          <w:rFonts w:asciiTheme="majorBidi" w:hAnsiTheme="majorBidi" w:cstheme="majorBidi"/>
          <w:i/>
          <w:iCs/>
          <w:color w:val="000000" w:themeColor="text1"/>
          <w:sz w:val="24"/>
          <w:szCs w:val="24"/>
        </w:rPr>
        <w:t xml:space="preserve"> </w:t>
      </w:r>
      <w:r w:rsidRPr="006E011C">
        <w:rPr>
          <w:rFonts w:asciiTheme="majorBidi" w:hAnsiTheme="majorBidi" w:cstheme="majorBidi"/>
          <w:color w:val="000000" w:themeColor="text1"/>
          <w:sz w:val="24"/>
          <w:szCs w:val="24"/>
        </w:rPr>
        <w:t xml:space="preserve">Light and colour significantly affected perceived waiting time, with warm/bright conditions producing the strongest reduction in perceived duration. This converges with </w:t>
      </w:r>
      <w:proofErr w:type="spellStart"/>
      <w:r w:rsidRPr="006E011C">
        <w:rPr>
          <w:rFonts w:asciiTheme="majorBidi" w:hAnsiTheme="majorBidi" w:cstheme="majorBidi"/>
          <w:color w:val="000000" w:themeColor="text1"/>
          <w:sz w:val="24"/>
          <w:szCs w:val="24"/>
        </w:rPr>
        <w:t>Bilgili</w:t>
      </w:r>
      <w:r w:rsidR="003D25EE" w:rsidRPr="006E011C">
        <w:rPr>
          <w:rFonts w:asciiTheme="majorBidi" w:hAnsiTheme="majorBidi" w:cstheme="majorBidi"/>
          <w:color w:val="000000" w:themeColor="text1"/>
          <w:sz w:val="24"/>
          <w:szCs w:val="24"/>
        </w:rPr>
        <w:t>et</w:t>
      </w:r>
      <w:proofErr w:type="spellEnd"/>
      <w:r w:rsidR="003D25EE" w:rsidRPr="006E011C">
        <w:rPr>
          <w:rFonts w:asciiTheme="majorBidi" w:hAnsiTheme="majorBidi" w:cstheme="majorBidi"/>
          <w:color w:val="000000" w:themeColor="text1"/>
          <w:sz w:val="24"/>
          <w:szCs w:val="24"/>
        </w:rPr>
        <w:t xml:space="preserve"> al.,</w:t>
      </w:r>
      <w:r w:rsidRPr="006E011C">
        <w:rPr>
          <w:rFonts w:asciiTheme="majorBidi" w:hAnsiTheme="majorBidi" w:cstheme="majorBidi"/>
          <w:color w:val="000000" w:themeColor="text1"/>
          <w:sz w:val="24"/>
          <w:szCs w:val="24"/>
        </w:rPr>
        <w:t xml:space="preserve"> (2020), who found that lighting colour reliably shifted waiting-time perceptions in restaurant settings, and with earlier transit-environment studies showing that warm hues combined with controlled brightness compress perceived time. The present work advances this evidence in two ways: it tests the joint manipulation of colour and lighting rather than isolating one cue—addressing the variable-interaction gap identified in the review—and it draws on a larger, stratified Tehran sample (n = 441) than Bilgili et al.</w:t>
      </w:r>
      <w:r w:rsidR="00F25B94" w:rsidRPr="006E011C">
        <w:rPr>
          <w:rFonts w:asciiTheme="majorBidi" w:hAnsiTheme="majorBidi" w:cstheme="majorBidi"/>
          <w:color w:val="000000" w:themeColor="text1"/>
          <w:sz w:val="24"/>
          <w:szCs w:val="24"/>
          <w:lang w:bidi="fa-IR"/>
        </w:rPr>
        <w:t>’</w:t>
      </w:r>
      <w:r w:rsidRPr="006E011C">
        <w:rPr>
          <w:rFonts w:asciiTheme="majorBidi" w:hAnsiTheme="majorBidi" w:cstheme="majorBidi"/>
          <w:color w:val="000000" w:themeColor="text1"/>
          <w:sz w:val="24"/>
          <w:szCs w:val="24"/>
        </w:rPr>
        <w:t xml:space="preserve">s (2020) n = 68. The age effect (younger respondents preferred warm/bright more strongly; preferences shifted toward cold/bright with age) further suggests that perceived-time research should disaggregate demographic strata rather than treat the customer as a uniform organism, a limitation flagged by </w:t>
      </w:r>
      <w:r w:rsidR="003D25EE" w:rsidRPr="006E011C">
        <w:rPr>
          <w:rFonts w:asciiTheme="majorBidi" w:hAnsiTheme="majorBidi" w:cstheme="majorBidi"/>
          <w:color w:val="000000" w:themeColor="text1"/>
          <w:sz w:val="24"/>
          <w:szCs w:val="24"/>
        </w:rPr>
        <w:fldChar w:fldCharType="begin"/>
      </w:r>
      <w:r w:rsidR="003D25EE" w:rsidRPr="006E011C">
        <w:rPr>
          <w:rFonts w:asciiTheme="majorBidi" w:hAnsiTheme="majorBidi" w:cstheme="majorBidi"/>
          <w:color w:val="000000" w:themeColor="text1"/>
          <w:sz w:val="24"/>
          <w:szCs w:val="24"/>
        </w:rPr>
        <w:instrText xml:space="preserve"> ADDIN EN.CITE &lt;EndNote&gt;&lt;Cite AuthorYear="1"&gt;&lt;Author&gt;Worlitz&lt;/Author&gt;&lt;Year&gt;2019&lt;/Year&gt;&lt;RecNum&gt;4039&lt;/RecNum&gt;&lt;DisplayText&gt;Worlitz et al. (2019)&lt;/DisplayText&gt;&lt;record&gt;&lt;rec-number&gt;4039&lt;/rec-number&gt;&lt;foreign-keys&gt;&lt;key app="EN" db-id="wxpst05zptaafreftwnxf9z0wwzeppsvvads" timestamp="1779288255"&gt;4039&lt;/key&gt;&lt;/foreign-keys&gt;&lt;ref-type name="Journal Article"&gt;17&lt;/ref-type&gt;&lt;contributors&gt;&lt;authors&gt;&lt;author&gt;Worlitz, Jane&lt;/author&gt;&lt;author&gt;Vu, Duy Linh&lt;/author&gt;&lt;author&gt;Hettling, Laura&lt;/author&gt;&lt;author&gt;Woll, Ralf&lt;/author&gt;&lt;/authors&gt;&lt;/contributors&gt;&lt;titles&gt;&lt;title&gt;Perceived waiting time and waiting satisfaction: a systematic literature review&lt;/title&gt;&lt;/titles&gt;&lt;dates&gt;&lt;year&gt;2019&lt;/year&gt;&lt;/dates&gt;&lt;urls&gt;&lt;/urls&gt;&lt;/record&gt;&lt;/Cite&gt;&lt;/EndNote&gt;</w:instrText>
      </w:r>
      <w:r w:rsidR="003D25EE" w:rsidRPr="006E011C">
        <w:rPr>
          <w:rFonts w:asciiTheme="majorBidi" w:hAnsiTheme="majorBidi" w:cstheme="majorBidi"/>
          <w:color w:val="000000" w:themeColor="text1"/>
          <w:sz w:val="24"/>
          <w:szCs w:val="24"/>
        </w:rPr>
        <w:fldChar w:fldCharType="separate"/>
      </w:r>
      <w:r w:rsidR="003D25EE" w:rsidRPr="006E011C">
        <w:rPr>
          <w:rFonts w:asciiTheme="majorBidi" w:hAnsiTheme="majorBidi" w:cstheme="majorBidi"/>
          <w:noProof/>
          <w:color w:val="000000" w:themeColor="text1"/>
          <w:sz w:val="24"/>
          <w:szCs w:val="24"/>
        </w:rPr>
        <w:t>Worlitz et al. (2019)</w:t>
      </w:r>
      <w:r w:rsidR="003D25EE"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w:t>
      </w:r>
    </w:p>
    <w:p w14:paraId="1DCC7D16" w14:textId="3EB409C6"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b/>
          <w:bCs/>
          <w:i/>
          <w:iCs/>
          <w:color w:val="000000" w:themeColor="text1"/>
          <w:sz w:val="24"/>
          <w:szCs w:val="24"/>
        </w:rPr>
        <w:t>H3: Emotional stimulation affects customer attraction.</w:t>
      </w:r>
      <w:r w:rsidRPr="006E011C">
        <w:rPr>
          <w:rFonts w:asciiTheme="majorBidi" w:hAnsiTheme="majorBidi" w:cstheme="majorBidi"/>
          <w:color w:val="000000" w:themeColor="text1"/>
          <w:sz w:val="24"/>
          <w:szCs w:val="24"/>
        </w:rPr>
        <w:t xml:space="preserve"> Emotion exerted a significant and comparatively large effect on customer attraction (β = 0.520). This finding consolidates the S-O-</w:t>
      </w:r>
      <w:r w:rsidRPr="006E011C">
        <w:rPr>
          <w:rFonts w:asciiTheme="majorBidi" w:hAnsiTheme="majorBidi" w:cstheme="majorBidi"/>
          <w:color w:val="000000" w:themeColor="text1"/>
          <w:sz w:val="24"/>
          <w:szCs w:val="24"/>
        </w:rPr>
        <w:lastRenderedPageBreak/>
        <w:t xml:space="preserve">R proposition that affective response mediates between environmental stimuli and approach behaviour </w:t>
      </w:r>
      <w:r w:rsidR="003D25EE" w:rsidRPr="006E011C">
        <w:rPr>
          <w:rFonts w:asciiTheme="majorBidi" w:hAnsiTheme="majorBidi" w:cstheme="majorBidi"/>
          <w:color w:val="000000" w:themeColor="text1"/>
          <w:sz w:val="24"/>
          <w:szCs w:val="24"/>
        </w:rPr>
        <w:fldChar w:fldCharType="begin"/>
      </w:r>
      <w:r w:rsidR="003D25EE" w:rsidRPr="006E011C">
        <w:rPr>
          <w:rFonts w:asciiTheme="majorBidi" w:hAnsiTheme="majorBidi" w:cstheme="majorBidi"/>
          <w:color w:val="000000" w:themeColor="text1"/>
          <w:sz w:val="24"/>
          <w:szCs w:val="24"/>
        </w:rPr>
        <w:instrText xml:space="preserve"> ADDIN EN.CITE &lt;EndNote&gt;&lt;Cite&gt;&lt;Author&gt;Mehrabian&lt;/Author&gt;&lt;Year&gt;1974&lt;/Year&gt;&lt;RecNum&gt;4024&lt;/RecNum&gt;&lt;DisplayText&gt;(Leong et al., 2023; Mehrabian &amp;amp; Russell, 1974)&lt;/DisplayText&gt;&lt;record&gt;&lt;rec-number&gt;4024&lt;/rec-number&gt;&lt;foreign-keys&gt;&lt;key app="EN" db-id="wxpst05zptaafreftwnxf9z0wwzeppsvvads" timestamp="1779271149"&gt;4024&lt;/key&gt;&lt;/foreign-keys&gt;&lt;ref-type name="Book"&gt;6&lt;/ref-type&gt;&lt;contributors&gt;&lt;authors&gt;&lt;author&gt;Mehrabian, Albert&lt;/author&gt;&lt;author&gt;Russell, James A&lt;/author&gt;&lt;/authors&gt;&lt;/contributors&gt;&lt;titles&gt;&lt;title&gt;An approach to environmental psychology&lt;/title&gt;&lt;/titles&gt;&lt;dates&gt;&lt;year&gt;1974&lt;/year&gt;&lt;/dates&gt;&lt;publisher&gt;the MIT Press&lt;/publisher&gt;&lt;isbn&gt;0262130904&lt;/isbn&gt;&lt;urls&gt;&lt;/urls&gt;&lt;/record&gt;&lt;/Cite&gt;&lt;Cite&gt;&lt;Author&gt;Leong&lt;/Author&gt;&lt;Year&gt;2023&lt;/Year&gt;&lt;RecNum&gt;4029&lt;/RecNum&gt;&lt;record&gt;&lt;rec-number&gt;4029&lt;/rec-number&gt;&lt;foreign-keys&gt;&lt;key app="EN" db-id="wxpst05zptaafreftwnxf9z0wwzeppsvvads" timestamp="1779285952"&gt;4029&lt;/key&gt;&lt;/foreign-keys&gt;&lt;ref-type name="Journal Article"&gt;17&lt;/ref-type&gt;&lt;contributors&gt;&lt;authors&gt;&lt;author&gt;Leong, Aliana Man Wai&lt;/author&gt;&lt;author&gt;Chen, Kuan-Ying&lt;/author&gt;&lt;author&gt;Chen, Hung-Bin&lt;/author&gt;&lt;author&gt;Chiang, Tai-En&lt;/author&gt;&lt;author&gt;Huan, Tzung-Cheng&lt;/author&gt;&lt;/authors&gt;&lt;/contributors&gt;&lt;titles&gt;&lt;title&gt;Exploring the effects of customers&amp;apos; assessments of a restaurant&amp;apos;s atmospherics and emotional assessments on a fine-dining experience and intentions to return&lt;/title&gt;&lt;secondary-title&gt;Tourism Management Perspectives&lt;/secondary-title&gt;&lt;/titles&gt;&lt;periodical&gt;&lt;full-title&gt;Tourism Management Perspectives&lt;/full-title&gt;&lt;/periodical&gt;&lt;pages&gt;101121&lt;/pages&gt;&lt;volume&gt;47&lt;/volume&gt;&lt;dates&gt;&lt;year&gt;2023&lt;/year&gt;&lt;/dates&gt;&lt;isbn&gt;2211-9736&lt;/isbn&gt;&lt;urls&gt;&lt;/urls&gt;&lt;/record&gt;&lt;/Cite&gt;&lt;/EndNote&gt;</w:instrText>
      </w:r>
      <w:r w:rsidR="003D25EE" w:rsidRPr="006E011C">
        <w:rPr>
          <w:rFonts w:asciiTheme="majorBidi" w:hAnsiTheme="majorBidi" w:cstheme="majorBidi"/>
          <w:color w:val="000000" w:themeColor="text1"/>
          <w:sz w:val="24"/>
          <w:szCs w:val="24"/>
        </w:rPr>
        <w:fldChar w:fldCharType="separate"/>
      </w:r>
      <w:r w:rsidR="003D25EE" w:rsidRPr="006E011C">
        <w:rPr>
          <w:rFonts w:asciiTheme="majorBidi" w:hAnsiTheme="majorBidi" w:cstheme="majorBidi"/>
          <w:noProof/>
          <w:color w:val="000000" w:themeColor="text1"/>
          <w:sz w:val="24"/>
          <w:szCs w:val="24"/>
        </w:rPr>
        <w:t>(Leong et al., 2023; Mehrabian &amp; Russell, 1974)</w:t>
      </w:r>
      <w:r w:rsidR="003D25EE"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and it is consistent with </w:t>
      </w:r>
      <w:r w:rsidR="003D25EE" w:rsidRPr="006E011C">
        <w:rPr>
          <w:rFonts w:asciiTheme="majorBidi" w:hAnsiTheme="majorBidi" w:cstheme="majorBidi"/>
          <w:color w:val="000000" w:themeColor="text1"/>
          <w:sz w:val="24"/>
          <w:szCs w:val="24"/>
        </w:rPr>
        <w:fldChar w:fldCharType="begin"/>
      </w:r>
      <w:r w:rsidR="003D25EE" w:rsidRPr="006E011C">
        <w:rPr>
          <w:rFonts w:asciiTheme="majorBidi" w:hAnsiTheme="majorBidi" w:cstheme="majorBidi"/>
          <w:color w:val="000000" w:themeColor="text1"/>
          <w:sz w:val="24"/>
          <w:szCs w:val="24"/>
        </w:rPr>
        <w:instrText xml:space="preserve"> ADDIN EN.CITE &lt;EndNote&gt;&lt;Cite AuthorYear="1"&gt;&lt;Author&gt;Chien&lt;/Author&gt;&lt;Year&gt;2015&lt;/Year&gt;&lt;RecNum&gt;4033&lt;/RecNum&gt;&lt;DisplayText&gt;Chien and Lin (2015)&lt;/DisplayText&gt;&lt;record&gt;&lt;rec-number&gt;4033&lt;/rec-number&gt;&lt;foreign-keys&gt;&lt;key app="EN" db-id="wxpst05zptaafreftwnxf9z0wwzeppsvvads" timestamp="1779286329"&gt;4033&lt;/key&gt;&lt;/foreign-keys&gt;&lt;ref-type name="Journal Article"&gt;17&lt;/ref-type&gt;&lt;contributors&gt;&lt;authors&gt;&lt;author&gt;Chien, Shih‐Yi&lt;/author&gt;&lt;author&gt;Lin, Ying‐Tung&lt;/author&gt;&lt;/authors&gt;&lt;/contributors&gt;&lt;titles&gt;&lt;title&gt;The effects of the service environment on perceived waiting time and emotions&lt;/title&gt;&lt;secondary-title&gt;Human Factors and Ergonomics in Manufacturing &amp;amp; Service Industries&lt;/secondary-title&gt;&lt;/titles&gt;&lt;periodical&gt;&lt;full-title&gt;Human Factors and Ergonomics in Manufacturing &amp;amp; Service Industries&lt;/full-title&gt;&lt;/periodical&gt;&lt;pages&gt;319-328&lt;/pages&gt;&lt;volume&gt;25&lt;/volume&gt;&lt;number&gt;3&lt;/number&gt;&lt;dates&gt;&lt;year&gt;2015&lt;/year&gt;&lt;/dates&gt;&lt;isbn&gt;1090-8471&lt;/isbn&gt;&lt;urls&gt;&lt;/urls&gt;&lt;/record&gt;&lt;/Cite&gt;&lt;/EndNote&gt;</w:instrText>
      </w:r>
      <w:r w:rsidR="003D25EE" w:rsidRPr="006E011C">
        <w:rPr>
          <w:rFonts w:asciiTheme="majorBidi" w:hAnsiTheme="majorBidi" w:cstheme="majorBidi"/>
          <w:color w:val="000000" w:themeColor="text1"/>
          <w:sz w:val="24"/>
          <w:szCs w:val="24"/>
        </w:rPr>
        <w:fldChar w:fldCharType="separate"/>
      </w:r>
      <w:r w:rsidR="003D25EE" w:rsidRPr="006E011C">
        <w:rPr>
          <w:rFonts w:asciiTheme="majorBidi" w:hAnsiTheme="majorBidi" w:cstheme="majorBidi"/>
          <w:noProof/>
          <w:color w:val="000000" w:themeColor="text1"/>
          <w:sz w:val="24"/>
          <w:szCs w:val="24"/>
        </w:rPr>
        <w:t>Chien and Lin (2015)</w:t>
      </w:r>
      <w:r w:rsidR="003D25EE"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two-route model in which the emotional route was the stronger predictor of approach behaviour in fast-food contexts. The result also reinforces Spence</w:t>
      </w:r>
      <w:r w:rsidR="00F25B94" w:rsidRPr="006E011C">
        <w:rPr>
          <w:rFonts w:asciiTheme="majorBidi" w:hAnsiTheme="majorBidi" w:cstheme="majorBidi"/>
          <w:color w:val="000000" w:themeColor="text1"/>
          <w:sz w:val="24"/>
          <w:szCs w:val="24"/>
        </w:rPr>
        <w:t>’</w:t>
      </w:r>
      <w:r w:rsidRPr="006E011C">
        <w:rPr>
          <w:rFonts w:asciiTheme="majorBidi" w:hAnsiTheme="majorBidi" w:cstheme="majorBidi"/>
          <w:color w:val="000000" w:themeColor="text1"/>
          <w:sz w:val="24"/>
          <w:szCs w:val="24"/>
        </w:rPr>
        <w:t xml:space="preserve">s </w:t>
      </w:r>
      <w:r w:rsidR="003D25EE" w:rsidRPr="006E011C">
        <w:rPr>
          <w:rFonts w:asciiTheme="majorBidi" w:hAnsiTheme="majorBidi" w:cstheme="majorBidi"/>
          <w:color w:val="000000" w:themeColor="text1"/>
          <w:sz w:val="24"/>
          <w:szCs w:val="24"/>
        </w:rPr>
        <w:fldChar w:fldCharType="begin"/>
      </w:r>
      <w:r w:rsidR="003D25EE" w:rsidRPr="006E011C">
        <w:rPr>
          <w:rFonts w:asciiTheme="majorBidi" w:hAnsiTheme="majorBidi" w:cstheme="majorBidi"/>
          <w:color w:val="000000" w:themeColor="text1"/>
          <w:sz w:val="24"/>
          <w:szCs w:val="24"/>
        </w:rPr>
        <w:instrText xml:space="preserve"> ADDIN EN.CITE &lt;EndNote&gt;&lt;Cite ExcludeAuth="1"&gt;&lt;Author&gt;Spence&lt;/Author&gt;&lt;Year&gt;2021&lt;/Year&gt;&lt;RecNum&gt;4019&lt;/RecNum&gt;&lt;DisplayText&gt;(2021)&lt;/DisplayText&gt;&lt;record&gt;&lt;rec-number&gt;4019&lt;/rec-number&gt;&lt;foreign-keys&gt;&lt;key app="EN" db-id="wxpst05zptaafreftwnxf9z0wwzeppsvvads" timestamp="1779268723"&gt;4019&lt;/key&gt;&lt;/foreign-keys&gt;&lt;ref-type name="Book"&gt;6&lt;/ref-type&gt;&lt;contributors&gt;&lt;authors&gt;&lt;author&gt;Spence, Charles&lt;/author&gt;&lt;/authors&gt;&lt;/contributors&gt;&lt;titles&gt;&lt;title&gt;Sensehacking: How to use the power of your senses for happier, healthier living&lt;/title&gt;&lt;/titles&gt;&lt;dates&gt;&lt;year&gt;2021&lt;/year&gt;&lt;/dates&gt;&lt;publisher&gt;Penguin UK&lt;/publisher&gt;&lt;isbn&gt;0241361168&lt;/isbn&gt;&lt;urls&gt;&lt;/urls&gt;&lt;/record&gt;&lt;/Cite&gt;&lt;/EndNote&gt;</w:instrText>
      </w:r>
      <w:r w:rsidR="003D25EE" w:rsidRPr="006E011C">
        <w:rPr>
          <w:rFonts w:asciiTheme="majorBidi" w:hAnsiTheme="majorBidi" w:cstheme="majorBidi"/>
          <w:color w:val="000000" w:themeColor="text1"/>
          <w:sz w:val="24"/>
          <w:szCs w:val="24"/>
        </w:rPr>
        <w:fldChar w:fldCharType="separate"/>
      </w:r>
      <w:r w:rsidR="003D25EE" w:rsidRPr="006E011C">
        <w:rPr>
          <w:rFonts w:asciiTheme="majorBidi" w:hAnsiTheme="majorBidi" w:cstheme="majorBidi"/>
          <w:noProof/>
          <w:color w:val="000000" w:themeColor="text1"/>
          <w:sz w:val="24"/>
          <w:szCs w:val="24"/>
        </w:rPr>
        <w:t>(2021)</w:t>
      </w:r>
      <w:r w:rsidR="003D25EE" w:rsidRPr="006E011C">
        <w:rPr>
          <w:rFonts w:asciiTheme="majorBidi" w:hAnsiTheme="majorBidi" w:cstheme="majorBidi"/>
          <w:color w:val="000000" w:themeColor="text1"/>
          <w:sz w:val="24"/>
          <w:szCs w:val="24"/>
        </w:rPr>
        <w:fldChar w:fldCharType="end"/>
      </w:r>
      <w:r w:rsidR="003D25EE" w:rsidRPr="006E011C">
        <w:rPr>
          <w:rFonts w:asciiTheme="majorBidi" w:hAnsiTheme="majorBidi" w:cstheme="majorBidi"/>
          <w:color w:val="000000" w:themeColor="text1"/>
          <w:sz w:val="24"/>
          <w:szCs w:val="24"/>
        </w:rPr>
        <w:t xml:space="preserve"> </w:t>
      </w:r>
      <w:r w:rsidRPr="006E011C">
        <w:rPr>
          <w:rFonts w:asciiTheme="majorBidi" w:hAnsiTheme="majorBidi" w:cstheme="majorBidi"/>
          <w:color w:val="000000" w:themeColor="text1"/>
          <w:sz w:val="24"/>
          <w:szCs w:val="24"/>
        </w:rPr>
        <w:t>argument that sensory-emotional design should be treated as a primary, not residual, lever in hospitality interiors.</w:t>
      </w:r>
    </w:p>
    <w:p w14:paraId="48E76D1D" w14:textId="7CE54A8F"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b/>
          <w:bCs/>
          <w:i/>
          <w:iCs/>
          <w:color w:val="000000" w:themeColor="text1"/>
          <w:sz w:val="24"/>
          <w:szCs w:val="24"/>
        </w:rPr>
        <w:t xml:space="preserve">H4: Perceived waiting time affects customer attraction. </w:t>
      </w:r>
      <w:r w:rsidRPr="006E011C">
        <w:rPr>
          <w:rFonts w:asciiTheme="majorBidi" w:hAnsiTheme="majorBidi" w:cstheme="majorBidi"/>
          <w:color w:val="000000" w:themeColor="text1"/>
          <w:sz w:val="24"/>
          <w:szCs w:val="24"/>
        </w:rPr>
        <w:t xml:space="preserve">Perceived waiting time also significantly affected customer attraction (β = 0.346), confirming the long-standing claim that subjective rather than objective wait duration shapes service evaluation </w:t>
      </w:r>
      <w:r w:rsidR="003D25EE" w:rsidRPr="006E011C">
        <w:rPr>
          <w:rFonts w:asciiTheme="majorBidi" w:hAnsiTheme="majorBidi" w:cstheme="majorBidi"/>
          <w:color w:val="000000" w:themeColor="text1"/>
          <w:sz w:val="24"/>
          <w:szCs w:val="24"/>
        </w:rPr>
        <w:fldChar w:fldCharType="begin"/>
      </w:r>
      <w:r w:rsidR="003D25EE" w:rsidRPr="006E011C">
        <w:rPr>
          <w:rFonts w:asciiTheme="majorBidi" w:hAnsiTheme="majorBidi" w:cstheme="majorBidi"/>
          <w:color w:val="000000" w:themeColor="text1"/>
          <w:sz w:val="24"/>
          <w:szCs w:val="24"/>
        </w:rPr>
        <w:instrText xml:space="preserve"> ADDIN EN.CITE &lt;EndNote&gt;&lt;Cite&gt;&lt;Author&gt;Bielen&lt;/Author&gt;&lt;Year&gt;2007&lt;/Year&gt;&lt;RecNum&gt;4026&lt;/RecNum&gt;&lt;DisplayText&gt;(Bielen &amp;amp; Demoulin, 2007)&lt;/DisplayText&gt;&lt;record&gt;&lt;rec-number&gt;4026&lt;/rec-number&gt;&lt;foreign-keys&gt;&lt;key app="EN" db-id="wxpst05zptaafreftwnxf9z0wwzeppsvvads" timestamp="1779271316"&gt;4026&lt;/key&gt;&lt;/foreign-keys&gt;&lt;ref-type name="Journal Article"&gt;17&lt;/ref-type&gt;&lt;contributors&gt;&lt;authors&gt;&lt;author&gt;Bielen, Frédéric&lt;/author&gt;&lt;author&gt;Demoulin, Nathalie&lt;/author&gt;&lt;/authors&gt;&lt;/contributors&gt;&lt;titles&gt;&lt;title&gt;Waiting time influence on the satisfaction‐loyalty relationship in services&lt;/title&gt;&lt;secondary-title&gt;Managing Service Quality: An International Journal&lt;/secondary-title&gt;&lt;/titles&gt;&lt;periodical&gt;&lt;full-title&gt;Managing Service Quality: An International Journal&lt;/full-title&gt;&lt;/periodical&gt;&lt;pages&gt;174-193&lt;/pages&gt;&lt;volume&gt;17&lt;/volume&gt;&lt;number&gt;2&lt;/number&gt;&lt;dates&gt;&lt;year&gt;2007&lt;/year&gt;&lt;/dates&gt;&lt;isbn&gt;0960-4529&lt;/isbn&gt;&lt;urls&gt;&lt;/urls&gt;&lt;/record&gt;&lt;/Cite&gt;&lt;/EndNote&gt;</w:instrText>
      </w:r>
      <w:r w:rsidR="003D25EE" w:rsidRPr="006E011C">
        <w:rPr>
          <w:rFonts w:asciiTheme="majorBidi" w:hAnsiTheme="majorBidi" w:cstheme="majorBidi"/>
          <w:color w:val="000000" w:themeColor="text1"/>
          <w:sz w:val="24"/>
          <w:szCs w:val="24"/>
        </w:rPr>
        <w:fldChar w:fldCharType="separate"/>
      </w:r>
      <w:r w:rsidR="003D25EE" w:rsidRPr="006E011C">
        <w:rPr>
          <w:rFonts w:asciiTheme="majorBidi" w:hAnsiTheme="majorBidi" w:cstheme="majorBidi"/>
          <w:noProof/>
          <w:color w:val="000000" w:themeColor="text1"/>
          <w:sz w:val="24"/>
          <w:szCs w:val="24"/>
        </w:rPr>
        <w:t>(Bielen &amp; Demoulin, 2007)</w:t>
      </w:r>
      <w:r w:rsidR="003D25EE" w:rsidRPr="006E011C">
        <w:rPr>
          <w:rFonts w:asciiTheme="majorBidi" w:hAnsiTheme="majorBidi" w:cstheme="majorBidi"/>
          <w:color w:val="000000" w:themeColor="text1"/>
          <w:sz w:val="24"/>
          <w:szCs w:val="24"/>
        </w:rPr>
        <w:fldChar w:fldCharType="end"/>
      </w:r>
      <w:r w:rsidRPr="006E011C">
        <w:rPr>
          <w:rFonts w:asciiTheme="majorBidi" w:hAnsiTheme="majorBidi" w:cstheme="majorBidi"/>
          <w:color w:val="000000" w:themeColor="text1"/>
          <w:sz w:val="24"/>
          <w:szCs w:val="24"/>
        </w:rPr>
        <w:t xml:space="preserve">. However, the weaker beta relative to emotion implies that compressing perceived time is necessary but not sufficient for customer attraction. This nuances </w:t>
      </w:r>
      <w:r w:rsidR="003D25EE" w:rsidRPr="006E011C">
        <w:rPr>
          <w:rFonts w:asciiTheme="majorBidi" w:hAnsiTheme="majorBidi" w:cstheme="majorBidi"/>
          <w:color w:val="000000" w:themeColor="text1"/>
          <w:sz w:val="24"/>
          <w:szCs w:val="24"/>
        </w:rPr>
        <w:fldChar w:fldCharType="begin"/>
      </w:r>
      <w:r w:rsidR="003D25EE" w:rsidRPr="006E011C">
        <w:rPr>
          <w:rFonts w:asciiTheme="majorBidi" w:hAnsiTheme="majorBidi" w:cstheme="majorBidi"/>
          <w:color w:val="000000" w:themeColor="text1"/>
          <w:sz w:val="24"/>
          <w:szCs w:val="24"/>
        </w:rPr>
        <w:instrText xml:space="preserve"> ADDIN EN.CITE &lt;EndNote&gt;&lt;Cite AuthorYear="1"&gt;&lt;Author&gt;Chien&lt;/Author&gt;&lt;Year&gt;2015&lt;/Year&gt;&lt;RecNum&gt;4033&lt;/RecNum&gt;&lt;DisplayText&gt;Chien and Lin (2015)&lt;/DisplayText&gt;&lt;record&gt;&lt;rec-number&gt;4033&lt;/rec-number&gt;&lt;foreign-keys&gt;&lt;key app="EN" db-id="wxpst05zptaafreftwnxf9z0wwzeppsvvads" timestamp="1779286329"&gt;4033&lt;/key&gt;&lt;/foreign-keys&gt;&lt;ref-type name="Journal Article"&gt;17&lt;/ref-type&gt;&lt;contributors&gt;&lt;authors&gt;&lt;author&gt;Chien, Shih‐Yi&lt;/author&gt;&lt;author&gt;Lin, Ying‐Tung&lt;/author&gt;&lt;/authors&gt;&lt;/contributors&gt;&lt;titles&gt;&lt;title&gt;The effects of the service environment on perceived waiting time and emotions&lt;/title&gt;&lt;secondary-title&gt;Human Factors and Ergonomics in Manufacturing &amp;amp; Service Industries&lt;/secondary-title&gt;&lt;/titles&gt;&lt;periodical&gt;&lt;full-title&gt;Human Factors and Ergonomics in Manufacturing &amp;amp; Service Industries&lt;/full-title&gt;&lt;/periodical&gt;&lt;pages&gt;319-328&lt;/pages&gt;&lt;volume&gt;25&lt;/volume&gt;&lt;number&gt;3&lt;/number&gt;&lt;dates&gt;&lt;year&gt;2015&lt;/year&gt;&lt;/dates&gt;&lt;isbn&gt;1090-8471&lt;/isbn&gt;&lt;urls&gt;&lt;/urls&gt;&lt;/record&gt;&lt;/Cite&gt;&lt;/EndNote&gt;</w:instrText>
      </w:r>
      <w:r w:rsidR="003D25EE" w:rsidRPr="006E011C">
        <w:rPr>
          <w:rFonts w:asciiTheme="majorBidi" w:hAnsiTheme="majorBidi" w:cstheme="majorBidi"/>
          <w:color w:val="000000" w:themeColor="text1"/>
          <w:sz w:val="24"/>
          <w:szCs w:val="24"/>
        </w:rPr>
        <w:fldChar w:fldCharType="separate"/>
      </w:r>
      <w:r w:rsidR="003D25EE" w:rsidRPr="006E011C">
        <w:rPr>
          <w:rFonts w:asciiTheme="majorBidi" w:hAnsiTheme="majorBidi" w:cstheme="majorBidi"/>
          <w:noProof/>
          <w:color w:val="000000" w:themeColor="text1"/>
          <w:sz w:val="24"/>
          <w:szCs w:val="24"/>
        </w:rPr>
        <w:t>Chien and Lin (2015)</w:t>
      </w:r>
      <w:r w:rsidR="003D25EE" w:rsidRPr="006E011C">
        <w:rPr>
          <w:rFonts w:asciiTheme="majorBidi" w:hAnsiTheme="majorBidi" w:cstheme="majorBidi"/>
          <w:color w:val="000000" w:themeColor="text1"/>
          <w:sz w:val="24"/>
          <w:szCs w:val="24"/>
        </w:rPr>
        <w:fldChar w:fldCharType="end"/>
      </w:r>
      <w:r w:rsidR="003D25EE" w:rsidRPr="006E011C">
        <w:rPr>
          <w:rFonts w:asciiTheme="majorBidi" w:hAnsiTheme="majorBidi" w:cstheme="majorBidi"/>
          <w:color w:val="000000" w:themeColor="text1"/>
          <w:sz w:val="24"/>
          <w:szCs w:val="24"/>
        </w:rPr>
        <w:t xml:space="preserve"> </w:t>
      </w:r>
      <w:r w:rsidRPr="006E011C">
        <w:rPr>
          <w:rFonts w:asciiTheme="majorBidi" w:hAnsiTheme="majorBidi" w:cstheme="majorBidi"/>
          <w:color w:val="000000" w:themeColor="text1"/>
          <w:sz w:val="24"/>
          <w:szCs w:val="24"/>
        </w:rPr>
        <w:t>account by suggesting that the interaction between the emotional and time-perception routes—rather than either route in isolation—is what designers should ultimately target.</w:t>
      </w:r>
    </w:p>
    <w:p w14:paraId="69021560" w14:textId="77777777" w:rsidR="00D31EE2" w:rsidRPr="006E011C" w:rsidRDefault="00D31EE2" w:rsidP="00D31EE2">
      <w:pPr>
        <w:pStyle w:val="Heading2"/>
        <w:rPr>
          <w:rFonts w:asciiTheme="majorBidi" w:hAnsiTheme="majorBidi"/>
        </w:rPr>
      </w:pPr>
      <w:r w:rsidRPr="006E011C">
        <w:rPr>
          <w:rFonts w:asciiTheme="majorBidi" w:hAnsiTheme="majorBidi"/>
          <w:b/>
          <w:bCs/>
          <w:i/>
          <w:iCs/>
          <w:color w:val="000000" w:themeColor="text1"/>
          <w:sz w:val="24"/>
          <w:szCs w:val="24"/>
        </w:rPr>
        <w:t>Limitations</w:t>
      </w:r>
    </w:p>
    <w:p w14:paraId="0FFAF8EB" w14:textId="77777777" w:rsidR="00D31EE2" w:rsidRPr="006E011C" w:rsidRDefault="00D31EE2" w:rsidP="00D31EE2">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Although image-based experimental methods are well established in environmental perception research, they cannot fully reproduce embodied, real-world spatial experience. The sample is limited to one metropolitan context (Tehran), which restricts generalisability. In addition, only a narrow range of lighting and colour parameters was examined. </w:t>
      </w:r>
    </w:p>
    <w:p w14:paraId="2A2BF835" w14:textId="77777777" w:rsidR="00D31EE2" w:rsidRPr="006E011C" w:rsidRDefault="00D31EE2" w:rsidP="00D31EE2">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b/>
          <w:bCs/>
          <w:i/>
          <w:iCs/>
          <w:color w:val="000000" w:themeColor="text1"/>
          <w:sz w:val="24"/>
          <w:szCs w:val="24"/>
        </w:rPr>
        <w:t>Future research</w:t>
      </w:r>
      <w:r w:rsidRPr="006E011C">
        <w:rPr>
          <w:rFonts w:asciiTheme="majorBidi" w:hAnsiTheme="majorBidi" w:cstheme="majorBidi"/>
          <w:color w:val="000000" w:themeColor="text1"/>
          <w:sz w:val="24"/>
          <w:szCs w:val="24"/>
        </w:rPr>
        <w:t xml:space="preserve"> should extend this framework to in-situ settings, incorporate a broader range of cultural contexts, and include more granular IEQ variables such as correlated colour temperature, hue–saturation–brightness combinations, and material reflectance. Such extensions would enable a shift from correlational findings toward a more comprehensive, design-oriented theory of environmental influence on consumer behaviour.</w:t>
      </w:r>
    </w:p>
    <w:p w14:paraId="6A3BD050" w14:textId="77777777" w:rsidR="00E64CA0" w:rsidRPr="006E011C" w:rsidRDefault="00E64CA0" w:rsidP="00E64CA0">
      <w:pPr>
        <w:pStyle w:val="Heading1"/>
        <w:rPr>
          <w:rFonts w:asciiTheme="majorBidi" w:hAnsiTheme="majorBidi"/>
          <w:b/>
          <w:bCs/>
          <w:color w:val="000000" w:themeColor="text1"/>
          <w:sz w:val="24"/>
          <w:szCs w:val="24"/>
        </w:rPr>
      </w:pPr>
      <w:r w:rsidRPr="006E011C">
        <w:rPr>
          <w:rFonts w:asciiTheme="majorBidi" w:hAnsiTheme="majorBidi"/>
          <w:b/>
          <w:bCs/>
          <w:color w:val="000000" w:themeColor="text1"/>
          <w:sz w:val="24"/>
          <w:szCs w:val="24"/>
        </w:rPr>
        <w:t>Conclusion</w:t>
      </w:r>
    </w:p>
    <w:p w14:paraId="13B37298" w14:textId="3101909F"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This study investigated whether IEQ—specifically the combined effects of lighting and colour—influences customers’ emotional responses and perceived waiting time in restaurant interiors, and whether these factors subsequently affect customer attraction. Based on a stratified sample of 441 restaurant visitors in Tehran, all four hypotheses were supported. Lighting and colour significantly influenced both emotional response and perceived waiting time, while both constructs significantly </w:t>
      </w:r>
      <w:r w:rsidRPr="006E011C">
        <w:rPr>
          <w:rFonts w:asciiTheme="majorBidi" w:hAnsiTheme="majorBidi" w:cstheme="majorBidi"/>
          <w:color w:val="000000" w:themeColor="text1"/>
          <w:sz w:val="24"/>
          <w:szCs w:val="24"/>
        </w:rPr>
        <w:lastRenderedPageBreak/>
        <w:t>predicted customer attraction, with emotion emerging as the stronger predictor (β = 0.520 vs. 0.346). In particular, cold/bright conditions were most effective in enhancing emotional response, whereas warm/bright conditions were most effective in reducing perceived waiting time.</w:t>
      </w:r>
    </w:p>
    <w:p w14:paraId="663FE96A" w14:textId="4CA072B3"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 xml:space="preserve">These results contribute to the literature in three main ways. Empirically, the study provides robust evidence from a relatively large sample that treats lighting and colour as interacting environmental parameters rather than isolated stimuli, addressing a limitation common in prior research. Theoretically, it integrates the atmospherics and </w:t>
      </w:r>
      <w:proofErr w:type="spellStart"/>
      <w:r w:rsidRPr="006E011C">
        <w:rPr>
          <w:rFonts w:asciiTheme="majorBidi" w:hAnsiTheme="majorBidi" w:cstheme="majorBidi"/>
          <w:color w:val="000000" w:themeColor="text1"/>
          <w:sz w:val="24"/>
          <w:szCs w:val="24"/>
        </w:rPr>
        <w:t>servicescape</w:t>
      </w:r>
      <w:proofErr w:type="spellEnd"/>
      <w:r w:rsidRPr="006E011C">
        <w:rPr>
          <w:rFonts w:asciiTheme="majorBidi" w:hAnsiTheme="majorBidi" w:cstheme="majorBidi"/>
          <w:color w:val="000000" w:themeColor="text1"/>
          <w:sz w:val="24"/>
          <w:szCs w:val="24"/>
        </w:rPr>
        <w:t xml:space="preserve"> tradition with service management research on perceived waiting time, offering a more unified explanatory model and addressing a long-standing lack of conceptual integration. Culturally, the strong performance of green—an emotionally significant colour in the Iranian context—as a key emotional driver challenges dominant Western assumptions regarding the universal effectiveness of warm-toned environments and highlights the importance of context-sensitive IEQ research.</w:t>
      </w:r>
    </w:p>
    <w:p w14:paraId="3CEA6A30"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t>From a design and practice perspective, the findings suggest that no single lighting–colour configuration can be considered universally optimal. Instead, designers must navigate a trade-off between enhancing emotional experience and reducing perceived waiting time, with appropriate solutions depending on spatial function, user demographics, and cultural context. Framing IEQ as an intentional and measurable design instrument, rather than a passive aesthetic backdrop, provides a more precise basis for improving both experiential quality and operational performance in hospitality environments.</w:t>
      </w:r>
    </w:p>
    <w:p w14:paraId="66957FD9" w14:textId="77777777" w:rsidR="00E64CA0" w:rsidRPr="006E011C" w:rsidRDefault="00E64CA0" w:rsidP="00E64CA0">
      <w:pPr>
        <w:pStyle w:val="Heading2"/>
        <w:rPr>
          <w:rFonts w:asciiTheme="majorBidi" w:hAnsiTheme="majorBidi"/>
          <w:b/>
          <w:bCs/>
          <w:i/>
          <w:iCs/>
          <w:color w:val="000000" w:themeColor="text1"/>
          <w:sz w:val="24"/>
          <w:szCs w:val="24"/>
        </w:rPr>
      </w:pPr>
      <w:r w:rsidRPr="006E011C">
        <w:rPr>
          <w:rFonts w:asciiTheme="majorBidi" w:hAnsiTheme="majorBidi"/>
          <w:b/>
          <w:bCs/>
          <w:i/>
          <w:iCs/>
          <w:color w:val="000000" w:themeColor="text1"/>
          <w:sz w:val="24"/>
          <w:szCs w:val="24"/>
        </w:rPr>
        <w:t xml:space="preserve">Implications  </w:t>
      </w:r>
    </w:p>
    <w:p w14:paraId="1056A245" w14:textId="00805EDC"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b/>
          <w:bCs/>
          <w:i/>
          <w:iCs/>
          <w:color w:val="000000" w:themeColor="text1"/>
          <w:sz w:val="24"/>
          <w:szCs w:val="24"/>
        </w:rPr>
        <w:t>Theoretical Contributions:</w:t>
      </w:r>
      <w:r w:rsidRPr="006E011C">
        <w:rPr>
          <w:rFonts w:asciiTheme="majorBidi" w:hAnsiTheme="majorBidi" w:cstheme="majorBidi"/>
          <w:b/>
          <w:bCs/>
          <w:color w:val="000000" w:themeColor="text1"/>
          <w:sz w:val="24"/>
          <w:szCs w:val="24"/>
        </w:rPr>
        <w:t xml:space="preserve"> </w:t>
      </w:r>
      <w:r w:rsidRPr="006E011C">
        <w:rPr>
          <w:rFonts w:asciiTheme="majorBidi" w:hAnsiTheme="majorBidi" w:cstheme="majorBidi"/>
          <w:color w:val="000000" w:themeColor="text1"/>
          <w:sz w:val="24"/>
          <w:szCs w:val="24"/>
        </w:rPr>
        <w:t xml:space="preserve">This study contributes to the atmospherics and </w:t>
      </w:r>
      <w:proofErr w:type="spellStart"/>
      <w:r w:rsidRPr="006E011C">
        <w:rPr>
          <w:rFonts w:asciiTheme="majorBidi" w:hAnsiTheme="majorBidi" w:cstheme="majorBidi"/>
          <w:color w:val="000000" w:themeColor="text1"/>
          <w:sz w:val="24"/>
          <w:szCs w:val="24"/>
        </w:rPr>
        <w:t>servicescape</w:t>
      </w:r>
      <w:proofErr w:type="spellEnd"/>
      <w:r w:rsidRPr="006E011C">
        <w:rPr>
          <w:rFonts w:asciiTheme="majorBidi" w:hAnsiTheme="majorBidi" w:cstheme="majorBidi"/>
          <w:color w:val="000000" w:themeColor="text1"/>
          <w:sz w:val="24"/>
          <w:szCs w:val="24"/>
        </w:rPr>
        <w:t xml:space="preserve"> discourse in several important respects. First, it conceptualises IEQ through the combined interaction of lighting and colour rather than examining these variables independently, thereby addressing the interactional limitations identified in earlier research. Second, the study integrates two largely disconnected research trajectories—namely, studies on the psychological effects of lighting and colour in environmental settings and research on perceived waiting time within service environments—into a unified analytical framework. In doing so, it responds directly to the lack of theoretical integration within current scholarship. Third, the findings indicate that emotional response exerts a stronger influence on customer attraction than perceived waiting time. This </w:t>
      </w:r>
      <w:r w:rsidRPr="006E011C">
        <w:rPr>
          <w:rFonts w:asciiTheme="majorBidi" w:hAnsiTheme="majorBidi" w:cstheme="majorBidi"/>
          <w:color w:val="000000" w:themeColor="text1"/>
          <w:sz w:val="24"/>
          <w:szCs w:val="24"/>
        </w:rPr>
        <w:lastRenderedPageBreak/>
        <w:t xml:space="preserve">outcome extends the explanatory capacity of the S–O–R framework by demonstrating that the cognitive and emotional dimensions of the “organism” stage require more nuanced treatment than is typically offered in contemporary </w:t>
      </w:r>
      <w:proofErr w:type="spellStart"/>
      <w:r w:rsidRPr="006E011C">
        <w:rPr>
          <w:rFonts w:asciiTheme="majorBidi" w:hAnsiTheme="majorBidi" w:cstheme="majorBidi"/>
          <w:color w:val="000000" w:themeColor="text1"/>
          <w:sz w:val="24"/>
          <w:szCs w:val="24"/>
        </w:rPr>
        <w:t>servicescape</w:t>
      </w:r>
      <w:proofErr w:type="spellEnd"/>
      <w:r w:rsidRPr="006E011C">
        <w:rPr>
          <w:rFonts w:asciiTheme="majorBidi" w:hAnsiTheme="majorBidi" w:cstheme="majorBidi"/>
          <w:color w:val="000000" w:themeColor="text1"/>
          <w:sz w:val="24"/>
          <w:szCs w:val="24"/>
        </w:rPr>
        <w:t xml:space="preserve"> studies.</w:t>
      </w:r>
    </w:p>
    <w:p w14:paraId="669BDCE6"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b/>
          <w:bCs/>
          <w:i/>
          <w:iCs/>
          <w:color w:val="000000" w:themeColor="text1"/>
          <w:sz w:val="24"/>
          <w:szCs w:val="24"/>
        </w:rPr>
        <w:t>Implications for Design Practice:</w:t>
      </w:r>
      <w:r w:rsidRPr="006E011C">
        <w:rPr>
          <w:rFonts w:asciiTheme="majorBidi" w:hAnsiTheme="majorBidi" w:cstheme="majorBidi"/>
          <w:b/>
          <w:bCs/>
          <w:color w:val="000000" w:themeColor="text1"/>
          <w:sz w:val="24"/>
          <w:szCs w:val="24"/>
        </w:rPr>
        <w:t xml:space="preserve"> </w:t>
      </w:r>
      <w:r w:rsidRPr="006E011C">
        <w:rPr>
          <w:rFonts w:asciiTheme="majorBidi" w:hAnsiTheme="majorBidi" w:cstheme="majorBidi"/>
          <w:color w:val="000000" w:themeColor="text1"/>
          <w:sz w:val="24"/>
          <w:szCs w:val="24"/>
        </w:rPr>
        <w:t>The findings also carry practical implications for interior designers and restaurant operators. The results suggest that there is no universally ideal lighting–colour configuration suitable for all restaurant contexts. Cooler and brighter environmental conditions appear more effective for emotional balance and controlled stimulation, whereas warmer and brighter settings are more successful in reducing perceived waiting duration. Rather than treating these outcomes as contradictory, they can be strategically integrated within spatial programming. For instance, warm and bright atmospheric conditions may be more appropriate in waiting and queuing areas, while cooler and brighter compositions may better support seating and dining spaces. Similarly, adaptive lighting systems with adjustable colour temperature could allow restaurants to modify environmental conditions throughout different phases of the customer experience. The findings further indicate that demographic characteristics influence environmental preference: younger customer groups appear more responsive to warm and bright settings, whereas colder and brighter atmospheres remain effective for older users.</w:t>
      </w:r>
    </w:p>
    <w:p w14:paraId="0476475D" w14:textId="2F505696"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b/>
          <w:bCs/>
          <w:i/>
          <w:iCs/>
          <w:color w:val="000000" w:themeColor="text1"/>
          <w:sz w:val="24"/>
          <w:szCs w:val="24"/>
        </w:rPr>
        <w:t>Cultural and Methodological Significance:</w:t>
      </w:r>
      <w:r w:rsidRPr="006E011C">
        <w:rPr>
          <w:rFonts w:asciiTheme="majorBidi" w:hAnsiTheme="majorBidi" w:cstheme="majorBidi"/>
          <w:b/>
          <w:bCs/>
          <w:color w:val="000000" w:themeColor="text1"/>
          <w:sz w:val="24"/>
          <w:szCs w:val="24"/>
        </w:rPr>
        <w:t xml:space="preserve"> </w:t>
      </w:r>
      <w:r w:rsidRPr="006E011C">
        <w:rPr>
          <w:rFonts w:asciiTheme="majorBidi" w:hAnsiTheme="majorBidi" w:cstheme="majorBidi"/>
          <w:color w:val="000000" w:themeColor="text1"/>
          <w:sz w:val="24"/>
          <w:szCs w:val="24"/>
        </w:rPr>
        <w:t xml:space="preserve">The prominence of green lighting in generating positive emotional responses introduces an important cultural dimension to the interpretation of atmospheric effects. In the Iranian context, where green possesses strong cultural associations, the findings challenge assumptions within predominantly Western literature that warm-toned environments universally produce the most favourable emotional outcomes. This suggests that IEQ strategies should not rely on universalised design assumptions but instead account for cultural and contextual specificity. Accordingly, future </w:t>
      </w:r>
      <w:proofErr w:type="spellStart"/>
      <w:r w:rsidRPr="006E011C">
        <w:rPr>
          <w:rFonts w:asciiTheme="majorBidi" w:hAnsiTheme="majorBidi" w:cstheme="majorBidi"/>
          <w:color w:val="000000" w:themeColor="text1"/>
          <w:sz w:val="24"/>
          <w:szCs w:val="24"/>
        </w:rPr>
        <w:t>servicescape</w:t>
      </w:r>
      <w:proofErr w:type="spellEnd"/>
      <w:r w:rsidRPr="006E011C">
        <w:rPr>
          <w:rFonts w:asciiTheme="majorBidi" w:hAnsiTheme="majorBidi" w:cstheme="majorBidi"/>
          <w:color w:val="000000" w:themeColor="text1"/>
          <w:sz w:val="24"/>
          <w:szCs w:val="24"/>
        </w:rPr>
        <w:t xml:space="preserve"> and environmental psychology models would benefit from incorporating cultural variables more explicitly into their analytical frameworks.</w:t>
      </w:r>
    </w:p>
    <w:p w14:paraId="489C6C2A" w14:textId="77777777" w:rsidR="00E64CA0" w:rsidRPr="006E011C" w:rsidRDefault="00E64CA0" w:rsidP="00E64CA0">
      <w:pPr>
        <w:spacing w:before="100" w:beforeAutospacing="1" w:after="100" w:afterAutospacing="1" w:line="360" w:lineRule="auto"/>
        <w:jc w:val="both"/>
        <w:rPr>
          <w:rFonts w:asciiTheme="majorBidi" w:hAnsiTheme="majorBidi" w:cstheme="majorBidi"/>
          <w:color w:val="000000" w:themeColor="text1"/>
          <w:sz w:val="24"/>
          <w:szCs w:val="24"/>
        </w:rPr>
      </w:pPr>
      <w:r w:rsidRPr="006E011C">
        <w:rPr>
          <w:rFonts w:asciiTheme="majorBidi" w:hAnsiTheme="majorBidi" w:cstheme="majorBidi"/>
          <w:b/>
          <w:bCs/>
          <w:i/>
          <w:iCs/>
          <w:color w:val="000000" w:themeColor="text1"/>
          <w:sz w:val="24"/>
          <w:szCs w:val="24"/>
        </w:rPr>
        <w:t>Interdisciplinary Relevance:</w:t>
      </w:r>
      <w:r w:rsidRPr="006E011C">
        <w:rPr>
          <w:rFonts w:asciiTheme="majorBidi" w:hAnsiTheme="majorBidi" w:cstheme="majorBidi"/>
          <w:b/>
          <w:bCs/>
          <w:color w:val="000000" w:themeColor="text1"/>
          <w:sz w:val="24"/>
          <w:szCs w:val="24"/>
        </w:rPr>
        <w:t xml:space="preserve"> </w:t>
      </w:r>
      <w:r w:rsidRPr="006E011C">
        <w:rPr>
          <w:rFonts w:asciiTheme="majorBidi" w:hAnsiTheme="majorBidi" w:cstheme="majorBidi"/>
          <w:color w:val="000000" w:themeColor="text1"/>
          <w:sz w:val="24"/>
          <w:szCs w:val="24"/>
        </w:rPr>
        <w:t xml:space="preserve">The study also contributes to cross-disciplinary dialogue between marketing, environmental psychology, and interior architecture. From a marketing perspective, it redefines IEQ not merely as a background atmospheric condition but as an active and measurable design mechanism capable of shaping behavioural responses. From an interior architecture </w:t>
      </w:r>
      <w:r w:rsidRPr="006E011C">
        <w:rPr>
          <w:rFonts w:asciiTheme="majorBidi" w:hAnsiTheme="majorBidi" w:cstheme="majorBidi"/>
          <w:color w:val="000000" w:themeColor="text1"/>
          <w:sz w:val="24"/>
          <w:szCs w:val="24"/>
        </w:rPr>
        <w:lastRenderedPageBreak/>
        <w:t>perspective, the research provides empirical support for spatial and sensory design decisions that are frequently justified only through aesthetic judgement or professional intuition. Moreover, the conceptual framework developed in this study has applicability beyond restaurant settings. Similar models examining the relationships between lighting, colour, emotion, and temporal perception may be extended to healthcare environments, transportation terminals, hospitality queues, and other waiting-oriented spaces, thereby opening broader opportunities for multidisciplinary research and evidence-based spatial design.</w:t>
      </w:r>
    </w:p>
    <w:p w14:paraId="33EE55A2" w14:textId="77777777" w:rsidR="00E64CA0" w:rsidRPr="006E011C" w:rsidRDefault="00E64CA0" w:rsidP="00E64CA0">
      <w:pPr>
        <w:pStyle w:val="Heading1"/>
        <w:rPr>
          <w:rFonts w:asciiTheme="majorBidi" w:hAnsiTheme="majorBidi"/>
          <w:b/>
          <w:bCs/>
          <w:color w:val="000000" w:themeColor="text1"/>
          <w:sz w:val="24"/>
          <w:szCs w:val="24"/>
        </w:rPr>
      </w:pPr>
      <w:r w:rsidRPr="006E011C">
        <w:rPr>
          <w:rFonts w:asciiTheme="majorBidi" w:hAnsiTheme="majorBidi"/>
          <w:b/>
          <w:bCs/>
          <w:color w:val="000000" w:themeColor="text1"/>
          <w:sz w:val="24"/>
          <w:szCs w:val="24"/>
        </w:rPr>
        <w:t>References</w:t>
      </w:r>
    </w:p>
    <w:p w14:paraId="18A3DAF5" w14:textId="77777777" w:rsidR="003D25EE" w:rsidRPr="006E011C" w:rsidRDefault="00E64CA0" w:rsidP="003D25EE">
      <w:pPr>
        <w:pStyle w:val="EndNoteBibliography"/>
        <w:ind w:left="720" w:hanging="720"/>
        <w:rPr>
          <w:rFonts w:asciiTheme="majorBidi" w:hAnsiTheme="majorBidi" w:cstheme="majorBidi"/>
        </w:rPr>
      </w:pPr>
      <w:r w:rsidRPr="006E011C">
        <w:rPr>
          <w:rFonts w:asciiTheme="majorBidi" w:hAnsiTheme="majorBidi" w:cstheme="majorBidi"/>
          <w:noProof w:val="0"/>
          <w:color w:val="000000" w:themeColor="text1"/>
          <w:sz w:val="24"/>
          <w:szCs w:val="24"/>
          <w:lang w:val="en-AU"/>
        </w:rPr>
        <w:fldChar w:fldCharType="begin"/>
      </w:r>
      <w:r w:rsidRPr="006E011C">
        <w:rPr>
          <w:rFonts w:asciiTheme="majorBidi" w:hAnsiTheme="majorBidi" w:cstheme="majorBidi"/>
          <w:noProof w:val="0"/>
          <w:color w:val="000000" w:themeColor="text1"/>
          <w:sz w:val="24"/>
          <w:szCs w:val="24"/>
          <w:lang w:val="en-AU"/>
        </w:rPr>
        <w:instrText xml:space="preserve"> ADDIN EN.REFLIST </w:instrText>
      </w:r>
      <w:r w:rsidRPr="006E011C">
        <w:rPr>
          <w:rFonts w:asciiTheme="majorBidi" w:hAnsiTheme="majorBidi" w:cstheme="majorBidi"/>
          <w:noProof w:val="0"/>
          <w:color w:val="000000" w:themeColor="text1"/>
          <w:sz w:val="24"/>
          <w:szCs w:val="24"/>
          <w:lang w:val="en-AU"/>
        </w:rPr>
        <w:fldChar w:fldCharType="separate"/>
      </w:r>
      <w:r w:rsidR="003D25EE" w:rsidRPr="006E011C">
        <w:rPr>
          <w:rFonts w:asciiTheme="majorBidi" w:hAnsiTheme="majorBidi" w:cstheme="majorBidi"/>
        </w:rPr>
        <w:t xml:space="preserve">Bielen, F., &amp; Demoulin, N. (2007). Waiting time influence on the satisfaction‐loyalty relationship in services. </w:t>
      </w:r>
      <w:r w:rsidR="003D25EE" w:rsidRPr="006E011C">
        <w:rPr>
          <w:rFonts w:asciiTheme="majorBidi" w:hAnsiTheme="majorBidi" w:cstheme="majorBidi"/>
          <w:i/>
        </w:rPr>
        <w:t>Managing Service Quality: An International Journal</w:t>
      </w:r>
      <w:r w:rsidR="003D25EE" w:rsidRPr="006E011C">
        <w:rPr>
          <w:rFonts w:asciiTheme="majorBidi" w:hAnsiTheme="majorBidi" w:cstheme="majorBidi"/>
        </w:rPr>
        <w:t>,</w:t>
      </w:r>
      <w:r w:rsidR="003D25EE" w:rsidRPr="006E011C">
        <w:rPr>
          <w:rFonts w:asciiTheme="majorBidi" w:hAnsiTheme="majorBidi" w:cstheme="majorBidi"/>
          <w:i/>
        </w:rPr>
        <w:t xml:space="preserve"> 17</w:t>
      </w:r>
      <w:r w:rsidR="003D25EE" w:rsidRPr="006E011C">
        <w:rPr>
          <w:rFonts w:asciiTheme="majorBidi" w:hAnsiTheme="majorBidi" w:cstheme="majorBidi"/>
        </w:rPr>
        <w:t xml:space="preserve">(2), 174-193. </w:t>
      </w:r>
    </w:p>
    <w:p w14:paraId="450D96AF"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Bilgili, B., Ozkul, E., &amp; Koc, E. (2020). The influence of colour of lighting on customers’ waiting time perceptions. </w:t>
      </w:r>
      <w:r w:rsidRPr="006E011C">
        <w:rPr>
          <w:rFonts w:asciiTheme="majorBidi" w:hAnsiTheme="majorBidi" w:cstheme="majorBidi"/>
          <w:i/>
        </w:rPr>
        <w:t>Total Quality Management &amp; Business Excellence</w:t>
      </w:r>
      <w:r w:rsidRPr="006E011C">
        <w:rPr>
          <w:rFonts w:asciiTheme="majorBidi" w:hAnsiTheme="majorBidi" w:cstheme="majorBidi"/>
        </w:rPr>
        <w:t>,</w:t>
      </w:r>
      <w:r w:rsidRPr="006E011C">
        <w:rPr>
          <w:rFonts w:asciiTheme="majorBidi" w:hAnsiTheme="majorBidi" w:cstheme="majorBidi"/>
          <w:i/>
        </w:rPr>
        <w:t xml:space="preserve"> 31</w:t>
      </w:r>
      <w:r w:rsidRPr="006E011C">
        <w:rPr>
          <w:rFonts w:asciiTheme="majorBidi" w:hAnsiTheme="majorBidi" w:cstheme="majorBidi"/>
        </w:rPr>
        <w:t xml:space="preserve">(9-10), 1098-1111. </w:t>
      </w:r>
    </w:p>
    <w:p w14:paraId="70C84750"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Bitner, M. J. (1992). Servicescapes: The impact of physical surroundings on customers and employees. </w:t>
      </w:r>
      <w:r w:rsidRPr="006E011C">
        <w:rPr>
          <w:rFonts w:asciiTheme="majorBidi" w:hAnsiTheme="majorBidi" w:cstheme="majorBidi"/>
          <w:i/>
        </w:rPr>
        <w:t>Journal of marketing</w:t>
      </w:r>
      <w:r w:rsidRPr="006E011C">
        <w:rPr>
          <w:rFonts w:asciiTheme="majorBidi" w:hAnsiTheme="majorBidi" w:cstheme="majorBidi"/>
        </w:rPr>
        <w:t>,</w:t>
      </w:r>
      <w:r w:rsidRPr="006E011C">
        <w:rPr>
          <w:rFonts w:asciiTheme="majorBidi" w:hAnsiTheme="majorBidi" w:cstheme="majorBidi"/>
          <w:i/>
        </w:rPr>
        <w:t xml:space="preserve"> 56</w:t>
      </w:r>
      <w:r w:rsidRPr="006E011C">
        <w:rPr>
          <w:rFonts w:asciiTheme="majorBidi" w:hAnsiTheme="majorBidi" w:cstheme="majorBidi"/>
        </w:rPr>
        <w:t xml:space="preserve">(2), 57-71. </w:t>
      </w:r>
    </w:p>
    <w:p w14:paraId="1FB1CDE9"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Burns, D. J., &amp; Neisner, L. (2006). Customer satisfaction in a retail setting: The contribution of emotion. </w:t>
      </w:r>
      <w:r w:rsidRPr="006E011C">
        <w:rPr>
          <w:rFonts w:asciiTheme="majorBidi" w:hAnsiTheme="majorBidi" w:cstheme="majorBidi"/>
          <w:i/>
        </w:rPr>
        <w:t>International Journal of Retail &amp; Distribution Management</w:t>
      </w:r>
      <w:r w:rsidRPr="006E011C">
        <w:rPr>
          <w:rFonts w:asciiTheme="majorBidi" w:hAnsiTheme="majorBidi" w:cstheme="majorBidi"/>
        </w:rPr>
        <w:t>,</w:t>
      </w:r>
      <w:r w:rsidRPr="006E011C">
        <w:rPr>
          <w:rFonts w:asciiTheme="majorBidi" w:hAnsiTheme="majorBidi" w:cstheme="majorBidi"/>
          <w:i/>
        </w:rPr>
        <w:t xml:space="preserve"> 34</w:t>
      </w:r>
      <w:r w:rsidRPr="006E011C">
        <w:rPr>
          <w:rFonts w:asciiTheme="majorBidi" w:hAnsiTheme="majorBidi" w:cstheme="majorBidi"/>
        </w:rPr>
        <w:t xml:space="preserve">(1), 49-66. </w:t>
      </w:r>
    </w:p>
    <w:p w14:paraId="071DC119"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Chien, S. Y., &amp; Lin, Y. T. (2015). The effects of the service environment on perceived waiting time and emotions. </w:t>
      </w:r>
      <w:r w:rsidRPr="006E011C">
        <w:rPr>
          <w:rFonts w:asciiTheme="majorBidi" w:hAnsiTheme="majorBidi" w:cstheme="majorBidi"/>
          <w:i/>
        </w:rPr>
        <w:t>Human Factors and Ergonomics in Manufacturing &amp; Service Industries</w:t>
      </w:r>
      <w:r w:rsidRPr="006E011C">
        <w:rPr>
          <w:rFonts w:asciiTheme="majorBidi" w:hAnsiTheme="majorBidi" w:cstheme="majorBidi"/>
        </w:rPr>
        <w:t>,</w:t>
      </w:r>
      <w:r w:rsidRPr="006E011C">
        <w:rPr>
          <w:rFonts w:asciiTheme="majorBidi" w:hAnsiTheme="majorBidi" w:cstheme="majorBidi"/>
          <w:i/>
        </w:rPr>
        <w:t xml:space="preserve"> 25</w:t>
      </w:r>
      <w:r w:rsidRPr="006E011C">
        <w:rPr>
          <w:rFonts w:asciiTheme="majorBidi" w:hAnsiTheme="majorBidi" w:cstheme="majorBidi"/>
        </w:rPr>
        <w:t xml:space="preserve">(3), 319-328. </w:t>
      </w:r>
    </w:p>
    <w:p w14:paraId="7D5EBFE5"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Farias, S. A., &amp; Aguiar, E. (2014). Store atmospherics and experiential marketing: A conceptual framework and research propositions for an extraordinary customer experience. </w:t>
      </w:r>
      <w:r w:rsidRPr="006E011C">
        <w:rPr>
          <w:rFonts w:asciiTheme="majorBidi" w:hAnsiTheme="majorBidi" w:cstheme="majorBidi"/>
          <w:i/>
        </w:rPr>
        <w:t>International Business Research</w:t>
      </w:r>
      <w:r w:rsidRPr="006E011C">
        <w:rPr>
          <w:rFonts w:asciiTheme="majorBidi" w:hAnsiTheme="majorBidi" w:cstheme="majorBidi"/>
        </w:rPr>
        <w:t xml:space="preserve">. </w:t>
      </w:r>
    </w:p>
    <w:p w14:paraId="64409DDE"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Itten, J. (1970). </w:t>
      </w:r>
      <w:r w:rsidRPr="006E011C">
        <w:rPr>
          <w:rFonts w:asciiTheme="majorBidi" w:hAnsiTheme="majorBidi" w:cstheme="majorBidi"/>
          <w:i/>
        </w:rPr>
        <w:t>The elements of color</w:t>
      </w:r>
      <w:r w:rsidRPr="006E011C">
        <w:rPr>
          <w:rFonts w:asciiTheme="majorBidi" w:hAnsiTheme="majorBidi" w:cstheme="majorBidi"/>
        </w:rPr>
        <w:t xml:space="preserve"> (Vol. 4). John Wiley &amp; Sons. </w:t>
      </w:r>
    </w:p>
    <w:p w14:paraId="16B932DD"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Jandrić, P., Knox, J., Besley, T., Ryberg, T., Suoranta, J., &amp; Hayes, S. (2018). Postdigital science and education. In (Vol. 50, pp. 893-899): Taylor &amp; Francis.</w:t>
      </w:r>
    </w:p>
    <w:p w14:paraId="69B08613"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Jo, E. H., Chi, O. H., &amp; Kim, J. (2025). How waiting decisions are made: A comparison of restaurant waiting equity and behavioral intentions in physical and virtual queues. </w:t>
      </w:r>
      <w:r w:rsidRPr="006E011C">
        <w:rPr>
          <w:rFonts w:asciiTheme="majorBidi" w:hAnsiTheme="majorBidi" w:cstheme="majorBidi"/>
          <w:i/>
        </w:rPr>
        <w:t>Journal of Hospitality and Tourism Management</w:t>
      </w:r>
      <w:r w:rsidRPr="006E011C">
        <w:rPr>
          <w:rFonts w:asciiTheme="majorBidi" w:hAnsiTheme="majorBidi" w:cstheme="majorBidi"/>
        </w:rPr>
        <w:t>,</w:t>
      </w:r>
      <w:r w:rsidRPr="006E011C">
        <w:rPr>
          <w:rFonts w:asciiTheme="majorBidi" w:hAnsiTheme="majorBidi" w:cstheme="majorBidi"/>
          <w:i/>
        </w:rPr>
        <w:t xml:space="preserve"> 63</w:t>
      </w:r>
      <w:r w:rsidRPr="006E011C">
        <w:rPr>
          <w:rFonts w:asciiTheme="majorBidi" w:hAnsiTheme="majorBidi" w:cstheme="majorBidi"/>
        </w:rPr>
        <w:t xml:space="preserve">, 140-152. </w:t>
      </w:r>
    </w:p>
    <w:p w14:paraId="32A4597B"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Kim, W. G., &amp; Moon, Y. J. (2009). Customers’ cognitive, emotional, and actionable response to the servicescape: A test of the moderating effect of the restaurant type. </w:t>
      </w:r>
      <w:r w:rsidRPr="006E011C">
        <w:rPr>
          <w:rFonts w:asciiTheme="majorBidi" w:hAnsiTheme="majorBidi" w:cstheme="majorBidi"/>
          <w:i/>
        </w:rPr>
        <w:t>International journal of hospitality management</w:t>
      </w:r>
      <w:r w:rsidRPr="006E011C">
        <w:rPr>
          <w:rFonts w:asciiTheme="majorBidi" w:hAnsiTheme="majorBidi" w:cstheme="majorBidi"/>
        </w:rPr>
        <w:t>,</w:t>
      </w:r>
      <w:r w:rsidRPr="006E011C">
        <w:rPr>
          <w:rFonts w:asciiTheme="majorBidi" w:hAnsiTheme="majorBidi" w:cstheme="majorBidi"/>
          <w:i/>
        </w:rPr>
        <w:t xml:space="preserve"> 28</w:t>
      </w:r>
      <w:r w:rsidRPr="006E011C">
        <w:rPr>
          <w:rFonts w:asciiTheme="majorBidi" w:hAnsiTheme="majorBidi" w:cstheme="majorBidi"/>
        </w:rPr>
        <w:t xml:space="preserve">(1), 144-156. </w:t>
      </w:r>
    </w:p>
    <w:p w14:paraId="18E47B41"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Kotler, P. (1973). Atmospherics as a marketing tool. </w:t>
      </w:r>
      <w:r w:rsidRPr="006E011C">
        <w:rPr>
          <w:rFonts w:asciiTheme="majorBidi" w:hAnsiTheme="majorBidi" w:cstheme="majorBidi"/>
          <w:i/>
        </w:rPr>
        <w:t>Journal of retailing</w:t>
      </w:r>
      <w:r w:rsidRPr="006E011C">
        <w:rPr>
          <w:rFonts w:asciiTheme="majorBidi" w:hAnsiTheme="majorBidi" w:cstheme="majorBidi"/>
        </w:rPr>
        <w:t>,</w:t>
      </w:r>
      <w:r w:rsidRPr="006E011C">
        <w:rPr>
          <w:rFonts w:asciiTheme="majorBidi" w:hAnsiTheme="majorBidi" w:cstheme="majorBidi"/>
          <w:i/>
        </w:rPr>
        <w:t xml:space="preserve"> 49</w:t>
      </w:r>
      <w:r w:rsidRPr="006E011C">
        <w:rPr>
          <w:rFonts w:asciiTheme="majorBidi" w:hAnsiTheme="majorBidi" w:cstheme="majorBidi"/>
        </w:rPr>
        <w:t xml:space="preserve">(4), 48-64. </w:t>
      </w:r>
    </w:p>
    <w:p w14:paraId="6E816D25"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Lee, W., &amp; Lambert, C. U. (2006). The effect of waiting time and affective reactions on customers' evaluation of service quality in a cafeteria. </w:t>
      </w:r>
      <w:r w:rsidRPr="006E011C">
        <w:rPr>
          <w:rFonts w:asciiTheme="majorBidi" w:hAnsiTheme="majorBidi" w:cstheme="majorBidi"/>
          <w:i/>
        </w:rPr>
        <w:t>Journal of foodservice business research</w:t>
      </w:r>
      <w:r w:rsidRPr="006E011C">
        <w:rPr>
          <w:rFonts w:asciiTheme="majorBidi" w:hAnsiTheme="majorBidi" w:cstheme="majorBidi"/>
        </w:rPr>
        <w:t>,</w:t>
      </w:r>
      <w:r w:rsidRPr="006E011C">
        <w:rPr>
          <w:rFonts w:asciiTheme="majorBidi" w:hAnsiTheme="majorBidi" w:cstheme="majorBidi"/>
          <w:i/>
        </w:rPr>
        <w:t xml:space="preserve"> 8</w:t>
      </w:r>
      <w:r w:rsidRPr="006E011C">
        <w:rPr>
          <w:rFonts w:asciiTheme="majorBidi" w:hAnsiTheme="majorBidi" w:cstheme="majorBidi"/>
        </w:rPr>
        <w:t xml:space="preserve">(2), 19-37. </w:t>
      </w:r>
    </w:p>
    <w:p w14:paraId="6FBA0E49"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Leong, A. M. W., Chen, K.-Y., Chen, H.-B., Chiang, T.-E., &amp; Huan, T.-C. (2023). Exploring the effects of customers' assessments of a restaurant's atmospherics and emotional assessments on a fine-dining experience and intentions to return. </w:t>
      </w:r>
      <w:r w:rsidRPr="006E011C">
        <w:rPr>
          <w:rFonts w:asciiTheme="majorBidi" w:hAnsiTheme="majorBidi" w:cstheme="majorBidi"/>
          <w:i/>
        </w:rPr>
        <w:t>Tourism Management Perspectives</w:t>
      </w:r>
      <w:r w:rsidRPr="006E011C">
        <w:rPr>
          <w:rFonts w:asciiTheme="majorBidi" w:hAnsiTheme="majorBidi" w:cstheme="majorBidi"/>
        </w:rPr>
        <w:t>,</w:t>
      </w:r>
      <w:r w:rsidRPr="006E011C">
        <w:rPr>
          <w:rFonts w:asciiTheme="majorBidi" w:hAnsiTheme="majorBidi" w:cstheme="majorBidi"/>
          <w:i/>
        </w:rPr>
        <w:t xml:space="preserve"> 47</w:t>
      </w:r>
      <w:r w:rsidRPr="006E011C">
        <w:rPr>
          <w:rFonts w:asciiTheme="majorBidi" w:hAnsiTheme="majorBidi" w:cstheme="majorBidi"/>
        </w:rPr>
        <w:t xml:space="preserve">, 101121. </w:t>
      </w:r>
    </w:p>
    <w:p w14:paraId="077B5DD1"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Maister, D. H. (1984). </w:t>
      </w:r>
      <w:r w:rsidRPr="006E011C">
        <w:rPr>
          <w:rFonts w:asciiTheme="majorBidi" w:hAnsiTheme="majorBidi" w:cstheme="majorBidi"/>
          <w:i/>
        </w:rPr>
        <w:t>The psychology of waiting lines</w:t>
      </w:r>
      <w:r w:rsidRPr="006E011C">
        <w:rPr>
          <w:rFonts w:asciiTheme="majorBidi" w:hAnsiTheme="majorBidi" w:cstheme="majorBidi"/>
        </w:rPr>
        <w:t xml:space="preserve">. Harvard Business School Boston. </w:t>
      </w:r>
    </w:p>
    <w:p w14:paraId="533ABA7C"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Mehrabian, A., &amp; Russell, J. A. (1974). </w:t>
      </w:r>
      <w:r w:rsidRPr="006E011C">
        <w:rPr>
          <w:rFonts w:asciiTheme="majorBidi" w:hAnsiTheme="majorBidi" w:cstheme="majorBidi"/>
          <w:i/>
        </w:rPr>
        <w:t>An approach to environmental psychology</w:t>
      </w:r>
      <w:r w:rsidRPr="006E011C">
        <w:rPr>
          <w:rFonts w:asciiTheme="majorBidi" w:hAnsiTheme="majorBidi" w:cstheme="majorBidi"/>
        </w:rPr>
        <w:t xml:space="preserve">. the MIT Press. </w:t>
      </w:r>
    </w:p>
    <w:p w14:paraId="1C3EC06A"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Russell, J. A., &amp; Pratt, G. (1980). A description of the affective quality attributed to environments. </w:t>
      </w:r>
      <w:r w:rsidRPr="006E011C">
        <w:rPr>
          <w:rFonts w:asciiTheme="majorBidi" w:hAnsiTheme="majorBidi" w:cstheme="majorBidi"/>
          <w:i/>
        </w:rPr>
        <w:t>Journal of personality and social psychology</w:t>
      </w:r>
      <w:r w:rsidRPr="006E011C">
        <w:rPr>
          <w:rFonts w:asciiTheme="majorBidi" w:hAnsiTheme="majorBidi" w:cstheme="majorBidi"/>
        </w:rPr>
        <w:t>,</w:t>
      </w:r>
      <w:r w:rsidRPr="006E011C">
        <w:rPr>
          <w:rFonts w:asciiTheme="majorBidi" w:hAnsiTheme="majorBidi" w:cstheme="majorBidi"/>
          <w:i/>
        </w:rPr>
        <w:t xml:space="preserve"> 38</w:t>
      </w:r>
      <w:r w:rsidRPr="006E011C">
        <w:rPr>
          <w:rFonts w:asciiTheme="majorBidi" w:hAnsiTheme="majorBidi" w:cstheme="majorBidi"/>
        </w:rPr>
        <w:t xml:space="preserve">(2), 311. </w:t>
      </w:r>
    </w:p>
    <w:p w14:paraId="73FEB303"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Saunders, M. (2009). Research methods for business students. </w:t>
      </w:r>
      <w:r w:rsidRPr="006E011C">
        <w:rPr>
          <w:rFonts w:asciiTheme="majorBidi" w:hAnsiTheme="majorBidi" w:cstheme="majorBidi"/>
          <w:i/>
        </w:rPr>
        <w:t>Person Education Limited</w:t>
      </w:r>
      <w:r w:rsidRPr="006E011C">
        <w:rPr>
          <w:rFonts w:asciiTheme="majorBidi" w:hAnsiTheme="majorBidi" w:cstheme="majorBidi"/>
        </w:rPr>
        <w:t xml:space="preserve">. </w:t>
      </w:r>
    </w:p>
    <w:p w14:paraId="14C48850"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Shehab, N., &amp; Durmus, D. (2026). Effects of Ambient and Display Lighting Color on Risk‐Taking Behavior, Perceived Emotional States, and Visual Quality of Indoor Environment. </w:t>
      </w:r>
      <w:r w:rsidRPr="006E011C">
        <w:rPr>
          <w:rFonts w:asciiTheme="majorBidi" w:hAnsiTheme="majorBidi" w:cstheme="majorBidi"/>
          <w:i/>
        </w:rPr>
        <w:t>Color Research &amp; Application</w:t>
      </w:r>
      <w:r w:rsidRPr="006E011C">
        <w:rPr>
          <w:rFonts w:asciiTheme="majorBidi" w:hAnsiTheme="majorBidi" w:cstheme="majorBidi"/>
        </w:rPr>
        <w:t>,</w:t>
      </w:r>
      <w:r w:rsidRPr="006E011C">
        <w:rPr>
          <w:rFonts w:asciiTheme="majorBidi" w:hAnsiTheme="majorBidi" w:cstheme="majorBidi"/>
          <w:i/>
        </w:rPr>
        <w:t xml:space="preserve"> 51</w:t>
      </w:r>
      <w:r w:rsidRPr="006E011C">
        <w:rPr>
          <w:rFonts w:asciiTheme="majorBidi" w:hAnsiTheme="majorBidi" w:cstheme="majorBidi"/>
        </w:rPr>
        <w:t xml:space="preserve">(1), e70005. </w:t>
      </w:r>
    </w:p>
    <w:p w14:paraId="731EE2F4"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lastRenderedPageBreak/>
        <w:t xml:space="preserve">Spence, C. (2021). </w:t>
      </w:r>
      <w:r w:rsidRPr="006E011C">
        <w:rPr>
          <w:rFonts w:asciiTheme="majorBidi" w:hAnsiTheme="majorBidi" w:cstheme="majorBidi"/>
          <w:i/>
        </w:rPr>
        <w:t>Sensehacking: How to use the power of your senses for happier, healthier living</w:t>
      </w:r>
      <w:r w:rsidRPr="006E011C">
        <w:rPr>
          <w:rFonts w:asciiTheme="majorBidi" w:hAnsiTheme="majorBidi" w:cstheme="majorBidi"/>
        </w:rPr>
        <w:t xml:space="preserve">. Penguin UK. </w:t>
      </w:r>
    </w:p>
    <w:p w14:paraId="24AAFD99"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Turley, L. W., &amp; Milliman, R. E. (2000). Atmospheric effects on shopping behavior: a review of the experimental evidence. </w:t>
      </w:r>
      <w:r w:rsidRPr="006E011C">
        <w:rPr>
          <w:rFonts w:asciiTheme="majorBidi" w:hAnsiTheme="majorBidi" w:cstheme="majorBidi"/>
          <w:i/>
        </w:rPr>
        <w:t>Journal of business research</w:t>
      </w:r>
      <w:r w:rsidRPr="006E011C">
        <w:rPr>
          <w:rFonts w:asciiTheme="majorBidi" w:hAnsiTheme="majorBidi" w:cstheme="majorBidi"/>
        </w:rPr>
        <w:t>,</w:t>
      </w:r>
      <w:r w:rsidRPr="006E011C">
        <w:rPr>
          <w:rFonts w:asciiTheme="majorBidi" w:hAnsiTheme="majorBidi" w:cstheme="majorBidi"/>
          <w:i/>
        </w:rPr>
        <w:t xml:space="preserve"> 49</w:t>
      </w:r>
      <w:r w:rsidRPr="006E011C">
        <w:rPr>
          <w:rFonts w:asciiTheme="majorBidi" w:hAnsiTheme="majorBidi" w:cstheme="majorBidi"/>
        </w:rPr>
        <w:t xml:space="preserve">(2), 193-211. </w:t>
      </w:r>
    </w:p>
    <w:p w14:paraId="29167112"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Valdez, P., &amp; Mehrabian, A. (1994). Effects of color on emotions. </w:t>
      </w:r>
      <w:r w:rsidRPr="006E011C">
        <w:rPr>
          <w:rFonts w:asciiTheme="majorBidi" w:hAnsiTheme="majorBidi" w:cstheme="majorBidi"/>
          <w:i/>
        </w:rPr>
        <w:t>Journal of experimental psychology: General</w:t>
      </w:r>
      <w:r w:rsidRPr="006E011C">
        <w:rPr>
          <w:rFonts w:asciiTheme="majorBidi" w:hAnsiTheme="majorBidi" w:cstheme="majorBidi"/>
        </w:rPr>
        <w:t>,</w:t>
      </w:r>
      <w:r w:rsidRPr="006E011C">
        <w:rPr>
          <w:rFonts w:asciiTheme="majorBidi" w:hAnsiTheme="majorBidi" w:cstheme="majorBidi"/>
          <w:i/>
        </w:rPr>
        <w:t xml:space="preserve"> 123</w:t>
      </w:r>
      <w:r w:rsidRPr="006E011C">
        <w:rPr>
          <w:rFonts w:asciiTheme="majorBidi" w:hAnsiTheme="majorBidi" w:cstheme="majorBidi"/>
        </w:rPr>
        <w:t xml:space="preserve">(4), 394. </w:t>
      </w:r>
    </w:p>
    <w:p w14:paraId="0C636E55"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Wardono, P., Hibino, H., &amp; Koyama, S. (2012). Effects of interior colors, lighting and decors on perceived sociability, emotion and behavior related to social dining. </w:t>
      </w:r>
      <w:r w:rsidRPr="006E011C">
        <w:rPr>
          <w:rFonts w:asciiTheme="majorBidi" w:hAnsiTheme="majorBidi" w:cstheme="majorBidi"/>
          <w:i/>
        </w:rPr>
        <w:t>Procedia-Social and Behavioral Sciences</w:t>
      </w:r>
      <w:r w:rsidRPr="006E011C">
        <w:rPr>
          <w:rFonts w:asciiTheme="majorBidi" w:hAnsiTheme="majorBidi" w:cstheme="majorBidi"/>
        </w:rPr>
        <w:t>,</w:t>
      </w:r>
      <w:r w:rsidRPr="006E011C">
        <w:rPr>
          <w:rFonts w:asciiTheme="majorBidi" w:hAnsiTheme="majorBidi" w:cstheme="majorBidi"/>
          <w:i/>
        </w:rPr>
        <w:t xml:space="preserve"> 38</w:t>
      </w:r>
      <w:r w:rsidRPr="006E011C">
        <w:rPr>
          <w:rFonts w:asciiTheme="majorBidi" w:hAnsiTheme="majorBidi" w:cstheme="majorBidi"/>
        </w:rPr>
        <w:t xml:space="preserve">, 362-372. </w:t>
      </w:r>
    </w:p>
    <w:p w14:paraId="6D7C0B86"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Worlitz, J., Vu, D. L., Hettling, L., &amp; Woll, R. (2019). Perceived waiting time and waiting satisfaction: a systematic literature review. </w:t>
      </w:r>
    </w:p>
    <w:p w14:paraId="3B4C26C5" w14:textId="77777777" w:rsidR="003D25EE" w:rsidRPr="006E011C" w:rsidRDefault="003D25EE" w:rsidP="003D25EE">
      <w:pPr>
        <w:pStyle w:val="EndNoteBibliography"/>
        <w:ind w:left="720" w:hanging="720"/>
        <w:rPr>
          <w:rFonts w:asciiTheme="majorBidi" w:hAnsiTheme="majorBidi" w:cstheme="majorBidi"/>
        </w:rPr>
      </w:pPr>
      <w:r w:rsidRPr="006E011C">
        <w:rPr>
          <w:rFonts w:asciiTheme="majorBidi" w:hAnsiTheme="majorBidi" w:cstheme="majorBidi"/>
        </w:rPr>
        <w:t xml:space="preserve">Wu, L., He, Z., King, C., &amp; Mattila, A. S. (2021). In darkness we seek light: The impact of focal and general lighting designs on customers’ approach intentions toward restaurants. </w:t>
      </w:r>
      <w:r w:rsidRPr="006E011C">
        <w:rPr>
          <w:rFonts w:asciiTheme="majorBidi" w:hAnsiTheme="majorBidi" w:cstheme="majorBidi"/>
          <w:i/>
        </w:rPr>
        <w:t>International journal of hospitality management</w:t>
      </w:r>
      <w:r w:rsidRPr="006E011C">
        <w:rPr>
          <w:rFonts w:asciiTheme="majorBidi" w:hAnsiTheme="majorBidi" w:cstheme="majorBidi"/>
        </w:rPr>
        <w:t>,</w:t>
      </w:r>
      <w:r w:rsidRPr="006E011C">
        <w:rPr>
          <w:rFonts w:asciiTheme="majorBidi" w:hAnsiTheme="majorBidi" w:cstheme="majorBidi"/>
          <w:i/>
        </w:rPr>
        <w:t xml:space="preserve"> 92</w:t>
      </w:r>
      <w:r w:rsidRPr="006E011C">
        <w:rPr>
          <w:rFonts w:asciiTheme="majorBidi" w:hAnsiTheme="majorBidi" w:cstheme="majorBidi"/>
        </w:rPr>
        <w:t xml:space="preserve">, 102735. </w:t>
      </w:r>
    </w:p>
    <w:p w14:paraId="237CD4D9" w14:textId="1A9E05AB" w:rsidR="00E64CA0" w:rsidRPr="006E011C" w:rsidRDefault="00E64CA0" w:rsidP="003D25EE">
      <w:pPr>
        <w:autoSpaceDE w:val="0"/>
        <w:autoSpaceDN w:val="0"/>
        <w:adjustRightInd w:val="0"/>
        <w:spacing w:before="100" w:beforeAutospacing="1" w:after="100" w:afterAutospacing="1" w:line="360" w:lineRule="auto"/>
        <w:ind w:left="57" w:firstLine="284"/>
        <w:jc w:val="both"/>
        <w:rPr>
          <w:rFonts w:asciiTheme="majorBidi" w:hAnsiTheme="majorBidi" w:cstheme="majorBidi"/>
          <w:color w:val="000000" w:themeColor="text1"/>
          <w:sz w:val="24"/>
          <w:szCs w:val="24"/>
        </w:rPr>
      </w:pPr>
      <w:r w:rsidRPr="006E011C">
        <w:rPr>
          <w:rFonts w:asciiTheme="majorBidi" w:hAnsiTheme="majorBidi" w:cstheme="majorBidi"/>
          <w:color w:val="000000" w:themeColor="text1"/>
          <w:sz w:val="24"/>
          <w:szCs w:val="24"/>
        </w:rPr>
        <w:fldChar w:fldCharType="end"/>
      </w:r>
    </w:p>
    <w:p w14:paraId="60358C85" w14:textId="5F91C226" w:rsidR="009B386F" w:rsidRPr="006E011C" w:rsidRDefault="009B386F" w:rsidP="00E64CA0">
      <w:pPr>
        <w:rPr>
          <w:rFonts w:asciiTheme="majorBidi" w:hAnsiTheme="majorBidi" w:cstheme="majorBidi"/>
          <w:lang w:val="en-US"/>
        </w:rPr>
      </w:pPr>
    </w:p>
    <w:sectPr w:rsidR="009B386F" w:rsidRPr="006E011C" w:rsidSect="00E64CA0">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F14A3" w14:textId="77777777" w:rsidR="00A4630D" w:rsidRDefault="00A4630D" w:rsidP="00E64CA0">
      <w:r>
        <w:separator/>
      </w:r>
    </w:p>
  </w:endnote>
  <w:endnote w:type="continuationSeparator" w:id="0">
    <w:p w14:paraId="30C09757" w14:textId="77777777" w:rsidR="00A4630D" w:rsidRDefault="00A4630D" w:rsidP="00E64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957A0" w14:textId="77777777" w:rsidR="00A4630D" w:rsidRDefault="00A4630D" w:rsidP="00E64CA0">
      <w:r>
        <w:separator/>
      </w:r>
    </w:p>
  </w:footnote>
  <w:footnote w:type="continuationSeparator" w:id="0">
    <w:p w14:paraId="5E419042" w14:textId="77777777" w:rsidR="00A4630D" w:rsidRDefault="00A4630D" w:rsidP="00E64CA0">
      <w:r>
        <w:continuationSeparator/>
      </w:r>
    </w:p>
  </w:footnote>
  <w:footnote w:id="1">
    <w:p w14:paraId="0BB4C478" w14:textId="7091EFE6" w:rsidR="00E64CA0" w:rsidRPr="009B6A03" w:rsidRDefault="00E64CA0" w:rsidP="00E64CA0">
      <w:pPr>
        <w:pStyle w:val="FootnoteText"/>
        <w:spacing w:line="276" w:lineRule="auto"/>
        <w:jc w:val="both"/>
        <w:rPr>
          <w:rFonts w:asciiTheme="majorBidi" w:hAnsiTheme="majorBidi" w:cstheme="majorBidi"/>
          <w:lang w:val="en-US"/>
        </w:rPr>
      </w:pPr>
      <w:r w:rsidRPr="00394545">
        <w:rPr>
          <w:rStyle w:val="FootnoteReference"/>
          <w:rFonts w:asciiTheme="majorBidi" w:hAnsiTheme="majorBidi" w:cstheme="majorBidi"/>
        </w:rPr>
        <w:footnoteRef/>
      </w:r>
      <w:r w:rsidRPr="00394545">
        <w:rPr>
          <w:rFonts w:asciiTheme="majorBidi" w:hAnsiTheme="majorBidi" w:cstheme="majorBidi"/>
        </w:rPr>
        <w:t xml:space="preserve"> The images used in this study were originally developed in Effects of Interior </w:t>
      </w:r>
      <w:proofErr w:type="spellStart"/>
      <w:r w:rsidRPr="00394545">
        <w:rPr>
          <w:rFonts w:asciiTheme="majorBidi" w:hAnsiTheme="majorBidi" w:cstheme="majorBidi"/>
        </w:rPr>
        <w:t>Colors</w:t>
      </w:r>
      <w:proofErr w:type="spellEnd"/>
      <w:r w:rsidRPr="00394545">
        <w:rPr>
          <w:rFonts w:asciiTheme="majorBidi" w:hAnsiTheme="majorBidi" w:cstheme="majorBidi"/>
        </w:rPr>
        <w:t xml:space="preserve">, Lighting and Decors on Perceived Sociability, Emotion and </w:t>
      </w:r>
      <w:proofErr w:type="spellStart"/>
      <w:r w:rsidRPr="00394545">
        <w:rPr>
          <w:rFonts w:asciiTheme="majorBidi" w:hAnsiTheme="majorBidi" w:cstheme="majorBidi"/>
        </w:rPr>
        <w:t>Behavior</w:t>
      </w:r>
      <w:proofErr w:type="spellEnd"/>
      <w:r w:rsidRPr="00394545">
        <w:rPr>
          <w:rFonts w:asciiTheme="majorBidi" w:hAnsiTheme="majorBidi" w:cstheme="majorBidi"/>
        </w:rPr>
        <w:t xml:space="preserve"> Related to Social Dining (</w:t>
      </w:r>
      <w:proofErr w:type="spellStart"/>
      <w:r w:rsidRPr="00394545">
        <w:rPr>
          <w:rFonts w:asciiTheme="majorBidi" w:hAnsiTheme="majorBidi" w:cstheme="majorBidi"/>
        </w:rPr>
        <w:t>Wardono</w:t>
      </w:r>
      <w:proofErr w:type="spellEnd"/>
      <w:r w:rsidRPr="00394545">
        <w:rPr>
          <w:rFonts w:asciiTheme="majorBidi" w:hAnsiTheme="majorBidi" w:cstheme="majorBidi"/>
        </w:rPr>
        <w:t xml:space="preserve"> et al., 2012).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8202A7"/>
    <w:multiLevelType w:val="multilevel"/>
    <w:tmpl w:val="EEB07F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581794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pst05zptaafreftwnxf9z0wwzeppsvvads&quot;&gt;My EndNote Library&lt;record-ids&gt;&lt;item&gt;3799&lt;/item&gt;&lt;item&gt;4016&lt;/item&gt;&lt;item&gt;4017&lt;/item&gt;&lt;item&gt;4018&lt;/item&gt;&lt;item&gt;4019&lt;/item&gt;&lt;item&gt;4020&lt;/item&gt;&lt;item&gt;4021&lt;/item&gt;&lt;item&gt;4022&lt;/item&gt;&lt;item&gt;4023&lt;/item&gt;&lt;item&gt;4024&lt;/item&gt;&lt;item&gt;4025&lt;/item&gt;&lt;item&gt;4026&lt;/item&gt;&lt;item&gt;4027&lt;/item&gt;&lt;item&gt;4028&lt;/item&gt;&lt;item&gt;4029&lt;/item&gt;&lt;item&gt;4030&lt;/item&gt;&lt;item&gt;4031&lt;/item&gt;&lt;item&gt;4032&lt;/item&gt;&lt;item&gt;4033&lt;/item&gt;&lt;item&gt;4034&lt;/item&gt;&lt;item&gt;4035&lt;/item&gt;&lt;item&gt;4036&lt;/item&gt;&lt;item&gt;4038&lt;/item&gt;&lt;item&gt;4039&lt;/item&gt;&lt;/record-ids&gt;&lt;/item&gt;&lt;/Libraries&gt;"/>
  </w:docVars>
  <w:rsids>
    <w:rsidRoot w:val="005C5CE0"/>
    <w:rsid w:val="000015C3"/>
    <w:rsid w:val="00025EB7"/>
    <w:rsid w:val="00066B9D"/>
    <w:rsid w:val="00160ABF"/>
    <w:rsid w:val="003912E8"/>
    <w:rsid w:val="003D25EE"/>
    <w:rsid w:val="003E2580"/>
    <w:rsid w:val="005C5CE0"/>
    <w:rsid w:val="00633520"/>
    <w:rsid w:val="00643397"/>
    <w:rsid w:val="0069696A"/>
    <w:rsid w:val="006E011C"/>
    <w:rsid w:val="0076590F"/>
    <w:rsid w:val="0081480F"/>
    <w:rsid w:val="008C07E7"/>
    <w:rsid w:val="008C4066"/>
    <w:rsid w:val="008D222C"/>
    <w:rsid w:val="008F5860"/>
    <w:rsid w:val="009B386F"/>
    <w:rsid w:val="00A27E0A"/>
    <w:rsid w:val="00A4630D"/>
    <w:rsid w:val="00A67375"/>
    <w:rsid w:val="00A749A2"/>
    <w:rsid w:val="00CC48E5"/>
    <w:rsid w:val="00CE1D54"/>
    <w:rsid w:val="00CE5FF4"/>
    <w:rsid w:val="00D22642"/>
    <w:rsid w:val="00D31EE2"/>
    <w:rsid w:val="00D34538"/>
    <w:rsid w:val="00D37E1E"/>
    <w:rsid w:val="00D45698"/>
    <w:rsid w:val="00DC6F6E"/>
    <w:rsid w:val="00DF06A9"/>
    <w:rsid w:val="00E64CA0"/>
    <w:rsid w:val="00E71B7D"/>
    <w:rsid w:val="00F25B94"/>
    <w:rsid w:val="00F42E70"/>
    <w:rsid w:val="00FD20B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F32A8"/>
  <w15:chartTrackingRefBased/>
  <w15:docId w15:val="{2CDD8C66-A939-46F0-8998-59942CB1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fa-IR"/>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CA0"/>
    <w:pPr>
      <w:spacing w:after="0" w:line="240" w:lineRule="auto"/>
    </w:pPr>
    <w:rPr>
      <w:rFonts w:ascii="Calibri" w:eastAsia="Calibri" w:hAnsi="Calibri" w:cs="Arial"/>
      <w:kern w:val="0"/>
      <w:lang w:val="en-AU" w:bidi="ar-SA"/>
      <w14:ligatures w14:val="none"/>
    </w:rPr>
  </w:style>
  <w:style w:type="paragraph" w:styleId="Heading1">
    <w:name w:val="heading 1"/>
    <w:basedOn w:val="Normal"/>
    <w:next w:val="Normal"/>
    <w:link w:val="Heading1Char"/>
    <w:uiPriority w:val="9"/>
    <w:qFormat/>
    <w:rsid w:val="005C5C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5C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5C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5C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5C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5CE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5CE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5CE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5CE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81480F"/>
    <w:pPr>
      <w:spacing w:after="0" w:line="240" w:lineRule="auto"/>
    </w:pPr>
    <w:rPr>
      <w:rFonts w:eastAsiaTheme="minorEastAsia"/>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رفرنس"/>
    <w:basedOn w:val="BodyText2"/>
    <w:link w:val="Char"/>
    <w:autoRedefine/>
    <w:qFormat/>
    <w:rsid w:val="00DC6F6E"/>
    <w:pPr>
      <w:spacing w:after="0" w:line="276" w:lineRule="auto"/>
      <w:jc w:val="both"/>
    </w:pPr>
    <w:rPr>
      <w:rFonts w:ascii="Times New Roman" w:eastAsia="Times New Roman" w:hAnsi="Times New Roman" w:cstheme="majorBidi"/>
      <w:sz w:val="24"/>
      <w:szCs w:val="20"/>
    </w:rPr>
  </w:style>
  <w:style w:type="character" w:customStyle="1" w:styleId="Char">
    <w:name w:val="رفرنس Char"/>
    <w:basedOn w:val="BodyText2Char"/>
    <w:link w:val="a"/>
    <w:rsid w:val="00DC6F6E"/>
    <w:rPr>
      <w:rFonts w:ascii="Times New Roman" w:eastAsia="Times New Roman" w:hAnsi="Times New Roman" w:cstheme="majorBidi"/>
      <w:sz w:val="24"/>
      <w:szCs w:val="20"/>
      <w:lang w:bidi="ar-SA"/>
    </w:rPr>
  </w:style>
  <w:style w:type="paragraph" w:styleId="BodyText2">
    <w:name w:val="Body Text 2"/>
    <w:basedOn w:val="Normal"/>
    <w:link w:val="BodyText2Char"/>
    <w:uiPriority w:val="99"/>
    <w:semiHidden/>
    <w:unhideWhenUsed/>
    <w:rsid w:val="00DC6F6E"/>
    <w:pPr>
      <w:spacing w:after="120" w:line="480" w:lineRule="auto"/>
    </w:pPr>
  </w:style>
  <w:style w:type="character" w:customStyle="1" w:styleId="BodyText2Char">
    <w:name w:val="Body Text 2 Char"/>
    <w:basedOn w:val="DefaultParagraphFont"/>
    <w:link w:val="BodyText2"/>
    <w:uiPriority w:val="99"/>
    <w:semiHidden/>
    <w:rsid w:val="00DC6F6E"/>
  </w:style>
  <w:style w:type="character" w:customStyle="1" w:styleId="Heading1Char">
    <w:name w:val="Heading 1 Char"/>
    <w:basedOn w:val="DefaultParagraphFont"/>
    <w:link w:val="Heading1"/>
    <w:uiPriority w:val="9"/>
    <w:rsid w:val="005C5CE0"/>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5C5CE0"/>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5C5CE0"/>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5C5CE0"/>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5C5CE0"/>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5C5CE0"/>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5C5CE0"/>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5C5CE0"/>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5C5CE0"/>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5C5CE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5CE0"/>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5C5C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5CE0"/>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5C5CE0"/>
    <w:pPr>
      <w:spacing w:before="160"/>
      <w:jc w:val="center"/>
    </w:pPr>
    <w:rPr>
      <w:i/>
      <w:iCs/>
      <w:color w:val="404040" w:themeColor="text1" w:themeTint="BF"/>
    </w:rPr>
  </w:style>
  <w:style w:type="character" w:customStyle="1" w:styleId="QuoteChar">
    <w:name w:val="Quote Char"/>
    <w:basedOn w:val="DefaultParagraphFont"/>
    <w:link w:val="Quote"/>
    <w:uiPriority w:val="29"/>
    <w:rsid w:val="005C5CE0"/>
    <w:rPr>
      <w:i/>
      <w:iCs/>
      <w:color w:val="404040" w:themeColor="text1" w:themeTint="BF"/>
      <w:lang w:val="en-GB"/>
    </w:rPr>
  </w:style>
  <w:style w:type="paragraph" w:styleId="ListParagraph">
    <w:name w:val="List Paragraph"/>
    <w:basedOn w:val="Normal"/>
    <w:uiPriority w:val="34"/>
    <w:qFormat/>
    <w:rsid w:val="005C5CE0"/>
    <w:pPr>
      <w:ind w:left="720"/>
      <w:contextualSpacing/>
    </w:pPr>
  </w:style>
  <w:style w:type="character" w:styleId="IntenseEmphasis">
    <w:name w:val="Intense Emphasis"/>
    <w:basedOn w:val="DefaultParagraphFont"/>
    <w:uiPriority w:val="21"/>
    <w:qFormat/>
    <w:rsid w:val="005C5CE0"/>
    <w:rPr>
      <w:i/>
      <w:iCs/>
      <w:color w:val="0F4761" w:themeColor="accent1" w:themeShade="BF"/>
    </w:rPr>
  </w:style>
  <w:style w:type="paragraph" w:styleId="IntenseQuote">
    <w:name w:val="Intense Quote"/>
    <w:basedOn w:val="Normal"/>
    <w:next w:val="Normal"/>
    <w:link w:val="IntenseQuoteChar"/>
    <w:uiPriority w:val="30"/>
    <w:qFormat/>
    <w:rsid w:val="005C5C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5CE0"/>
    <w:rPr>
      <w:i/>
      <w:iCs/>
      <w:color w:val="0F4761" w:themeColor="accent1" w:themeShade="BF"/>
      <w:lang w:val="en-GB"/>
    </w:rPr>
  </w:style>
  <w:style w:type="character" w:styleId="IntenseReference">
    <w:name w:val="Intense Reference"/>
    <w:basedOn w:val="DefaultParagraphFont"/>
    <w:uiPriority w:val="32"/>
    <w:qFormat/>
    <w:rsid w:val="005C5CE0"/>
    <w:rPr>
      <w:b/>
      <w:bCs/>
      <w:smallCaps/>
      <w:color w:val="0F4761" w:themeColor="accent1" w:themeShade="BF"/>
      <w:spacing w:val="5"/>
    </w:rPr>
  </w:style>
  <w:style w:type="character" w:styleId="Hyperlink">
    <w:name w:val="Hyperlink"/>
    <w:uiPriority w:val="99"/>
    <w:unhideWhenUsed/>
    <w:rsid w:val="00E64CA0"/>
    <w:rPr>
      <w:color w:val="0563C1"/>
      <w:u w:val="single"/>
    </w:rPr>
  </w:style>
  <w:style w:type="paragraph" w:styleId="FootnoteText">
    <w:name w:val="footnote text"/>
    <w:basedOn w:val="Normal"/>
    <w:link w:val="FootnoteTextChar"/>
    <w:uiPriority w:val="99"/>
    <w:unhideWhenUsed/>
    <w:rsid w:val="00E64CA0"/>
    <w:rPr>
      <w:sz w:val="20"/>
      <w:szCs w:val="20"/>
    </w:rPr>
  </w:style>
  <w:style w:type="character" w:customStyle="1" w:styleId="FootnoteTextChar">
    <w:name w:val="Footnote Text Char"/>
    <w:basedOn w:val="DefaultParagraphFont"/>
    <w:link w:val="FootnoteText"/>
    <w:uiPriority w:val="99"/>
    <w:rsid w:val="00E64CA0"/>
    <w:rPr>
      <w:rFonts w:ascii="Calibri" w:eastAsia="Calibri" w:hAnsi="Calibri" w:cs="Arial"/>
      <w:kern w:val="0"/>
      <w:sz w:val="20"/>
      <w:szCs w:val="20"/>
      <w:lang w:val="en-AU" w:bidi="ar-SA"/>
      <w14:ligatures w14:val="none"/>
    </w:rPr>
  </w:style>
  <w:style w:type="character" w:styleId="FootnoteReference">
    <w:name w:val="footnote reference"/>
    <w:uiPriority w:val="99"/>
    <w:semiHidden/>
    <w:unhideWhenUsed/>
    <w:rsid w:val="00E64CA0"/>
    <w:rPr>
      <w:vertAlign w:val="superscript"/>
    </w:rPr>
  </w:style>
  <w:style w:type="paragraph" w:customStyle="1" w:styleId="a0">
    <w:name w:val="جداول"/>
    <w:basedOn w:val="Normal"/>
    <w:qFormat/>
    <w:rsid w:val="00E64CA0"/>
    <w:pPr>
      <w:bidi/>
      <w:spacing w:after="160" w:line="259" w:lineRule="auto"/>
      <w:jc w:val="both"/>
    </w:pPr>
    <w:rPr>
      <w:rFonts w:ascii="B Nazanin" w:hAnsi="B Nazanin" w:cs="B Nazanin"/>
      <w:lang w:bidi="fa-IR"/>
    </w:rPr>
  </w:style>
  <w:style w:type="paragraph" w:customStyle="1" w:styleId="EndNoteBibliography">
    <w:name w:val="EndNote Bibliography"/>
    <w:basedOn w:val="Normal"/>
    <w:link w:val="EndNoteBibliographyChar"/>
    <w:rsid w:val="00E64CA0"/>
    <w:pPr>
      <w:jc w:val="both"/>
    </w:pPr>
    <w:rPr>
      <w:rFonts w:cs="Calibri"/>
      <w:noProof/>
      <w:lang w:val="en-US"/>
    </w:rPr>
  </w:style>
  <w:style w:type="character" w:customStyle="1" w:styleId="EndNoteBibliographyChar">
    <w:name w:val="EndNote Bibliography Char"/>
    <w:basedOn w:val="DefaultParagraphFont"/>
    <w:link w:val="EndNoteBibliography"/>
    <w:rsid w:val="00E64CA0"/>
    <w:rPr>
      <w:rFonts w:ascii="Calibri" w:eastAsia="Calibri" w:hAnsi="Calibri" w:cs="Calibri"/>
      <w:noProof/>
      <w:kern w:val="0"/>
      <w:lang w:bidi="ar-SA"/>
      <w14:ligatures w14:val="none"/>
    </w:rPr>
  </w:style>
  <w:style w:type="table" w:styleId="PlainTable1">
    <w:name w:val="Plain Table 1"/>
    <w:basedOn w:val="TableNormal"/>
    <w:uiPriority w:val="41"/>
    <w:rsid w:val="00E64CA0"/>
    <w:pPr>
      <w:spacing w:after="0" w:line="240" w:lineRule="auto"/>
    </w:pPr>
    <w:rPr>
      <w:rFonts w:ascii="Calibri" w:eastAsia="Calibri" w:hAnsi="Calibri" w:cs="Arial"/>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E64CA0"/>
    <w:pPr>
      <w:jc w:val="center"/>
    </w:pPr>
    <w:rPr>
      <w:rFonts w:cs="Calibri"/>
      <w:noProof/>
      <w:lang w:val="en-US"/>
    </w:rPr>
  </w:style>
  <w:style w:type="character" w:customStyle="1" w:styleId="EndNoteBibliographyTitleChar">
    <w:name w:val="EndNote Bibliography Title Char"/>
    <w:basedOn w:val="DefaultParagraphFont"/>
    <w:link w:val="EndNoteBibliographyTitle"/>
    <w:rsid w:val="00E64CA0"/>
    <w:rPr>
      <w:rFonts w:ascii="Calibri" w:eastAsia="Calibri" w:hAnsi="Calibri" w:cs="Calibri"/>
      <w:noProof/>
      <w:kern w:val="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fanh941@gmail.com"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alishirazinejad@ut.ac.ir"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2-9241-263X"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esfidani@ut.ac.ir" TargetMode="External"/><Relationship Id="rId4" Type="http://schemas.openxmlformats.org/officeDocument/2006/relationships/webSettings" Target="webSettings.xml"/><Relationship Id="rId9" Type="http://schemas.openxmlformats.org/officeDocument/2006/relationships/hyperlink" Target="https://orcid.org/0000-0002-0793-5533"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19</Pages>
  <Words>13160</Words>
  <Characters>75018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Erfan Heidari</dc:creator>
  <cp:keywords/>
  <dc:description/>
  <cp:lastModifiedBy>Erfan Heidari</cp:lastModifiedBy>
  <cp:revision>7</cp:revision>
  <dcterms:created xsi:type="dcterms:W3CDTF">2026-05-20T15:14:00Z</dcterms:created>
  <dcterms:modified xsi:type="dcterms:W3CDTF">2026-05-20T16:12:00Z</dcterms:modified>
</cp:coreProperties>
</file>